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767C" w14:textId="5E63923B" w:rsidR="00596BEA" w:rsidRPr="00596BEA" w:rsidRDefault="00C21148" w:rsidP="00596BEA">
      <w:pPr>
        <w:spacing w:line="240" w:lineRule="auto"/>
        <w:jc w:val="center"/>
      </w:pPr>
      <w:r w:rsidRPr="00C21148">
        <w:rPr>
          <w:b/>
          <w:bCs/>
        </w:rPr>
        <w:t>EPISTEMIC INJUSTICE IN HEALTHCARE:</w:t>
      </w:r>
      <w:r w:rsidRPr="00C21148">
        <w:t> </w:t>
      </w:r>
      <w:r w:rsidRPr="00C21148">
        <w:br/>
      </w:r>
      <w:r w:rsidRPr="00C21148">
        <w:rPr>
          <w:b/>
          <w:bCs/>
        </w:rPr>
        <w:t>5 KEY TERMS</w:t>
      </w:r>
    </w:p>
    <w:p w14:paraId="69639A8C" w14:textId="75C9FBD2" w:rsidR="00C21148" w:rsidRDefault="00C21148" w:rsidP="00596BEA">
      <w:pPr>
        <w:spacing w:before="240" w:after="120" w:line="240" w:lineRule="auto"/>
        <w:jc w:val="both"/>
      </w:pPr>
      <w:r w:rsidRPr="00C21148">
        <w:rPr>
          <w:b/>
          <w:bCs/>
        </w:rPr>
        <w:t>Epistemic injustice</w:t>
      </w:r>
    </w:p>
    <w:p w14:paraId="3717262E" w14:textId="6987ED3F" w:rsidR="00C21148" w:rsidRPr="00C21148" w:rsidRDefault="008A5C0F" w:rsidP="000D7148">
      <w:pPr>
        <w:spacing w:after="120" w:line="240" w:lineRule="auto"/>
        <w:jc w:val="both"/>
      </w:pPr>
      <w:r>
        <w:t xml:space="preserve">An epistemic injustice is </w:t>
      </w:r>
      <w:r w:rsidR="00C420DE">
        <w:t>a</w:t>
      </w:r>
      <w:r>
        <w:t xml:space="preserve"> harm done to someone </w:t>
      </w:r>
      <w:r w:rsidR="00C21148">
        <w:t>by unfairly interfering with their ability to give information</w:t>
      </w:r>
      <w:r>
        <w:t xml:space="preserve"> and</w:t>
      </w:r>
      <w:r w:rsidR="00C420DE">
        <w:t xml:space="preserve"> to</w:t>
      </w:r>
      <w:r w:rsidR="00C21148">
        <w:t xml:space="preserve"> describe and make sense of their experiences</w:t>
      </w:r>
      <w:r>
        <w:t>.</w:t>
      </w:r>
      <w:r w:rsidR="00C21148">
        <w:t xml:space="preserve"> </w:t>
      </w:r>
      <w:r>
        <w:t>O</w:t>
      </w:r>
      <w:r w:rsidR="00C21148">
        <w:t>ften</w:t>
      </w:r>
      <w:r>
        <w:t xml:space="preserve">, it involves </w:t>
      </w:r>
      <w:r w:rsidR="00C21148">
        <w:t>dismissing what they have to say or demeaning their ideas. There are several kinds of epistemic injustice</w:t>
      </w:r>
      <w:r w:rsidR="00D13009">
        <w:t>, including testimonial and hermeneutical injustice</w:t>
      </w:r>
      <w:r w:rsidR="00D50D2E">
        <w:t xml:space="preserve">. </w:t>
      </w:r>
      <w:r w:rsidR="00050FC4">
        <w:t xml:space="preserve">In healthcare, </w:t>
      </w:r>
      <w:r w:rsidR="002067D1">
        <w:t>epistemic</w:t>
      </w:r>
      <w:r w:rsidR="00050FC4">
        <w:t xml:space="preserve"> in</w:t>
      </w:r>
      <w:r w:rsidR="00333C34">
        <w:t>justices silence and marginalise patient voices.</w:t>
      </w:r>
      <w:r w:rsidR="000138D4">
        <w:t xml:space="preserve"> As a result, they also</w:t>
      </w:r>
      <w:r w:rsidR="00C21148">
        <w:t xml:space="preserve"> undermine diagnosis and care, alienate patients, damage trust, and block improvements to the healthcare system.</w:t>
      </w:r>
    </w:p>
    <w:p w14:paraId="2AD9942A" w14:textId="0D355F5C" w:rsidR="00C21148" w:rsidRDefault="00C21148" w:rsidP="000D7148">
      <w:pPr>
        <w:spacing w:before="360" w:after="120" w:line="240" w:lineRule="auto"/>
        <w:jc w:val="both"/>
        <w:rPr>
          <w:b/>
          <w:bCs/>
        </w:rPr>
      </w:pPr>
      <w:r w:rsidRPr="00C21148">
        <w:rPr>
          <w:b/>
          <w:bCs/>
        </w:rPr>
        <w:t>Testimonial injustice</w:t>
      </w:r>
    </w:p>
    <w:p w14:paraId="496A4981" w14:textId="4BCCD2C6" w:rsidR="001615CE" w:rsidRPr="00C21148" w:rsidRDefault="00224E86" w:rsidP="000D7148">
      <w:pPr>
        <w:spacing w:after="120" w:line="240" w:lineRule="auto"/>
        <w:jc w:val="both"/>
      </w:pPr>
      <w:r>
        <w:t>People’s ability to share knowledge</w:t>
      </w:r>
      <w:r w:rsidR="005C68A2">
        <w:t xml:space="preserve"> –</w:t>
      </w:r>
      <w:r>
        <w:t xml:space="preserve"> that is, to testify</w:t>
      </w:r>
      <w:r w:rsidR="005C68A2">
        <w:t xml:space="preserve"> –</w:t>
      </w:r>
      <w:r>
        <w:t xml:space="preserve"> depends on their credibility.</w:t>
      </w:r>
      <w:r w:rsidR="001615CE">
        <w:t xml:space="preserve"> Testimonial injustices work by unfairly denying or deflating someone’s credibility</w:t>
      </w:r>
      <w:r w:rsidR="00156613">
        <w:t>, often because of</w:t>
      </w:r>
      <w:r w:rsidR="00AA4D66">
        <w:t xml:space="preserve"> some</w:t>
      </w:r>
      <w:r w:rsidR="00156613">
        <w:t xml:space="preserve"> prejudice a</w:t>
      </w:r>
      <w:r w:rsidR="00AA4D66">
        <w:t>gains</w:t>
      </w:r>
      <w:r w:rsidR="00156613">
        <w:t>t them</w:t>
      </w:r>
      <w:r w:rsidR="001615CE">
        <w:t xml:space="preserve">. </w:t>
      </w:r>
      <w:r w:rsidR="00370CD4">
        <w:t xml:space="preserve">For example, this </w:t>
      </w:r>
      <w:r w:rsidR="00172444">
        <w:t>happens if</w:t>
      </w:r>
      <w:r w:rsidR="008A5C0F">
        <w:t xml:space="preserve"> a </w:t>
      </w:r>
      <w:r w:rsidR="001615CE">
        <w:t>GP does not take seriously a</w:t>
      </w:r>
      <w:r w:rsidR="00C21148" w:rsidRPr="00C21148">
        <w:t xml:space="preserve"> female patient’s complaints of pain </w:t>
      </w:r>
      <w:r w:rsidR="001615CE">
        <w:t>because they negative</w:t>
      </w:r>
      <w:r w:rsidR="008A5C0F">
        <w:t>ly</w:t>
      </w:r>
      <w:r w:rsidR="001615CE">
        <w:t xml:space="preserve"> stereotype women as ‘over-emotional’ or as ‘prone to exaggerate’. Testimonial injustices have medical consequences, such as</w:t>
      </w:r>
      <w:r w:rsidR="008A5C0F">
        <w:t xml:space="preserve"> medical staff</w:t>
      </w:r>
      <w:r w:rsidR="001615CE">
        <w:t xml:space="preserve"> failing to receive or believe important evidence of patient health. </w:t>
      </w:r>
      <w:r w:rsidR="00C21148" w:rsidRPr="00C21148">
        <w:t>Repeated experiences of testimonial injustice can also have longer-term consequences, such as leading patients to keep silent about their health problems.</w:t>
      </w:r>
    </w:p>
    <w:p w14:paraId="4FD9B400" w14:textId="7AE08A5B" w:rsidR="001615CE" w:rsidRDefault="00C21148" w:rsidP="000D7148">
      <w:pPr>
        <w:spacing w:before="360" w:after="120" w:line="240" w:lineRule="auto"/>
        <w:jc w:val="both"/>
      </w:pPr>
      <w:r w:rsidRPr="00C21148">
        <w:rPr>
          <w:b/>
          <w:bCs/>
        </w:rPr>
        <w:t>Hermeneutical injustice</w:t>
      </w:r>
    </w:p>
    <w:p w14:paraId="6DF9EA5A" w14:textId="0D09219A" w:rsidR="001615CE" w:rsidRDefault="001615CE" w:rsidP="000D7148">
      <w:pPr>
        <w:spacing w:after="120" w:line="240" w:lineRule="auto"/>
        <w:jc w:val="both"/>
      </w:pPr>
      <w:r>
        <w:t xml:space="preserve">Hermeneutical injustices occur when people are unfairly blocked from making sense of their experiences or stopped from sharing their interpretations with other people. </w:t>
      </w:r>
      <w:r w:rsidR="009251F1">
        <w:t xml:space="preserve">This might occur, for example, if someone </w:t>
      </w:r>
      <w:r w:rsidR="00E968CB">
        <w:t>lacks the language</w:t>
      </w:r>
      <w:r w:rsidR="00D332B9">
        <w:t xml:space="preserve"> to understand and describe their chronic pain as</w:t>
      </w:r>
      <w:r w:rsidR="00E968CB">
        <w:t xml:space="preserve"> an illness</w:t>
      </w:r>
      <w:r w:rsidR="00D332B9">
        <w:t xml:space="preserve"> </w:t>
      </w:r>
      <w:r w:rsidR="00141EA3">
        <w:t>and</w:t>
      </w:r>
      <w:r w:rsidR="009C5F74">
        <w:t xml:space="preserve"> suffers in shame and silence as a result</w:t>
      </w:r>
      <w:r w:rsidR="00C21148">
        <w:t>.</w:t>
      </w:r>
      <w:r w:rsidR="00C04D70">
        <w:t xml:space="preserve"> </w:t>
      </w:r>
      <w:r w:rsidR="009C5F74">
        <w:t>But</w:t>
      </w:r>
      <w:r w:rsidR="005D5C22">
        <w:t xml:space="preserve"> while</w:t>
      </w:r>
      <w:r w:rsidR="00E03E29">
        <w:t xml:space="preserve"> some people find</w:t>
      </w:r>
      <w:r w:rsidR="005D5C22">
        <w:t xml:space="preserve"> m</w:t>
      </w:r>
      <w:r w:rsidR="002873DD">
        <w:t>edical</w:t>
      </w:r>
      <w:r>
        <w:t xml:space="preserve"> language </w:t>
      </w:r>
      <w:r w:rsidR="00E03E29">
        <w:t>helpful</w:t>
      </w:r>
      <w:r w:rsidR="002873DD">
        <w:t>,</w:t>
      </w:r>
      <w:r w:rsidR="004A6179">
        <w:t xml:space="preserve"> </w:t>
      </w:r>
      <w:r w:rsidR="002873DD">
        <w:t>it</w:t>
      </w:r>
      <w:r>
        <w:t xml:space="preserve"> can</w:t>
      </w:r>
      <w:r w:rsidR="00AB2A93">
        <w:t xml:space="preserve"> also</w:t>
      </w:r>
      <w:r>
        <w:t xml:space="preserve"> disadvantage and </w:t>
      </w:r>
      <w:r w:rsidR="0074318A">
        <w:t>silence</w:t>
      </w:r>
      <w:r>
        <w:t xml:space="preserve"> patients who </w:t>
      </w:r>
      <w:r w:rsidR="00BD19DC">
        <w:t>find it doesn’t fit their</w:t>
      </w:r>
      <w:r>
        <w:t xml:space="preserve"> illness experiences</w:t>
      </w:r>
      <w:r w:rsidR="00C305D1">
        <w:t xml:space="preserve">. </w:t>
      </w:r>
      <w:r w:rsidR="009C1754">
        <w:t>The potential consequences of herme</w:t>
      </w:r>
      <w:r w:rsidR="000E33E6">
        <w:t>neutical injustice include</w:t>
      </w:r>
      <w:r w:rsidR="008A5C0F">
        <w:t xml:space="preserve"> a loss of medically and socially </w:t>
      </w:r>
      <w:r w:rsidR="00715947">
        <w:t>vital</w:t>
      </w:r>
      <w:r w:rsidR="008A5C0F">
        <w:t xml:space="preserve"> knowledge </w:t>
      </w:r>
      <w:r w:rsidR="00D52182">
        <w:t>as well as</w:t>
      </w:r>
      <w:r w:rsidR="000E33E6">
        <w:t xml:space="preserve"> a</w:t>
      </w:r>
      <w:r>
        <w:t xml:space="preserve"> worsen</w:t>
      </w:r>
      <w:r w:rsidR="000E33E6">
        <w:t>ing</w:t>
      </w:r>
      <w:r w:rsidR="00596BEA">
        <w:t xml:space="preserve"> of</w:t>
      </w:r>
      <w:r>
        <w:t xml:space="preserve"> the anxiety, confusion, and sense of powerlessness </w:t>
      </w:r>
      <w:r w:rsidR="00E95428">
        <w:t>that come with illness</w:t>
      </w:r>
      <w:r>
        <w:t>.</w:t>
      </w:r>
    </w:p>
    <w:p w14:paraId="03DBBA5E" w14:textId="1CB4C708" w:rsidR="00156613" w:rsidRDefault="00C21148" w:rsidP="000D7148">
      <w:pPr>
        <w:spacing w:before="360" w:after="120" w:line="240" w:lineRule="auto"/>
        <w:jc w:val="both"/>
      </w:pPr>
      <w:r w:rsidRPr="00C21148">
        <w:rPr>
          <w:b/>
          <w:bCs/>
        </w:rPr>
        <w:t>Institutional opacity</w:t>
      </w:r>
    </w:p>
    <w:p w14:paraId="7A2828EE" w14:textId="18DD1C37" w:rsidR="00A17A9E" w:rsidRDefault="005C68A2" w:rsidP="000D7148">
      <w:pPr>
        <w:spacing w:after="120" w:line="240" w:lineRule="auto"/>
        <w:jc w:val="both"/>
        <w:rPr>
          <w:b/>
          <w:bCs/>
        </w:rPr>
      </w:pPr>
      <w:r>
        <w:t xml:space="preserve">Patients’ </w:t>
      </w:r>
      <w:r w:rsidR="001615CE">
        <w:t xml:space="preserve">ability to gain, share, and use knowledge </w:t>
      </w:r>
      <w:r w:rsidR="00CF7125">
        <w:t>depends on the NHS and other large institutions</w:t>
      </w:r>
      <w:r w:rsidR="001615CE">
        <w:t>. Unfortunately</w:t>
      </w:r>
      <w:r w:rsidR="00A17A9E">
        <w:t xml:space="preserve">, </w:t>
      </w:r>
      <w:r w:rsidR="00CF7125">
        <w:t>these institutions are</w:t>
      </w:r>
      <w:r w:rsidR="00A17A9E">
        <w:t xml:space="preserve"> hard to understand for</w:t>
      </w:r>
      <w:r w:rsidR="00CF7125">
        <w:t xml:space="preserve"> both</w:t>
      </w:r>
      <w:r w:rsidR="00A17A9E">
        <w:t xml:space="preserve"> </w:t>
      </w:r>
      <w:r w:rsidR="00CF7125">
        <w:t>patients and others –</w:t>
      </w:r>
      <w:r w:rsidR="00A17A9E">
        <w:t xml:space="preserve"> this is institutional opacity. </w:t>
      </w:r>
      <w:r w:rsidR="00156613">
        <w:t xml:space="preserve">Often, </w:t>
      </w:r>
      <w:r w:rsidR="00CF7125">
        <w:t>patients</w:t>
      </w:r>
      <w:r w:rsidR="00156613">
        <w:t xml:space="preserve"> </w:t>
      </w:r>
      <w:r w:rsidR="00A17A9E">
        <w:t xml:space="preserve">cannot ‘see’ how things work, how decisions are made, or how to </w:t>
      </w:r>
      <w:r w:rsidR="00156613">
        <w:t xml:space="preserve">navigate </w:t>
      </w:r>
      <w:r w:rsidR="00A17A9E">
        <w:t>the institution.</w:t>
      </w:r>
      <w:r w:rsidR="00CF7125">
        <w:t xml:space="preserve"> </w:t>
      </w:r>
      <w:r w:rsidR="006C5F3F">
        <w:t>S</w:t>
      </w:r>
      <w:r w:rsidR="00AC2A6D">
        <w:t xml:space="preserve">ome level of </w:t>
      </w:r>
      <w:r w:rsidR="00B84333">
        <w:t>opacity is unavoidable</w:t>
      </w:r>
      <w:r w:rsidR="00035D1B">
        <w:t xml:space="preserve"> in</w:t>
      </w:r>
      <w:r w:rsidR="00A17A9E">
        <w:t xml:space="preserve"> </w:t>
      </w:r>
      <w:r w:rsidR="00CF7125">
        <w:t>i</w:t>
      </w:r>
      <w:r w:rsidR="00A17A9E">
        <w:t>nstitutions</w:t>
      </w:r>
      <w:r w:rsidR="00475C71">
        <w:t>, particularly</w:t>
      </w:r>
      <w:r w:rsidR="00C420DE">
        <w:t xml:space="preserve"> complex institutions</w:t>
      </w:r>
      <w:r w:rsidR="006C5F3F">
        <w:t xml:space="preserve"> like the NHS. But</w:t>
      </w:r>
      <w:r w:rsidR="00F12CBA">
        <w:t>, as</w:t>
      </w:r>
      <w:r w:rsidR="00A17A9E">
        <w:t xml:space="preserve"> </w:t>
      </w:r>
      <w:r w:rsidR="00CF7125">
        <w:t>the Darzi report suggests</w:t>
      </w:r>
      <w:r w:rsidR="00F12CBA">
        <w:t>,</w:t>
      </w:r>
      <w:r w:rsidR="00CF7125">
        <w:t xml:space="preserve"> the NHS has become excessively opaque</w:t>
      </w:r>
      <w:r w:rsidR="00A17A9E">
        <w:t xml:space="preserve">. </w:t>
      </w:r>
      <w:r w:rsidR="00CF7125">
        <w:t>This</w:t>
      </w:r>
      <w:r w:rsidR="0003189D">
        <w:t xml:space="preserve"> can</w:t>
      </w:r>
      <w:r w:rsidR="00A17A9E">
        <w:t xml:space="preserve"> intensif</w:t>
      </w:r>
      <w:r w:rsidR="0003189D">
        <w:t>y</w:t>
      </w:r>
      <w:r w:rsidR="00A17A9E">
        <w:t xml:space="preserve"> the cognitive demands on patients and their families,</w:t>
      </w:r>
      <w:r w:rsidR="0003189D">
        <w:t xml:space="preserve"> provoke</w:t>
      </w:r>
      <w:r w:rsidR="00A17A9E">
        <w:t xml:space="preserve"> frustration, erode trust</w:t>
      </w:r>
      <w:r w:rsidR="00806285">
        <w:t>, and make them more vulnerable to epistemic injustice</w:t>
      </w:r>
      <w:r w:rsidR="00A17A9E">
        <w:t>.</w:t>
      </w:r>
    </w:p>
    <w:p w14:paraId="273C59E3" w14:textId="61FA238F" w:rsidR="00A17A9E" w:rsidRDefault="00C21148" w:rsidP="000D7148">
      <w:pPr>
        <w:spacing w:before="360" w:after="120" w:line="240" w:lineRule="auto"/>
        <w:jc w:val="both"/>
      </w:pPr>
      <w:r w:rsidRPr="00C21148">
        <w:rPr>
          <w:b/>
          <w:bCs/>
        </w:rPr>
        <w:t>Pathophobia</w:t>
      </w:r>
    </w:p>
    <w:p w14:paraId="486EB52B" w14:textId="75903A27" w:rsidR="00224E86" w:rsidRDefault="00457E7F" w:rsidP="000D7148">
      <w:pPr>
        <w:spacing w:after="120" w:line="240" w:lineRule="auto"/>
        <w:jc w:val="both"/>
      </w:pPr>
      <w:r>
        <w:t>Pathophobia refers to the</w:t>
      </w:r>
      <w:r w:rsidR="005C68A2">
        <w:t xml:space="preserve"> </w:t>
      </w:r>
      <w:r w:rsidR="00A17A9E">
        <w:t>variety of negative attitudes, assumptions, and behaviours</w:t>
      </w:r>
      <w:r w:rsidR="005C68A2">
        <w:t xml:space="preserve"> </w:t>
      </w:r>
      <w:r w:rsidR="00FC50A6">
        <w:t xml:space="preserve">that specifically </w:t>
      </w:r>
      <w:r w:rsidR="005C68A2">
        <w:t>target people who are ill</w:t>
      </w:r>
      <w:r w:rsidR="00A17A9E">
        <w:t>.</w:t>
      </w:r>
      <w:r w:rsidR="005C68A2">
        <w:t xml:space="preserve"> </w:t>
      </w:r>
      <w:r w:rsidR="00A17A9E">
        <w:t xml:space="preserve">Examples include disgust, callousness, and </w:t>
      </w:r>
      <w:r>
        <w:t>morbid curiosity</w:t>
      </w:r>
      <w:r w:rsidR="00A17A9E">
        <w:t>.</w:t>
      </w:r>
      <w:r>
        <w:t xml:space="preserve"> </w:t>
      </w:r>
      <w:r w:rsidR="000029DA">
        <w:t>O</w:t>
      </w:r>
      <w:r w:rsidR="00A17A9E">
        <w:t>ften</w:t>
      </w:r>
      <w:r w:rsidR="000029DA">
        <w:t>, it</w:t>
      </w:r>
      <w:r w:rsidR="00A17A9E">
        <w:t xml:space="preserve"> intersects with sexism, racism,</w:t>
      </w:r>
      <w:r w:rsidR="000D7148">
        <w:t xml:space="preserve"> abl</w:t>
      </w:r>
      <w:r w:rsidR="00C420DE">
        <w:t>e</w:t>
      </w:r>
      <w:r w:rsidR="000D7148">
        <w:t>ism,</w:t>
      </w:r>
      <w:r w:rsidR="00A17A9E">
        <w:t xml:space="preserve"> and other kinds of prejudice and discrimination</w:t>
      </w:r>
      <w:r w:rsidR="00FC50A6">
        <w:t>.</w:t>
      </w:r>
      <w:r w:rsidR="00CF7125">
        <w:t xml:space="preserve"> </w:t>
      </w:r>
      <w:r>
        <w:t>Pathophobi</w:t>
      </w:r>
      <w:r w:rsidR="000029DA">
        <w:t>a</w:t>
      </w:r>
      <w:r>
        <w:t xml:space="preserve"> fuels many</w:t>
      </w:r>
      <w:r w:rsidR="00CF7125">
        <w:t xml:space="preserve"> epistemic injustice</w:t>
      </w:r>
      <w:r>
        <w:t>s</w:t>
      </w:r>
      <w:r w:rsidR="00CF7125">
        <w:t xml:space="preserve"> against patients</w:t>
      </w:r>
      <w:r>
        <w:t xml:space="preserve"> as well as other</w:t>
      </w:r>
      <w:r w:rsidR="0008261F">
        <w:t xml:space="preserve"> problems</w:t>
      </w:r>
      <w:r>
        <w:t xml:space="preserve"> such as</w:t>
      </w:r>
      <w:r w:rsidR="00FE238B">
        <w:t xml:space="preserve"> </w:t>
      </w:r>
      <w:r w:rsidR="000029DA">
        <w:t xml:space="preserve">loneliness, </w:t>
      </w:r>
      <w:r w:rsidR="00FE238B">
        <w:t>emotional distress,</w:t>
      </w:r>
      <w:r w:rsidR="000029DA">
        <w:t xml:space="preserve"> abuse, and</w:t>
      </w:r>
      <w:r w:rsidR="00FE238B">
        <w:t xml:space="preserve"> deterioration of physical and mental health</w:t>
      </w:r>
      <w:r w:rsidR="000029DA">
        <w:t>.</w:t>
      </w:r>
    </w:p>
    <w:p w14:paraId="3A808F36" w14:textId="77777777" w:rsidR="00596BEA" w:rsidRDefault="00596BEA" w:rsidP="000D7148">
      <w:pPr>
        <w:spacing w:after="120" w:line="240" w:lineRule="auto"/>
        <w:jc w:val="both"/>
        <w:rPr>
          <w:b/>
          <w:bCs/>
        </w:rPr>
      </w:pPr>
    </w:p>
    <w:p w14:paraId="3E0786F5" w14:textId="2CEDD13B" w:rsidR="00F12CBA" w:rsidRDefault="00F12CBA" w:rsidP="000D7148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lastRenderedPageBreak/>
        <w:t>Links to further readings</w:t>
      </w:r>
    </w:p>
    <w:p w14:paraId="0CD7DBE1" w14:textId="7D3FC375" w:rsidR="005467F3" w:rsidRDefault="005467F3" w:rsidP="00DE11B0">
      <w:pPr>
        <w:spacing w:after="120" w:line="240" w:lineRule="auto"/>
      </w:pPr>
      <w:r>
        <w:t xml:space="preserve">About the EPIC project: </w:t>
      </w:r>
      <w:hyperlink r:id="rId6" w:history="1">
        <w:r w:rsidRPr="00807121">
          <w:rPr>
            <w:rStyle w:val="Hyperlink"/>
          </w:rPr>
          <w:t>https://artsmatter.blogs.bristol.ac.uk/2023/11/16/is-illness-important-to-philosophy-a-spotlight-on-project-epic/</w:t>
        </w:r>
      </w:hyperlink>
    </w:p>
    <w:p w14:paraId="189B5BD0" w14:textId="2A25F294" w:rsidR="00596BEA" w:rsidRPr="009A5E7B" w:rsidRDefault="009A5E7B" w:rsidP="00DE11B0">
      <w:pPr>
        <w:spacing w:after="120" w:line="240" w:lineRule="auto"/>
      </w:pPr>
      <w:r w:rsidRPr="009A5E7B">
        <w:t>Blog posts a</w:t>
      </w:r>
      <w:r>
        <w:t>bout epistemic injustice in healthcare</w:t>
      </w:r>
      <w:r w:rsidR="00130EB8" w:rsidRPr="009A5E7B">
        <w:t xml:space="preserve">: </w:t>
      </w:r>
      <w:hyperlink r:id="rId7" w:history="1">
        <w:r w:rsidR="00130EB8" w:rsidRPr="009A5E7B">
          <w:rPr>
            <w:rStyle w:val="Hyperlink"/>
          </w:rPr>
          <w:t>https://epistemicinjusticeinhealthcareproject.blogspot.com/</w:t>
        </w:r>
      </w:hyperlink>
    </w:p>
    <w:p w14:paraId="2581C309" w14:textId="2005D49A" w:rsidR="00130EB8" w:rsidRDefault="002B4377" w:rsidP="00DE11B0">
      <w:pPr>
        <w:spacing w:after="120" w:line="240" w:lineRule="auto"/>
      </w:pPr>
      <w:r>
        <w:t xml:space="preserve">CQC on epistemic injustice: </w:t>
      </w:r>
      <w:hyperlink r:id="rId8" w:history="1">
        <w:r w:rsidR="00E65F5F" w:rsidRPr="00807121">
          <w:rPr>
            <w:rStyle w:val="Hyperlink"/>
          </w:rPr>
          <w:t>https://www.cqc.org.uk/about-us/our-updated-human-rights-approach/why-we-need-updated-approach</w:t>
        </w:r>
      </w:hyperlink>
    </w:p>
    <w:p w14:paraId="626CD23D" w14:textId="5EBBBC1F" w:rsidR="002B4377" w:rsidRPr="00130EB8" w:rsidRDefault="00E65F5F" w:rsidP="006919FE">
      <w:pPr>
        <w:spacing w:after="120" w:line="240" w:lineRule="auto"/>
      </w:pPr>
      <w:r>
        <w:t>The Patient Safety Commissioner on epistemic injustice:</w:t>
      </w:r>
      <w:r w:rsidR="00DE11B0">
        <w:t xml:space="preserve"> </w:t>
      </w:r>
      <w:hyperlink r:id="rId9" w:history="1">
        <w:r w:rsidR="00DE11B0" w:rsidRPr="00807121">
          <w:rPr>
            <w:rStyle w:val="Hyperlink"/>
          </w:rPr>
          <w:t>https://www.patientsafetycommissioner.org.uk/we-must-combat-epistemic-injustice/</w:t>
        </w:r>
      </w:hyperlink>
    </w:p>
    <w:sectPr w:rsidR="002B4377" w:rsidRPr="00130EB8" w:rsidSect="000029D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F499" w14:textId="77777777" w:rsidR="00F25865" w:rsidRDefault="00F25865" w:rsidP="007F1A13">
      <w:pPr>
        <w:spacing w:after="0" w:line="240" w:lineRule="auto"/>
      </w:pPr>
      <w:r>
        <w:separator/>
      </w:r>
    </w:p>
  </w:endnote>
  <w:endnote w:type="continuationSeparator" w:id="0">
    <w:p w14:paraId="21811D1F" w14:textId="77777777" w:rsidR="00F25865" w:rsidRDefault="00F25865" w:rsidP="007F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361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A5885" w14:textId="185D4898" w:rsidR="009A5E7B" w:rsidRDefault="009A5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43CB48" w14:textId="717DCF65" w:rsidR="007F1A13" w:rsidRPr="000D7148" w:rsidRDefault="007F1A13">
    <w:pPr>
      <w:pStyle w:val="Footer"/>
      <w:rPr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9626" w14:textId="77777777" w:rsidR="00F25865" w:rsidRDefault="00F25865" w:rsidP="007F1A13">
      <w:pPr>
        <w:spacing w:after="0" w:line="240" w:lineRule="auto"/>
      </w:pPr>
      <w:r>
        <w:separator/>
      </w:r>
    </w:p>
  </w:footnote>
  <w:footnote w:type="continuationSeparator" w:id="0">
    <w:p w14:paraId="1199DE46" w14:textId="77777777" w:rsidR="00F25865" w:rsidRDefault="00F25865" w:rsidP="007F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01CF" w14:textId="60BAC80C" w:rsidR="007F1A13" w:rsidRDefault="007F1A13" w:rsidP="007F1A13">
    <w:pPr>
      <w:pStyle w:val="Header"/>
      <w:rPr>
        <w:sz w:val="16"/>
        <w:szCs w:val="16"/>
      </w:rPr>
    </w:pPr>
    <w:r w:rsidRPr="000D7148">
      <w:rPr>
        <w:sz w:val="16"/>
        <w:szCs w:val="16"/>
      </w:rPr>
      <w:t>EPIC Project</w:t>
    </w:r>
    <w:r>
      <w:rPr>
        <w:sz w:val="16"/>
        <w:szCs w:val="16"/>
      </w:rPr>
      <w:t xml:space="preserve"> briefing note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www. </w:t>
    </w:r>
    <w:r w:rsidRPr="0022630F">
      <w:rPr>
        <w:sz w:val="16"/>
        <w:szCs w:val="16"/>
      </w:rPr>
      <w:t>epistemicinjusticeinhealthcare.org</w:t>
    </w:r>
  </w:p>
  <w:p w14:paraId="6B61615A" w14:textId="3F0CB1DB" w:rsidR="007F1A13" w:rsidRPr="000D7148" w:rsidRDefault="00517685" w:rsidP="007F1A13">
    <w:pPr>
      <w:pStyle w:val="Header"/>
      <w:rPr>
        <w:sz w:val="16"/>
        <w:szCs w:val="16"/>
      </w:rPr>
    </w:pPr>
    <w:r>
      <w:rPr>
        <w:sz w:val="16"/>
        <w:szCs w:val="16"/>
      </w:rPr>
      <w:t>11 November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wNDIxMzYxMjA3NbZU0lEKTi0uzszPAykwqQUAZnposywAAAA="/>
  </w:docVars>
  <w:rsids>
    <w:rsidRoot w:val="00C21148"/>
    <w:rsid w:val="000029DA"/>
    <w:rsid w:val="000138D4"/>
    <w:rsid w:val="0003189D"/>
    <w:rsid w:val="00035D1B"/>
    <w:rsid w:val="0005083E"/>
    <w:rsid w:val="00050FC4"/>
    <w:rsid w:val="0008261F"/>
    <w:rsid w:val="000D03DB"/>
    <w:rsid w:val="000D0D79"/>
    <w:rsid w:val="000D7148"/>
    <w:rsid w:val="000E33E6"/>
    <w:rsid w:val="00106A89"/>
    <w:rsid w:val="00130EB8"/>
    <w:rsid w:val="00141EA3"/>
    <w:rsid w:val="00156613"/>
    <w:rsid w:val="001615CE"/>
    <w:rsid w:val="00172444"/>
    <w:rsid w:val="00185D50"/>
    <w:rsid w:val="001D2027"/>
    <w:rsid w:val="001D3E0A"/>
    <w:rsid w:val="002067D1"/>
    <w:rsid w:val="00224E86"/>
    <w:rsid w:val="00226995"/>
    <w:rsid w:val="002769AC"/>
    <w:rsid w:val="002873DD"/>
    <w:rsid w:val="002B3C1A"/>
    <w:rsid w:val="002B4377"/>
    <w:rsid w:val="002D45F7"/>
    <w:rsid w:val="00333C34"/>
    <w:rsid w:val="00370CD4"/>
    <w:rsid w:val="003815A3"/>
    <w:rsid w:val="0039734C"/>
    <w:rsid w:val="003D0495"/>
    <w:rsid w:val="00457E7F"/>
    <w:rsid w:val="00475C71"/>
    <w:rsid w:val="00486A8D"/>
    <w:rsid w:val="004A6179"/>
    <w:rsid w:val="004D734F"/>
    <w:rsid w:val="004E16E4"/>
    <w:rsid w:val="004E4BA9"/>
    <w:rsid w:val="00512263"/>
    <w:rsid w:val="00517685"/>
    <w:rsid w:val="00522102"/>
    <w:rsid w:val="005467F3"/>
    <w:rsid w:val="00581611"/>
    <w:rsid w:val="00596BEA"/>
    <w:rsid w:val="005A6158"/>
    <w:rsid w:val="005C68A2"/>
    <w:rsid w:val="005D5C22"/>
    <w:rsid w:val="005D7033"/>
    <w:rsid w:val="005F02DD"/>
    <w:rsid w:val="006919FE"/>
    <w:rsid w:val="006C5F3F"/>
    <w:rsid w:val="00715947"/>
    <w:rsid w:val="0074318A"/>
    <w:rsid w:val="007C1199"/>
    <w:rsid w:val="007F1A13"/>
    <w:rsid w:val="00806285"/>
    <w:rsid w:val="00815454"/>
    <w:rsid w:val="0084544F"/>
    <w:rsid w:val="008630E5"/>
    <w:rsid w:val="008804F8"/>
    <w:rsid w:val="008A5C0F"/>
    <w:rsid w:val="008E1386"/>
    <w:rsid w:val="00901569"/>
    <w:rsid w:val="009251F1"/>
    <w:rsid w:val="00966FF8"/>
    <w:rsid w:val="00981D33"/>
    <w:rsid w:val="009A5E7B"/>
    <w:rsid w:val="009C1754"/>
    <w:rsid w:val="009C35FA"/>
    <w:rsid w:val="009C5F74"/>
    <w:rsid w:val="00A17A9E"/>
    <w:rsid w:val="00A63E6F"/>
    <w:rsid w:val="00AA4D66"/>
    <w:rsid w:val="00AB2A93"/>
    <w:rsid w:val="00AC2A6D"/>
    <w:rsid w:val="00AF1BF7"/>
    <w:rsid w:val="00B84333"/>
    <w:rsid w:val="00BA61BD"/>
    <w:rsid w:val="00BD19DC"/>
    <w:rsid w:val="00C04D70"/>
    <w:rsid w:val="00C21148"/>
    <w:rsid w:val="00C305D1"/>
    <w:rsid w:val="00C420DE"/>
    <w:rsid w:val="00CC22E2"/>
    <w:rsid w:val="00CD2B6F"/>
    <w:rsid w:val="00CF7125"/>
    <w:rsid w:val="00D13009"/>
    <w:rsid w:val="00D332B9"/>
    <w:rsid w:val="00D50029"/>
    <w:rsid w:val="00D50D2E"/>
    <w:rsid w:val="00D52182"/>
    <w:rsid w:val="00DC1327"/>
    <w:rsid w:val="00DD3B01"/>
    <w:rsid w:val="00DE11B0"/>
    <w:rsid w:val="00E03E29"/>
    <w:rsid w:val="00E3340D"/>
    <w:rsid w:val="00E65F5F"/>
    <w:rsid w:val="00E95428"/>
    <w:rsid w:val="00E95A94"/>
    <w:rsid w:val="00E968CB"/>
    <w:rsid w:val="00EA71D3"/>
    <w:rsid w:val="00EC1F40"/>
    <w:rsid w:val="00ED4396"/>
    <w:rsid w:val="00EE75CA"/>
    <w:rsid w:val="00F12CBA"/>
    <w:rsid w:val="00F25865"/>
    <w:rsid w:val="00F47926"/>
    <w:rsid w:val="00FC205C"/>
    <w:rsid w:val="00FC50A6"/>
    <w:rsid w:val="00FE238B"/>
    <w:rsid w:val="03EF7720"/>
    <w:rsid w:val="1A88A0D6"/>
    <w:rsid w:val="1C47CF93"/>
    <w:rsid w:val="23C143F7"/>
    <w:rsid w:val="3A128A16"/>
    <w:rsid w:val="7C47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AC151"/>
  <w15:chartTrackingRefBased/>
  <w15:docId w15:val="{0E0CE337-6F82-429D-8B8A-A7C0715F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14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24E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A13"/>
  </w:style>
  <w:style w:type="paragraph" w:styleId="Footer">
    <w:name w:val="footer"/>
    <w:basedOn w:val="Normal"/>
    <w:link w:val="FooterChar"/>
    <w:uiPriority w:val="99"/>
    <w:unhideWhenUsed/>
    <w:rsid w:val="007F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A1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0E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qc.org.uk/about-us/our-updated-human-rights-approach/why-we-need-updated-approa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pistemicinjusticeinhealthcareproject.blogspot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smatter.blogs.bristol.ac.uk/2023/11/16/is-illness-important-to-philosophy-a-spotlight-on-project-epic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patientsafetycommissioner.org.uk/we-must-combat-epistemic-injus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3273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Charlotte Withers</cp:lastModifiedBy>
  <cp:revision>2</cp:revision>
  <dcterms:created xsi:type="dcterms:W3CDTF">2025-12-16T11:05:00Z</dcterms:created>
  <dcterms:modified xsi:type="dcterms:W3CDTF">2025-12-16T11:05:00Z</dcterms:modified>
</cp:coreProperties>
</file>