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afti193qb5vg" w:id="0"/>
      <w:bookmarkEnd w:id="0"/>
      <w:r w:rsidDel="00000000" w:rsidR="00000000" w:rsidRPr="00000000">
        <w:rPr/>
        <w:drawing>
          <wp:inline distB="114300" distT="114300" distL="114300" distR="114300">
            <wp:extent cx="1347788" cy="134778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layfair Display" w:cs="Playfair Display" w:eastAsia="Playfair Display" w:hAnsi="Playfair Display"/>
        </w:rPr>
      </w:pPr>
      <w:bookmarkStart w:colFirst="0" w:colLast="0" w:name="_2gazcsgmxkub" w:id="1"/>
      <w:bookmarkEnd w:id="1"/>
      <w:r w:rsidDel="00000000" w:rsidR="00000000" w:rsidRPr="00000000">
        <w:rPr>
          <w:rFonts w:ascii="Playfair Display" w:cs="Playfair Display" w:eastAsia="Playfair Display" w:hAnsi="Playfair Display"/>
          <w:color w:val="0f192b"/>
          <w:sz w:val="60"/>
          <w:szCs w:val="60"/>
          <w:rtl w:val="0"/>
        </w:rPr>
        <w:t xml:space="preserve">New Listing Form: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layfair Display" w:cs="Playfair Display" w:eastAsia="Playfair Display" w:hAnsi="Playfair Display"/>
          <w:b w:val="1"/>
          <w:color w:val="0f182b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8"/>
          <w:szCs w:val="28"/>
          <w:rtl w:val="0"/>
        </w:rPr>
        <w:t xml:space="preserve">Internal: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Display" w:cs="Playfair Display" w:eastAsia="Playfair Display" w:hAnsi="Playfair Display"/>
                <w:color w:val="0f182b"/>
                <w:sz w:val="28"/>
                <w:szCs w:val="28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color w:val="0f182b"/>
                <w:sz w:val="28"/>
                <w:szCs w:val="28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05">
            <w:pPr>
              <w:widowControl w:val="0"/>
              <w:spacing w:before="0" w:line="240" w:lineRule="auto"/>
              <w:rPr>
                <w:rFonts w:ascii="Playfair Display" w:cs="Playfair Display" w:eastAsia="Playfair Display" w:hAnsi="Playfair Display"/>
                <w:color w:val="0f182b"/>
                <w:sz w:val="28"/>
                <w:szCs w:val="28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color w:val="0f182b"/>
                <w:sz w:val="28"/>
                <w:szCs w:val="28"/>
                <w:rtl w:val="0"/>
              </w:rPr>
              <w:t xml:space="preserve">Asking Price: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layfair Display" w:cs="Playfair Display" w:eastAsia="Playfair Display" w:hAnsi="Playfair Display"/>
                <w:color w:val="0f182b"/>
                <w:sz w:val="28"/>
                <w:szCs w:val="28"/>
              </w:rPr>
            </w:pPr>
            <w:r w:rsidDel="00000000" w:rsidR="00000000" w:rsidRPr="00000000">
              <w:rPr>
                <w:rFonts w:ascii="Playfair Display" w:cs="Playfair Display" w:eastAsia="Playfair Display" w:hAnsi="Playfair Display"/>
                <w:color w:val="0f182b"/>
                <w:sz w:val="28"/>
                <w:szCs w:val="28"/>
                <w:rtl w:val="0"/>
              </w:rPr>
              <w:t xml:space="preserve">Contact person:</w:t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layfair Display" w:cs="Playfair Display" w:eastAsia="Playfair Display" w:hAnsi="Playfair Display"/>
          <w:b w:val="1"/>
          <w:color w:val="0f182b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8"/>
          <w:szCs w:val="28"/>
          <w:rtl w:val="0"/>
        </w:rPr>
        <w:t xml:space="preserve">Listing Details:</w:t>
      </w:r>
    </w:p>
    <w:p w:rsidR="00000000" w:rsidDel="00000000" w:rsidP="00000000" w:rsidRDefault="00000000" w:rsidRPr="00000000" w14:paraId="00000009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Property sqm:</w:t>
      </w:r>
    </w:p>
    <w:p w:rsidR="00000000" w:rsidDel="00000000" w:rsidP="00000000" w:rsidRDefault="00000000" w:rsidRPr="00000000" w14:paraId="0000000A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Balcony sqm:</w:t>
      </w:r>
    </w:p>
    <w:p w:rsidR="00000000" w:rsidDel="00000000" w:rsidP="00000000" w:rsidRDefault="00000000" w:rsidRPr="00000000" w14:paraId="0000000B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  Floor:</w:t>
      </w:r>
    </w:p>
    <w:p w:rsidR="00000000" w:rsidDel="00000000" w:rsidP="00000000" w:rsidRDefault="00000000" w:rsidRPr="00000000" w14:paraId="0000000C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  No. of Rooms:</w:t>
      </w:r>
    </w:p>
    <w:p w:rsidR="00000000" w:rsidDel="00000000" w:rsidP="00000000" w:rsidRDefault="00000000" w:rsidRPr="00000000" w14:paraId="0000000D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 Bathrooms:</w:t>
      </w:r>
    </w:p>
    <w:p w:rsidR="00000000" w:rsidDel="00000000" w:rsidP="00000000" w:rsidRDefault="00000000" w:rsidRPr="00000000" w14:paraId="0000000E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 Parking: </w:t>
      </w:r>
    </w:p>
    <w:p w:rsidR="00000000" w:rsidDel="00000000" w:rsidP="00000000" w:rsidRDefault="00000000" w:rsidRPr="00000000" w14:paraId="0000000F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  Storage:</w:t>
      </w:r>
    </w:p>
    <w:p w:rsidR="00000000" w:rsidDel="00000000" w:rsidP="00000000" w:rsidRDefault="00000000" w:rsidRPr="00000000" w14:paraId="00000010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  <w:drawing>
          <wp:inline distB="114300" distT="114300" distL="114300" distR="114300">
            <wp:extent cx="190500" cy="1905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fair Display" w:cs="Playfair Display" w:eastAsia="Playfair Display" w:hAnsi="Playfair Display"/>
          <w:b w:val="1"/>
          <w:color w:val="0f182b"/>
          <w:sz w:val="20"/>
          <w:szCs w:val="20"/>
          <w:rtl w:val="0"/>
        </w:rPr>
        <w:t xml:space="preserve">  Free Description:</w:t>
      </w:r>
    </w:p>
    <w:p w:rsidR="00000000" w:rsidDel="00000000" w:rsidP="00000000" w:rsidRDefault="00000000" w:rsidRPr="00000000" w14:paraId="00000011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layfair Display" w:cs="Playfair Display" w:eastAsia="Playfair Display" w:hAnsi="Playfair Display"/>
          <w:b w:val="1"/>
          <w:color w:val="0f18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Fonts w:ascii="Playfair Display" w:cs="Playfair Display" w:eastAsia="Playfair Display" w:hAnsi="Playfair Display"/>
          <w:color w:val="969696"/>
          <w:sz w:val="21"/>
          <w:szCs w:val="21"/>
          <w:rtl w:val="0"/>
        </w:rPr>
        <w:t xml:space="preserve">Copyright © 2025 Luxury properties Israel - All Rights Reserved.</w:t>
      </w: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080" w:top="108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9nvcibv3gama" w:id="2"/>
    <w:bookmarkEnd w:id="2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6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