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sectPr>
          <w:headerReference w:type="default" r:id="rId4"/>
          <w:footerReference w:type="default" r:id="rId5"/>
          <w:footerReference w:type="first" r:id="rId6"/>
          <w:pgSz w:w="12240" w:h="15840"/>
          <w:pgMar w:top="840" w:right="1000" w:bottom="840" w:left="1000" w:header="400" w:footer="400"/>
          <w:pgNumType w:fmt="decimal"/>
          <w:cols w:space="720"/>
          <w:titlePg/>
        </w:sectPr>
      </w:pPr>
    </w:p>
    <w:p>
      <w:pPr>
        <w:pStyle w:val="Heading1"/>
        <w:keepNext w:val="0"/>
        <w:spacing w:before="0" w:after="60" w:line="340" w:lineRule="atLeast"/>
        <w:ind w:left="120" w:right="0" w:firstLine="0"/>
        <w:jc w:val="center"/>
      </w:pPr>
      <w:r>
        <w:rPr>
          <w:rFonts w:ascii="arial" w:eastAsia="arial" w:hAnsi="arial" w:cs="arial"/>
          <w:b/>
          <w:i w:val="0"/>
          <w:strike w:val="0"/>
          <w:noProof w:val="0"/>
          <w:color w:val="000000"/>
          <w:position w:val="0"/>
          <w:sz w:val="28"/>
          <w:u w:val="none"/>
          <w:vertAlign w:val="baseline"/>
        </w:rPr>
        <w:t>Race discrimination</w:t>
      </w:r>
    </w:p>
    <w:p/>
    <w:p>
      <w:pPr>
        <w:spacing w:line="240" w:lineRule="exact"/>
      </w:pPr>
    </w:p>
    <w:p>
      <w:pPr>
        <w:keepNext w:val="0"/>
        <w:spacing w:before="120" w:after="120" w:line="280" w:lineRule="atLeast"/>
        <w:ind w:left="0" w:right="0" w:firstLine="0"/>
        <w:jc w:val="left"/>
      </w:pPr>
      <w:r>
        <w:rPr>
          <w:rFonts w:ascii="arial" w:eastAsia="arial" w:hAnsi="arial" w:cs="arial"/>
          <w:b/>
          <w:i w:val="0"/>
          <w:strike w:val="0"/>
          <w:noProof w:val="0"/>
          <w:color w:val="000000"/>
          <w:position w:val="0"/>
          <w:sz w:val="22"/>
          <w:u w:val="none"/>
          <w:vertAlign w:val="baseline"/>
        </w:rPr>
        <w:t>Tolley's Employment and Personnel Procedures Manual (Archive)</w:t>
      </w:r>
      <w:r>
        <w:rPr>
          <w:rFonts w:ascii="arial" w:eastAsia="arial" w:hAnsi="arial" w:cs="arial"/>
          <w:b/>
          <w:i w:val="0"/>
          <w:strike w:val="0"/>
          <w:noProof w:val="0"/>
          <w:color w:val="000000"/>
          <w:position w:val="0"/>
          <w:sz w:val="22"/>
          <w:u w:val="none"/>
          <w:vertAlign w:val="baseline"/>
        </w:rPr>
        <w:t xml:space="preserve">  &gt;  </w:t>
      </w:r>
      <w:r>
        <w:rPr>
          <w:rFonts w:ascii="arial" w:eastAsia="arial" w:hAnsi="arial" w:cs="arial"/>
          <w:b/>
          <w:i w:val="0"/>
          <w:strike w:val="0"/>
          <w:noProof w:val="0"/>
          <w:color w:val="000000"/>
          <w:position w:val="0"/>
          <w:sz w:val="22"/>
          <w:u w:val="none"/>
          <w:vertAlign w:val="baseline"/>
        </w:rPr>
        <w:t>Equal Opportunities</w:t>
      </w:r>
    </w:p>
    <w:p/>
    <w:p>
      <w:pPr>
        <w:keepNext w:val="0"/>
        <w:spacing w:after="0" w:line="300" w:lineRule="atLeast"/>
        <w:ind w:left="0" w:right="0" w:firstLine="0"/>
        <w:jc w:val="left"/>
      </w:pPr>
      <w:r>
        <w:rPr>
          <w:rFonts w:ascii="arial" w:eastAsia="arial" w:hAnsi="arial" w:cs="arial"/>
          <w:b/>
          <w:i w:val="0"/>
          <w:strike w:val="0"/>
          <w:noProof w:val="0"/>
          <w:color w:val="000000"/>
          <w:position w:val="0"/>
          <w:sz w:val="24"/>
          <w:u w:val="none"/>
          <w:vertAlign w:val="baseline"/>
        </w:rPr>
        <w:t>[E4011]</w:t>
      </w:r>
    </w:p>
    <w:p>
      <w:pPr>
        <w:keepNext w:val="0"/>
        <w:spacing w:before="0" w:after="0" w:line="300" w:lineRule="atLeast"/>
        <w:ind w:left="0" w:right="0" w:firstLine="0"/>
        <w:jc w:val="both"/>
      </w:pPr>
      <w:r>
        <w:br/>
      </w:r>
      <w:r>
        <w:rPr>
          <w:rFonts w:ascii="arial" w:eastAsia="arial" w:hAnsi="arial" w:cs="arial"/>
          <w:b w:val="0"/>
          <w:i w:val="0"/>
          <w:strike w:val="0"/>
          <w:noProof w:val="0"/>
          <w:color w:val="000000"/>
          <w:position w:val="0"/>
          <w:sz w:val="24"/>
          <w:u w:val="none"/>
          <w:vertAlign w:val="baseline"/>
        </w:rPr>
        <w:t xml:space="preserve">Race is a protected characteristic as per </w:t>
      </w:r>
      <w:r>
        <w:rPr>
          <w:rFonts w:ascii="arial" w:eastAsia="arial" w:hAnsi="arial" w:cs="arial"/>
          <w:b w:val="0"/>
          <w:i/>
          <w:strike w:val="0"/>
          <w:noProof w:val="0"/>
          <w:color w:val="000000"/>
          <w:position w:val="0"/>
          <w:sz w:val="24"/>
          <w:u w:val="none"/>
          <w:vertAlign w:val="baseline"/>
        </w:rPr>
        <w:t>EqA 2010 s 9</w:t>
      </w:r>
      <w:r>
        <w:rPr>
          <w:rFonts w:ascii="arial" w:eastAsia="arial" w:hAnsi="arial" w:cs="arial"/>
          <w:b w:val="0"/>
          <w:i w:val="0"/>
          <w:strike w:val="0"/>
          <w:noProof w:val="0"/>
          <w:color w:val="000000"/>
          <w:position w:val="0"/>
          <w:sz w:val="24"/>
          <w:u w:val="none"/>
          <w:vertAlign w:val="baseline"/>
        </w:rPr>
        <w:t>.</w:t>
      </w:r>
    </w:p>
    <w:p>
      <w:pPr>
        <w:keepNext w:val="0"/>
        <w:spacing w:before="0" w:after="0" w:line="300" w:lineRule="atLeast"/>
        <w:ind w:left="0" w:right="0" w:firstLine="0"/>
        <w:jc w:val="both"/>
      </w:pPr>
      <w:r>
        <w:br/>
      </w:r>
      <w:r>
        <w:rPr>
          <w:rFonts w:ascii="arial" w:eastAsia="arial" w:hAnsi="arial" w:cs="arial"/>
          <w:b w:val="0"/>
          <w:i w:val="0"/>
          <w:strike w:val="0"/>
          <w:noProof w:val="0"/>
          <w:color w:val="000000"/>
          <w:position w:val="0"/>
          <w:sz w:val="24"/>
          <w:u w:val="none"/>
          <w:vertAlign w:val="baseline"/>
        </w:rPr>
        <w:t>The question of whether an employer has discriminated against an employee on the grounds of race depends upon whether the particular employer would have treated others differently, not whether a reasonable employer would have done so (</w:t>
      </w:r>
      <w:r>
        <w:rPr>
          <w:rFonts w:ascii="arial" w:eastAsia="arial" w:hAnsi="arial" w:cs="arial"/>
          <w:b w:val="0"/>
          <w:i/>
          <w:strike w:val="0"/>
          <w:noProof w:val="0"/>
          <w:color w:val="000000"/>
          <w:position w:val="0"/>
          <w:sz w:val="24"/>
          <w:u w:val="none"/>
          <w:vertAlign w:val="baseline"/>
        </w:rPr>
        <w:t>Glasgow City Council v Zafar,</w:t>
      </w:r>
      <w:r>
        <w:rPr>
          <w:rFonts w:ascii="arial" w:eastAsia="arial" w:hAnsi="arial" w:cs="arial"/>
          <w:b w:val="0"/>
          <w:i w:val="0"/>
          <w:strike w:val="0"/>
          <w:noProof w:val="0"/>
          <w:color w:val="000000"/>
          <w:position w:val="0"/>
          <w:sz w:val="24"/>
          <w:u w:val="none"/>
          <w:vertAlign w:val="baseline"/>
        </w:rPr>
        <w:t xml:space="preserve"> </w:t>
      </w:r>
      <w:r>
        <w:rPr>
          <w:rFonts w:ascii="arial" w:eastAsia="arial" w:hAnsi="arial" w:cs="arial"/>
          <w:b w:val="0"/>
          <w:i/>
          <w:strike w:val="0"/>
          <w:noProof w:val="0"/>
          <w:color w:val="000000"/>
          <w:position w:val="0"/>
          <w:sz w:val="24"/>
          <w:u w:val="none"/>
          <w:vertAlign w:val="baseline"/>
        </w:rPr>
        <w:t>The Times, 8 December 1997 (House of Lords)</w:t>
      </w:r>
      <w:r>
        <w:rPr>
          <w:rFonts w:ascii="arial" w:eastAsia="arial" w:hAnsi="arial" w:cs="arial"/>
          <w:b w:val="0"/>
          <w:i w:val="0"/>
          <w:strike w:val="0"/>
          <w:noProof w:val="0"/>
          <w:color w:val="000000"/>
          <w:position w:val="0"/>
          <w:sz w:val="24"/>
          <w:u w:val="none"/>
          <w:vertAlign w:val="baseline"/>
        </w:rPr>
        <w:t>).</w:t>
      </w:r>
      <w:r>
        <w:t>
</w:t>
      </w:r>
    </w:p>
    <w:p/>
    <w:p>
      <w:pPr>
        <w:ind w:left="200"/>
      </w:pPr>
      <w:r>
        <w:br/>
      </w:r>
      <w:r>
        <w:pict>
          <v:line id="_x0000_s1025" style="position:absolute;z-index:251658240" from="0,10pt" to="512pt,10pt" strokecolor="black" strokeweight="1pt">
            <v:stroke linestyle="single"/>
          </v:line>
        </w:pict>
      </w:r>
      <w:r>
        <w:rPr>
          <w:rFonts w:ascii="arial" w:eastAsia="arial" w:hAnsi="arial" w:cs="arial"/>
          <w:b/>
          <w:color w:val="767676"/>
          <w:sz w:val="16"/>
        </w:rPr>
        <w:t>End of Document</w:t>
      </w:r>
    </w:p>
    <w:sectPr>
      <w:type w:val="continuous"/>
      <w:pgMar w:top="840" w:right="1000" w:bottom="840" w:left="1000" w:header="400" w:footer="400"/>
      <w:pgNumType w:fmt="decimal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108" w:type="dxa"/>
        <w:right w:w="108" w:type="dxa"/>
      </w:tblCellMar>
    </w:tblPr>
    <w:tblGrid>
      <w:gridCol w:w="2600"/>
      <w:gridCol w:w="4880"/>
      <w:gridCol w:w="2600"/>
    </w:tblGrid>
    <w:tr>
      <w:tblPrEx>
        <w:tblW w:w="1008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8" w:type="dxa"/>
          <w:right w:w="108" w:type="dxa"/>
        </w:tblCellMar>
      </w:tblPrEx>
      <w:trPr>
        <w:jc w:val="center"/>
      </w:trPr>
      <w:tc>
        <w:tcPr>
          <w:tcW w:w="2600" w:type="dxa"/>
          <w:tcMar>
            <w:top w:w="200" w:type="dxa"/>
          </w:tcMar>
          <w:vAlign w:val="center"/>
        </w:tcPr>
        <w:p/>
      </w:tc>
      <w:tc>
        <w:tcPr>
          <w:tcW w:w="4880" w:type="dxa"/>
          <w:tcMar>
            <w:top w:w="200" w:type="dxa"/>
          </w:tcMar>
          <w:vAlign w:val="center"/>
        </w:tcPr>
        <w:p>
          <w:pPr>
            <w:jc w:val="center"/>
          </w:pPr>
        </w:p>
      </w:tc>
      <w:tc>
        <w:tcPr>
          <w:tcW w:w="2600" w:type="dxa"/>
          <w:tcMar>
            <w:top w:w="200" w:type="dxa"/>
          </w:tcMar>
          <w:vAlign w:val="center"/>
        </w:tcPr>
        <w:p/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20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108" w:type="dxa"/>
        <w:right w:w="108" w:type="dxa"/>
      </w:tblCellMar>
    </w:tblPr>
    <w:tblGrid>
      <w:gridCol w:w="10080"/>
    </w:tblGrid>
    <w:tr>
      <w:tblPrEx>
        <w:tblW w:w="1008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8" w:type="dxa"/>
          <w:right w:w="108" w:type="dxa"/>
        </w:tblCellMar>
      </w:tblPrEx>
      <w:trPr>
        <w:jc w:val="center"/>
      </w:trPr>
      <w:tc>
        <w:tcPr>
          <w:tcW w:w="10080" w:type="dxa"/>
          <w:vAlign w:val="center"/>
        </w:tcPr>
        <w:p/>
      </w:tc>
    </w:tr>
    <w:tr>
      <w:tblPrEx>
        <w:tblW w:w="10080" w:type="dxa"/>
        <w:jc w:val="center"/>
        <w:tblLayout w:type="fixed"/>
        <w:tblCellMar>
          <w:left w:w="108" w:type="dxa"/>
          <w:right w:w="108" w:type="dxa"/>
        </w:tblCellMar>
      </w:tblPrEx>
      <w:trPr>
        <w:jc w:val="center"/>
      </w:trPr>
      <w:tc>
        <w:tcPr>
          <w:tcW w:w="10080" w:type="dxa"/>
        </w:tcPr>
        <w:p>
          <w:pPr>
            <w:spacing w:before="60" w:after="200"/>
            <w:jc w:val="center"/>
          </w:pPr>
          <w:r>
            <w:rPr>
              <w:rFonts w:ascii="arial" w:eastAsia="arial" w:hAnsi="arial" w:cs="arial"/>
              <w:sz w:val="20"/>
            </w:rPr>
            <w:t>Race discrimination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Race discrimination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DeliveryID">
    <vt:lpwstr>214887183</vt:lpwstr>
  </property>
  <property fmtid="{D5CDD505-2E9C-101B-9397-08002B2CF9AE}" pid="3" name="LADocCount">
    <vt:lpwstr>1</vt:lpwstr>
  </property>
  <property fmtid="{D5CDD505-2E9C-101B-9397-08002B2CF9AE}" pid="4" name="LADocumentID:urn:contentItem:5YS7-R513-CGXG-055J-00000-00">
    <vt:lpwstr>Doc::/shared/document|contextualFeaturePermID::1001073</vt:lpwstr>
  </property>
  <property fmtid="{D5CDD505-2E9C-101B-9397-08002B2CF9AE}" pid="5" name="UserPermID">
    <vt:lpwstr>urn:user:PA193032487</vt:lpwstr>
  </property>
</Properties>
</file>