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2285365</wp:posOffset>
                </wp:positionH>
                <wp:positionV relativeFrom="paragraph">
                  <wp:posOffset>371475</wp:posOffset>
                </wp:positionV>
                <wp:extent cx="3990975" cy="91440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Battle Born Indian Motorcycle Riders Group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Chapter #2066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Custom Patch Waiver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79.95pt;margin-top:29.25pt;width:314.25pt;height:72pt;mso-wrap-style:infront;mso-position-horizontal-relative:column;mso-position-vertical-relative:line;v-text-anchor:top;z-index:251659264" o:allowincell="t" filled="t" fillcolor="#ffffff" stroked="f">
                <v:textbox inset="2.5mm,1.3mm,2.5mm,1.3mm">
                  <w:txbxContent>
                    <w:p>
                      <w:pPr>
                        <w:jc w:val="center"/>
                        <w:spacing w:after="0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Battle Born Indian Motorcycle Riders Group</w:t>
                      </w:r>
                    </w:p>
                    <w:p>
                      <w:pPr>
                        <w:jc w:val="center"/>
                        <w:spacing w:after="0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Chapter #2066</w:t>
                      </w:r>
                    </w:p>
                    <w:p>
                      <w:pPr>
                        <w:jc w:val="center"/>
                        <w:spacing w:after="0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Custom Patch Waiver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044711" cy="1616748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11" cy="161674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Rockwell" w:hAnsi="Rockwell"/>
        </w:rPr>
      </w:pPr>
    </w:p>
    <w:p>
      <w:pPr>
        <w:rPr>
          <w:rFonts w:ascii="Rockwell" w:hAnsi="Rockwell"/>
        </w:rPr>
      </w:pPr>
    </w:p>
    <w:p>
      <w:pPr>
        <w:jc w:val="both"/>
        <w:rPr>
          <w:rFonts w:ascii="Rockwell" w:hAnsi="Rockwell"/>
        </w:rPr>
      </w:pPr>
      <w:r>
        <w:rPr>
          <w:rFonts w:ascii="Rockwell" w:hAnsi="Rockwell"/>
        </w:rPr>
        <w:t>I, _________________________________________, hereby understand the $35.00 cost for the custom Battle Born Indian Motorcycle Riders Group, Chapter #2066 patch, shall remain the property of the Battle Born Indian Motorcycle Riders Group, Chapter #2066, and the $35.00 is not refundable. (See image below)   If for any reason, I leave or am asked to leave the organization, I understand I must return the custom patch within 48 hours to a representative of the Battle Born Indian Motorcycle Riders Group, Chapter #2066.</w:t>
      </w:r>
    </w:p>
    <w:p>
      <w:pPr>
        <w:jc w:val="both"/>
        <w:rPr>
          <w:rFonts w:ascii="Rockwell" w:hAnsi="Rockwell"/>
        </w:rPr>
      </w:pPr>
      <w:r>
        <w:rPr>
          <w:rFonts w:ascii="Rockwell" w:hAnsi="Rockwell"/>
          <w:noProof/>
        </w:rPr>
        <w:tab/>
      </w:r>
      <w:r>
        <w:rPr>
          <w:rFonts w:ascii="Rockwell" w:hAnsi="Rockwell"/>
          <w:noProof/>
        </w:rPr>
        <w:tab/>
      </w:r>
      <w:r>
        <w:rPr>
          <w:rFonts w:ascii="Rockwell" w:hAnsi="Rockwell"/>
          <w:noProof/>
        </w:rPr>
        <w:tab/>
      </w:r>
      <w:r>
        <w:rPr>
          <w:rFonts w:ascii="Rockwell" w:hAnsi="Rockwell"/>
          <w:noProof/>
        </w:rPr>
        <w:tab/>
      </w:r>
      <w:r>
        <w:rPr>
          <w:rFonts w:ascii="Rockwell" w:hAnsi="Rockwell"/>
          <w:noProof/>
        </w:rPr>
        <w:tab/>
      </w:r>
      <w:r>
        <w:rPr>
          <w:rFonts w:ascii="Rockwell" w:hAnsi="Rockwell"/>
          <w:noProof/>
        </w:rPr>
        <w:drawing>
          <wp:inline distT="0" distB="0" distL="0" distR="0">
            <wp:extent cx="1304925" cy="222885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2288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Rockwell" w:hAnsi="Rockwell"/>
        </w:rPr>
      </w:pPr>
    </w:p>
    <w:p>
      <w:pPr>
        <w:jc w:val="both"/>
        <w:rPr>
          <w:rFonts w:ascii="Rockwell" w:hAnsi="Rockwell"/>
        </w:rPr>
      </w:pPr>
      <w:r>
        <w:rPr>
          <w:rFonts w:ascii="Rockwell" w:hAnsi="Rockwell"/>
        </w:rPr>
        <w:t>Signature_____________________________________ Date_________________________</w:t>
      </w:r>
      <w:r>
        <w:rPr>
          <w:rFonts w:ascii="Rockwell" w:hAnsi="Rockwell"/>
        </w:rPr>
        <w:tab/>
      </w:r>
    </w:p>
    <w:p>
      <w:pPr>
        <w:jc w:val="both"/>
        <w:rPr>
          <w:rFonts w:ascii="Rockwell" w:hAnsi="Rockwell"/>
        </w:rPr>
      </w:pPr>
    </w:p>
    <w:p>
      <w:pPr>
        <w:jc w:val="both"/>
        <w:rPr>
          <w:rFonts w:ascii="Rockwell" w:hAnsi="Rockwell"/>
        </w:rPr>
      </w:pPr>
      <w:r>
        <w:rPr>
          <w:rFonts w:ascii="Rockwell" w:hAnsi="Rockwell"/>
        </w:rPr>
        <w:t>Witness_______________________________________</w:t>
      </w:r>
      <w:r>
        <w:t xml:space="preserve"> </w:t>
      </w:r>
      <w:r>
        <w:rPr>
          <w:rFonts w:ascii="Rockwell" w:hAnsi="Rockwell"/>
        </w:rPr>
        <w:t>Date_________________________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Rockwell">
    <w:panose1 w:val="02060603020205020403"/>
    <w:family w:val="roman"/>
    <w:charset w:val="00"/>
    <w:notTrueType w:val="false"/>
    <w:sig w:usb0="00000003" w:usb1="00000001" w:usb2="00000001" w:usb3="00000001" w:csb0="20000001" w:csb1="00000001"/>
  </w:font>
  <w:font w:name="Garamond">
    <w:panose1 w:val="02020404030301010803"/>
    <w:family w:val="roman"/>
    <w:charset w:val="00"/>
    <w:notTrueType w:val="false"/>
    <w:sig w:usb0="00000287" w:usb1="00000001" w:usb2="00000001" w:usb3="00000001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Garamond" w:eastAsiaTheme="minorHAnsi" w:hAnsi="Garamond" w:cstheme="minorBidi"/>
        <w:sz w:val="24"/>
        <w:szCs w:val="24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Justus</dc:creator>
  <cp:keywords/>
  <dc:description/>
  <cp:lastModifiedBy>SM-N950U</cp:lastModifiedBy>
  <cp:revision>1</cp:revision>
  <dcterms:created xsi:type="dcterms:W3CDTF">2021-06-30T16:03:00Z</dcterms:created>
  <dcterms:modified xsi:type="dcterms:W3CDTF">2022-02-21T11:20:10Z</dcterms:modified>
  <cp:version>04.2000</cp:version>
</cp:coreProperties>
</file>