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D9B" w:rsidRPr="00155D9B" w:rsidRDefault="00155D9B" w:rsidP="00155D9B">
      <w:pPr>
        <w:pStyle w:val="sectbody"/>
        <w:spacing w:before="0" w:beforeAutospacing="0" w:after="0" w:afterAutospacing="0" w:line="200" w:lineRule="atLeast"/>
        <w:jc w:val="center"/>
        <w:rPr>
          <w:rStyle w:val="empty"/>
          <w:b/>
          <w:bCs/>
          <w:color w:val="000000"/>
          <w:sz w:val="36"/>
          <w:szCs w:val="36"/>
        </w:rPr>
      </w:pPr>
      <w:r w:rsidRPr="00155D9B">
        <w:rPr>
          <w:rStyle w:val="empty"/>
          <w:b/>
          <w:bCs/>
          <w:color w:val="000000"/>
          <w:sz w:val="36"/>
          <w:szCs w:val="36"/>
        </w:rPr>
        <w:t>NEVADA RPTT EXEMPTIONS</w:t>
      </w:r>
    </w:p>
    <w:p w:rsidR="00155D9B" w:rsidRDefault="00155D9B" w:rsidP="00155D9B">
      <w:pPr>
        <w:pStyle w:val="sectbody"/>
        <w:spacing w:before="0" w:beforeAutospacing="0" w:after="0" w:afterAutospacing="0" w:line="200" w:lineRule="atLeast"/>
        <w:jc w:val="both"/>
        <w:rPr>
          <w:rStyle w:val="empty"/>
          <w:b/>
          <w:bCs/>
          <w:color w:val="000000"/>
          <w:sz w:val="20"/>
          <w:szCs w:val="20"/>
        </w:rPr>
      </w:pPr>
      <w:bookmarkStart w:id="0" w:name="_GoBack"/>
      <w:bookmarkEnd w:id="0"/>
    </w:p>
    <w:p w:rsidR="00155D9B" w:rsidRPr="00155D9B" w:rsidRDefault="00155D9B" w:rsidP="00155D9B">
      <w:pPr>
        <w:pStyle w:val="sectbody"/>
        <w:spacing w:before="0" w:beforeAutospacing="0" w:after="0" w:afterAutospacing="0" w:line="200" w:lineRule="atLeast"/>
        <w:jc w:val="both"/>
        <w:rPr>
          <w:color w:val="000000" w:themeColor="text1"/>
        </w:rPr>
      </w:pPr>
      <w:r w:rsidRPr="00155D9B">
        <w:rPr>
          <w:rStyle w:val="empty"/>
          <w:b/>
          <w:bCs/>
          <w:color w:val="000000" w:themeColor="text1"/>
        </w:rPr>
        <w:t>NRS</w:t>
      </w:r>
      <w:r w:rsidRPr="00155D9B">
        <w:rPr>
          <w:rStyle w:val="empty"/>
          <w:b/>
          <w:bCs/>
          <w:color w:val="000000" w:themeColor="text1"/>
        </w:rPr>
        <w:t> </w:t>
      </w:r>
      <w:r w:rsidRPr="00155D9B">
        <w:rPr>
          <w:rStyle w:val="section"/>
          <w:b/>
          <w:bCs/>
          <w:color w:val="000000" w:themeColor="text1"/>
        </w:rPr>
        <w:t>375.090</w:t>
      </w:r>
      <w:r w:rsidRPr="00155D9B">
        <w:rPr>
          <w:rStyle w:val="empty"/>
          <w:b/>
          <w:bCs/>
          <w:color w:val="000000" w:themeColor="text1"/>
        </w:rPr>
        <w:t> </w:t>
      </w:r>
      <w:r w:rsidRPr="00155D9B">
        <w:rPr>
          <w:rStyle w:val="empty"/>
          <w:b/>
          <w:bCs/>
          <w:color w:val="000000" w:themeColor="text1"/>
        </w:rPr>
        <w:t> </w:t>
      </w:r>
      <w:r w:rsidRPr="00155D9B">
        <w:rPr>
          <w:rStyle w:val="leadline"/>
          <w:b/>
          <w:bCs/>
          <w:color w:val="000000" w:themeColor="text1"/>
        </w:rPr>
        <w:t>Exemptions.</w:t>
      </w:r>
      <w:r w:rsidRPr="00155D9B">
        <w:rPr>
          <w:rStyle w:val="empty"/>
          <w:b/>
          <w:bCs/>
          <w:color w:val="000000" w:themeColor="text1"/>
        </w:rPr>
        <w:t> </w:t>
      </w:r>
      <w:r w:rsidRPr="00155D9B">
        <w:rPr>
          <w:rStyle w:val="empty"/>
          <w:b/>
          <w:bCs/>
          <w:color w:val="000000" w:themeColor="text1"/>
        </w:rPr>
        <w:t> </w:t>
      </w:r>
      <w:r w:rsidRPr="00155D9B">
        <w:rPr>
          <w:color w:val="000000" w:themeColor="text1"/>
        </w:rPr>
        <w:t>The taxes imposed by </w:t>
      </w:r>
      <w:hyperlink r:id="rId4" w:anchor="NRS375Sec020" w:history="1">
        <w:r w:rsidRPr="00155D9B">
          <w:rPr>
            <w:rStyle w:val="Hyperlink"/>
            <w:color w:val="000000" w:themeColor="text1"/>
          </w:rPr>
          <w:t>NRS 375.020</w:t>
        </w:r>
      </w:hyperlink>
      <w:r w:rsidRPr="00155D9B">
        <w:rPr>
          <w:color w:val="000000" w:themeColor="text1"/>
        </w:rPr>
        <w:t>, </w:t>
      </w:r>
      <w:hyperlink r:id="rId5" w:anchor="NRS375Sec023" w:history="1">
        <w:r w:rsidRPr="00155D9B">
          <w:rPr>
            <w:rStyle w:val="Hyperlink"/>
            <w:color w:val="000000" w:themeColor="text1"/>
          </w:rPr>
          <w:t>375.023</w:t>
        </w:r>
      </w:hyperlink>
      <w:r w:rsidRPr="00155D9B">
        <w:rPr>
          <w:color w:val="000000" w:themeColor="text1"/>
        </w:rPr>
        <w:t> and </w:t>
      </w:r>
      <w:hyperlink r:id="rId6" w:anchor="NRS375Sec026" w:history="1">
        <w:r w:rsidRPr="00155D9B">
          <w:rPr>
            <w:rStyle w:val="Hyperlink"/>
            <w:color w:val="000000" w:themeColor="text1"/>
          </w:rPr>
          <w:t>375.026</w:t>
        </w:r>
      </w:hyperlink>
      <w:r w:rsidRPr="00155D9B">
        <w:rPr>
          <w:color w:val="000000" w:themeColor="text1"/>
        </w:rPr>
        <w:t> do not apply to:</w:t>
      </w:r>
    </w:p>
    <w:p w:rsidR="00155D9B" w:rsidRPr="00155D9B" w:rsidRDefault="00155D9B" w:rsidP="00155D9B">
      <w:pPr>
        <w:pStyle w:val="sectbody"/>
        <w:spacing w:before="0" w:beforeAutospacing="0" w:after="0" w:afterAutospacing="0" w:line="200" w:lineRule="atLeast"/>
        <w:jc w:val="both"/>
        <w:rPr>
          <w:color w:val="000000" w:themeColor="text1"/>
        </w:rPr>
      </w:pPr>
      <w:r w:rsidRPr="00155D9B">
        <w:rPr>
          <w:color w:val="000000" w:themeColor="text1"/>
        </w:rPr>
        <w:t>      1.</w:t>
      </w:r>
      <w:r w:rsidRPr="00155D9B">
        <w:rPr>
          <w:color w:val="000000" w:themeColor="text1"/>
        </w:rPr>
        <w:t> </w:t>
      </w:r>
      <w:r w:rsidRPr="00155D9B">
        <w:rPr>
          <w:color w:val="000000" w:themeColor="text1"/>
        </w:rPr>
        <w:t> </w:t>
      </w:r>
      <w:r w:rsidRPr="00155D9B">
        <w:rPr>
          <w:color w:val="000000" w:themeColor="text1"/>
        </w:rPr>
        <w:t>A mere change in identity, form or place of organization, such as a transfer between a business entity and its parent, its subsidiary or an affiliated business entity if the affiliated business entity has identical common ownership.</w:t>
      </w:r>
    </w:p>
    <w:p w:rsidR="00155D9B" w:rsidRPr="00155D9B" w:rsidRDefault="00155D9B" w:rsidP="00155D9B">
      <w:pPr>
        <w:pStyle w:val="sectbody"/>
        <w:spacing w:before="0" w:beforeAutospacing="0" w:after="0" w:afterAutospacing="0" w:line="200" w:lineRule="atLeast"/>
        <w:jc w:val="both"/>
        <w:rPr>
          <w:color w:val="000000" w:themeColor="text1"/>
        </w:rPr>
      </w:pPr>
      <w:r w:rsidRPr="00155D9B">
        <w:rPr>
          <w:color w:val="000000" w:themeColor="text1"/>
        </w:rPr>
        <w:t xml:space="preserve">      </w:t>
      </w:r>
      <w:proofErr w:type="gramStart"/>
      <w:r w:rsidRPr="00155D9B">
        <w:rPr>
          <w:color w:val="000000" w:themeColor="text1"/>
        </w:rPr>
        <w:t>2.</w:t>
      </w:r>
      <w:proofErr w:type="gramEnd"/>
      <w:r w:rsidRPr="00155D9B">
        <w:rPr>
          <w:color w:val="000000" w:themeColor="text1"/>
        </w:rPr>
        <w:t> </w:t>
      </w:r>
      <w:r w:rsidRPr="00155D9B">
        <w:rPr>
          <w:color w:val="000000" w:themeColor="text1"/>
        </w:rPr>
        <w:t> </w:t>
      </w:r>
      <w:r w:rsidRPr="00155D9B">
        <w:rPr>
          <w:color w:val="000000" w:themeColor="text1"/>
        </w:rPr>
        <w:t>A transfer of title to the United States, any territory or state or any agency, department, instrumentality or political subdivision thereof.</w:t>
      </w:r>
    </w:p>
    <w:p w:rsidR="00155D9B" w:rsidRPr="00155D9B" w:rsidRDefault="00155D9B" w:rsidP="00155D9B">
      <w:pPr>
        <w:pStyle w:val="sectbody"/>
        <w:spacing w:before="0" w:beforeAutospacing="0" w:after="0" w:afterAutospacing="0" w:line="200" w:lineRule="atLeast"/>
        <w:jc w:val="both"/>
        <w:rPr>
          <w:color w:val="000000" w:themeColor="text1"/>
        </w:rPr>
      </w:pPr>
      <w:r w:rsidRPr="00155D9B">
        <w:rPr>
          <w:color w:val="000000" w:themeColor="text1"/>
        </w:rPr>
        <w:t xml:space="preserve">      </w:t>
      </w:r>
      <w:proofErr w:type="gramStart"/>
      <w:r w:rsidRPr="00155D9B">
        <w:rPr>
          <w:color w:val="000000" w:themeColor="text1"/>
        </w:rPr>
        <w:t>3.</w:t>
      </w:r>
      <w:proofErr w:type="gramEnd"/>
      <w:r w:rsidRPr="00155D9B">
        <w:rPr>
          <w:color w:val="000000" w:themeColor="text1"/>
        </w:rPr>
        <w:t> </w:t>
      </w:r>
      <w:r w:rsidRPr="00155D9B">
        <w:rPr>
          <w:color w:val="000000" w:themeColor="text1"/>
        </w:rPr>
        <w:t> </w:t>
      </w:r>
      <w:r w:rsidRPr="00155D9B">
        <w:rPr>
          <w:color w:val="000000" w:themeColor="text1"/>
        </w:rPr>
        <w:t>A transfer of title recognizing the true status of ownership of the real property, including, without limitation, a transfer by an instrument in writing pursuant to the terms of a land sale installment contract previously recorded and upon which the taxes imposed by this chapter have been paid.</w:t>
      </w:r>
    </w:p>
    <w:p w:rsidR="00155D9B" w:rsidRPr="00155D9B" w:rsidRDefault="00155D9B" w:rsidP="00155D9B">
      <w:pPr>
        <w:pStyle w:val="sectbody"/>
        <w:spacing w:before="0" w:beforeAutospacing="0" w:after="0" w:afterAutospacing="0" w:line="200" w:lineRule="atLeast"/>
        <w:jc w:val="both"/>
        <w:rPr>
          <w:color w:val="000000" w:themeColor="text1"/>
        </w:rPr>
      </w:pPr>
      <w:r w:rsidRPr="00155D9B">
        <w:rPr>
          <w:color w:val="000000" w:themeColor="text1"/>
        </w:rPr>
        <w:t xml:space="preserve">      </w:t>
      </w:r>
      <w:proofErr w:type="gramStart"/>
      <w:r w:rsidRPr="00155D9B">
        <w:rPr>
          <w:color w:val="000000" w:themeColor="text1"/>
        </w:rPr>
        <w:t>4.</w:t>
      </w:r>
      <w:proofErr w:type="gramEnd"/>
      <w:r w:rsidRPr="00155D9B">
        <w:rPr>
          <w:color w:val="000000" w:themeColor="text1"/>
        </w:rPr>
        <w:t> </w:t>
      </w:r>
      <w:r w:rsidRPr="00155D9B">
        <w:rPr>
          <w:color w:val="000000" w:themeColor="text1"/>
        </w:rPr>
        <w:t> </w:t>
      </w:r>
      <w:r w:rsidRPr="00155D9B">
        <w:rPr>
          <w:color w:val="000000" w:themeColor="text1"/>
        </w:rPr>
        <w:t>A transfer of title without consideration from one joint tenant or tenant in common to one or more remaining joint tenants or tenants in common.</w:t>
      </w:r>
    </w:p>
    <w:p w:rsidR="00155D9B" w:rsidRPr="00155D9B" w:rsidRDefault="00155D9B" w:rsidP="00155D9B">
      <w:pPr>
        <w:pStyle w:val="sectbody"/>
        <w:spacing w:before="0" w:beforeAutospacing="0" w:after="0" w:afterAutospacing="0" w:line="200" w:lineRule="atLeast"/>
        <w:jc w:val="both"/>
        <w:rPr>
          <w:color w:val="000000" w:themeColor="text1"/>
        </w:rPr>
      </w:pPr>
      <w:r w:rsidRPr="00155D9B">
        <w:rPr>
          <w:color w:val="000000" w:themeColor="text1"/>
        </w:rPr>
        <w:t xml:space="preserve">      </w:t>
      </w:r>
      <w:proofErr w:type="gramStart"/>
      <w:r w:rsidRPr="00155D9B">
        <w:rPr>
          <w:color w:val="000000" w:themeColor="text1"/>
        </w:rPr>
        <w:t>5.</w:t>
      </w:r>
      <w:proofErr w:type="gramEnd"/>
      <w:r w:rsidRPr="00155D9B">
        <w:rPr>
          <w:color w:val="000000" w:themeColor="text1"/>
        </w:rPr>
        <w:t> </w:t>
      </w:r>
      <w:r w:rsidRPr="00155D9B">
        <w:rPr>
          <w:color w:val="000000" w:themeColor="text1"/>
        </w:rPr>
        <w:t> </w:t>
      </w:r>
      <w:r w:rsidRPr="00155D9B">
        <w:rPr>
          <w:color w:val="000000" w:themeColor="text1"/>
        </w:rPr>
        <w:t>A transfer, assignment or other conveyance of real property if the owner of the property is related to the person to whom it is conveyed within the first degree of lineal consanguinity or affinity.</w:t>
      </w:r>
    </w:p>
    <w:p w:rsidR="00155D9B" w:rsidRPr="00155D9B" w:rsidRDefault="00155D9B" w:rsidP="00155D9B">
      <w:pPr>
        <w:pStyle w:val="sectbody"/>
        <w:spacing w:before="0" w:beforeAutospacing="0" w:after="0" w:afterAutospacing="0" w:line="200" w:lineRule="atLeast"/>
        <w:jc w:val="both"/>
        <w:rPr>
          <w:color w:val="000000" w:themeColor="text1"/>
        </w:rPr>
      </w:pPr>
      <w:r w:rsidRPr="00155D9B">
        <w:rPr>
          <w:color w:val="000000" w:themeColor="text1"/>
        </w:rPr>
        <w:t xml:space="preserve">      </w:t>
      </w:r>
      <w:proofErr w:type="gramStart"/>
      <w:r w:rsidRPr="00155D9B">
        <w:rPr>
          <w:color w:val="000000" w:themeColor="text1"/>
        </w:rPr>
        <w:t>6.</w:t>
      </w:r>
      <w:proofErr w:type="gramEnd"/>
      <w:r w:rsidRPr="00155D9B">
        <w:rPr>
          <w:color w:val="000000" w:themeColor="text1"/>
        </w:rPr>
        <w:t> </w:t>
      </w:r>
      <w:r w:rsidRPr="00155D9B">
        <w:rPr>
          <w:color w:val="000000" w:themeColor="text1"/>
        </w:rPr>
        <w:t> </w:t>
      </w:r>
      <w:r w:rsidRPr="00155D9B">
        <w:rPr>
          <w:color w:val="000000" w:themeColor="text1"/>
        </w:rPr>
        <w:t>A transfer of title between former spouses in compliance with a decree of divorce.</w:t>
      </w:r>
    </w:p>
    <w:p w:rsidR="00155D9B" w:rsidRPr="00155D9B" w:rsidRDefault="00155D9B" w:rsidP="00155D9B">
      <w:pPr>
        <w:pStyle w:val="sectbody"/>
        <w:spacing w:before="0" w:beforeAutospacing="0" w:after="0" w:afterAutospacing="0" w:line="200" w:lineRule="atLeast"/>
        <w:jc w:val="both"/>
        <w:rPr>
          <w:color w:val="000000" w:themeColor="text1"/>
        </w:rPr>
      </w:pPr>
      <w:r w:rsidRPr="00155D9B">
        <w:rPr>
          <w:color w:val="000000" w:themeColor="text1"/>
        </w:rPr>
        <w:t xml:space="preserve">      </w:t>
      </w:r>
      <w:proofErr w:type="gramStart"/>
      <w:r w:rsidRPr="00155D9B">
        <w:rPr>
          <w:color w:val="000000" w:themeColor="text1"/>
        </w:rPr>
        <w:t>7.</w:t>
      </w:r>
      <w:proofErr w:type="gramEnd"/>
      <w:r w:rsidRPr="00155D9B">
        <w:rPr>
          <w:color w:val="000000" w:themeColor="text1"/>
        </w:rPr>
        <w:t> </w:t>
      </w:r>
      <w:r w:rsidRPr="00155D9B">
        <w:rPr>
          <w:color w:val="000000" w:themeColor="text1"/>
        </w:rPr>
        <w:t> </w:t>
      </w:r>
      <w:r w:rsidRPr="00155D9B">
        <w:rPr>
          <w:color w:val="000000" w:themeColor="text1"/>
        </w:rPr>
        <w:t>A transfer of title to or from a trust without consideration if a certificate of trust is presented at the time of transfer.</w:t>
      </w:r>
    </w:p>
    <w:p w:rsidR="00155D9B" w:rsidRPr="00155D9B" w:rsidRDefault="00155D9B" w:rsidP="00155D9B">
      <w:pPr>
        <w:pStyle w:val="sectbody"/>
        <w:spacing w:before="0" w:beforeAutospacing="0" w:after="0" w:afterAutospacing="0" w:line="200" w:lineRule="atLeast"/>
        <w:jc w:val="both"/>
        <w:rPr>
          <w:color w:val="000000" w:themeColor="text1"/>
        </w:rPr>
      </w:pPr>
      <w:r w:rsidRPr="00155D9B">
        <w:rPr>
          <w:color w:val="000000" w:themeColor="text1"/>
        </w:rPr>
        <w:t xml:space="preserve">      </w:t>
      </w:r>
      <w:proofErr w:type="gramStart"/>
      <w:r w:rsidRPr="00155D9B">
        <w:rPr>
          <w:color w:val="000000" w:themeColor="text1"/>
        </w:rPr>
        <w:t>8.</w:t>
      </w:r>
      <w:proofErr w:type="gramEnd"/>
      <w:r w:rsidRPr="00155D9B">
        <w:rPr>
          <w:color w:val="000000" w:themeColor="text1"/>
        </w:rPr>
        <w:t> </w:t>
      </w:r>
      <w:r w:rsidRPr="00155D9B">
        <w:rPr>
          <w:color w:val="000000" w:themeColor="text1"/>
        </w:rPr>
        <w:t> </w:t>
      </w:r>
      <w:r w:rsidRPr="00155D9B">
        <w:rPr>
          <w:color w:val="000000" w:themeColor="text1"/>
        </w:rPr>
        <w:t>Transfers, assignments or conveyances of unpatented mines or mining claims.</w:t>
      </w:r>
    </w:p>
    <w:p w:rsidR="00155D9B" w:rsidRPr="00155D9B" w:rsidRDefault="00155D9B" w:rsidP="00155D9B">
      <w:pPr>
        <w:pStyle w:val="sectbody"/>
        <w:spacing w:before="0" w:beforeAutospacing="0" w:after="0" w:afterAutospacing="0" w:line="200" w:lineRule="atLeast"/>
        <w:jc w:val="both"/>
        <w:rPr>
          <w:color w:val="000000" w:themeColor="text1"/>
        </w:rPr>
      </w:pPr>
      <w:r w:rsidRPr="00155D9B">
        <w:rPr>
          <w:color w:val="000000" w:themeColor="text1"/>
        </w:rPr>
        <w:t>      9.</w:t>
      </w:r>
      <w:r w:rsidRPr="00155D9B">
        <w:rPr>
          <w:color w:val="000000" w:themeColor="text1"/>
        </w:rPr>
        <w:t> </w:t>
      </w:r>
      <w:r w:rsidRPr="00155D9B">
        <w:rPr>
          <w:color w:val="000000" w:themeColor="text1"/>
        </w:rPr>
        <w:t> </w:t>
      </w:r>
      <w:r w:rsidRPr="00155D9B">
        <w:rPr>
          <w:color w:val="000000" w:themeColor="text1"/>
        </w:rPr>
        <w:t>A transfer, assignment or other conveyance of real property to a corporation or other business organization if the person conveying the property owns 100 percent of the corporation or organization to which the conveyance is made.</w:t>
      </w:r>
    </w:p>
    <w:p w:rsidR="00155D9B" w:rsidRPr="00155D9B" w:rsidRDefault="00155D9B" w:rsidP="00155D9B">
      <w:pPr>
        <w:pStyle w:val="sectbody"/>
        <w:spacing w:before="0" w:beforeAutospacing="0" w:after="0" w:afterAutospacing="0" w:line="200" w:lineRule="atLeast"/>
        <w:jc w:val="both"/>
        <w:rPr>
          <w:color w:val="000000" w:themeColor="text1"/>
        </w:rPr>
      </w:pPr>
      <w:r w:rsidRPr="00155D9B">
        <w:rPr>
          <w:color w:val="000000" w:themeColor="text1"/>
        </w:rPr>
        <w:t>      10.</w:t>
      </w:r>
      <w:r w:rsidRPr="00155D9B">
        <w:rPr>
          <w:color w:val="000000" w:themeColor="text1"/>
        </w:rPr>
        <w:t> </w:t>
      </w:r>
      <w:r w:rsidRPr="00155D9B">
        <w:rPr>
          <w:color w:val="000000" w:themeColor="text1"/>
        </w:rPr>
        <w:t> </w:t>
      </w:r>
      <w:r w:rsidRPr="00155D9B">
        <w:rPr>
          <w:color w:val="000000" w:themeColor="text1"/>
        </w:rPr>
        <w:t>A conveyance of real property by deed which becomes effective upon the death of the grantor pursuant to </w:t>
      </w:r>
      <w:hyperlink r:id="rId7" w:anchor="NRS111Sec655" w:history="1">
        <w:r w:rsidRPr="00155D9B">
          <w:rPr>
            <w:rStyle w:val="Hyperlink"/>
            <w:color w:val="000000" w:themeColor="text1"/>
          </w:rPr>
          <w:t>NRS 111.655</w:t>
        </w:r>
      </w:hyperlink>
      <w:r w:rsidRPr="00155D9B">
        <w:rPr>
          <w:color w:val="000000" w:themeColor="text1"/>
        </w:rPr>
        <w:t> to </w:t>
      </w:r>
      <w:hyperlink r:id="rId8" w:anchor="NRS111Sec699" w:history="1">
        <w:r w:rsidRPr="00155D9B">
          <w:rPr>
            <w:rStyle w:val="Hyperlink"/>
            <w:color w:val="000000" w:themeColor="text1"/>
          </w:rPr>
          <w:t>111.699</w:t>
        </w:r>
      </w:hyperlink>
      <w:r w:rsidRPr="00155D9B">
        <w:rPr>
          <w:color w:val="000000" w:themeColor="text1"/>
        </w:rPr>
        <w:t>, inclusive.</w:t>
      </w:r>
    </w:p>
    <w:p w:rsidR="00155D9B" w:rsidRPr="00155D9B" w:rsidRDefault="00155D9B" w:rsidP="00155D9B">
      <w:pPr>
        <w:pStyle w:val="sectbody"/>
        <w:spacing w:before="0" w:beforeAutospacing="0" w:after="0" w:afterAutospacing="0" w:line="200" w:lineRule="atLeast"/>
        <w:jc w:val="both"/>
        <w:rPr>
          <w:color w:val="000000" w:themeColor="text1"/>
        </w:rPr>
      </w:pPr>
      <w:r w:rsidRPr="00155D9B">
        <w:rPr>
          <w:color w:val="000000" w:themeColor="text1"/>
        </w:rPr>
        <w:t>      11</w:t>
      </w:r>
      <w:proofErr w:type="gramStart"/>
      <w:r w:rsidRPr="00155D9B">
        <w:rPr>
          <w:color w:val="000000" w:themeColor="text1"/>
        </w:rPr>
        <w:t>.</w:t>
      </w:r>
      <w:proofErr w:type="gramEnd"/>
      <w:r w:rsidRPr="00155D9B">
        <w:rPr>
          <w:color w:val="000000" w:themeColor="text1"/>
        </w:rPr>
        <w:t> </w:t>
      </w:r>
      <w:r w:rsidRPr="00155D9B">
        <w:rPr>
          <w:color w:val="000000" w:themeColor="text1"/>
        </w:rPr>
        <w:t> </w:t>
      </w:r>
      <w:r w:rsidRPr="00155D9B">
        <w:rPr>
          <w:color w:val="000000" w:themeColor="text1"/>
        </w:rPr>
        <w:t>The making, delivery or filing of conveyances of real property to make effective any plan of reorganization or adjustment:</w:t>
      </w:r>
    </w:p>
    <w:p w:rsidR="00155D9B" w:rsidRPr="00155D9B" w:rsidRDefault="00155D9B" w:rsidP="00155D9B">
      <w:pPr>
        <w:pStyle w:val="sectbody"/>
        <w:spacing w:before="0" w:beforeAutospacing="0" w:after="0" w:afterAutospacing="0" w:line="200" w:lineRule="atLeast"/>
        <w:jc w:val="both"/>
        <w:rPr>
          <w:color w:val="000000" w:themeColor="text1"/>
        </w:rPr>
      </w:pPr>
      <w:r w:rsidRPr="00155D9B">
        <w:rPr>
          <w:color w:val="000000" w:themeColor="text1"/>
        </w:rPr>
        <w:t>      (</w:t>
      </w:r>
      <w:proofErr w:type="gramStart"/>
      <w:r w:rsidRPr="00155D9B">
        <w:rPr>
          <w:color w:val="000000" w:themeColor="text1"/>
        </w:rPr>
        <w:t>a</w:t>
      </w:r>
      <w:proofErr w:type="gramEnd"/>
      <w:r w:rsidRPr="00155D9B">
        <w:rPr>
          <w:color w:val="000000" w:themeColor="text1"/>
        </w:rPr>
        <w:t>)</w:t>
      </w:r>
      <w:r w:rsidRPr="00155D9B">
        <w:rPr>
          <w:color w:val="000000" w:themeColor="text1"/>
        </w:rPr>
        <w:t> </w:t>
      </w:r>
      <w:r w:rsidRPr="00155D9B">
        <w:rPr>
          <w:color w:val="000000" w:themeColor="text1"/>
        </w:rPr>
        <w:t>Confirmed under the Bankruptcy Act, as amended, 11 U.S.C. §§ 101 et seq.;</w:t>
      </w:r>
    </w:p>
    <w:p w:rsidR="00155D9B" w:rsidRPr="00155D9B" w:rsidRDefault="00155D9B" w:rsidP="00155D9B">
      <w:pPr>
        <w:pStyle w:val="sectbody"/>
        <w:spacing w:before="0" w:beforeAutospacing="0" w:after="0" w:afterAutospacing="0" w:line="200" w:lineRule="atLeast"/>
        <w:jc w:val="both"/>
        <w:rPr>
          <w:color w:val="000000" w:themeColor="text1"/>
        </w:rPr>
      </w:pPr>
      <w:r w:rsidRPr="00155D9B">
        <w:rPr>
          <w:color w:val="000000" w:themeColor="text1"/>
        </w:rPr>
        <w:t>      (b</w:t>
      </w:r>
      <w:proofErr w:type="gramStart"/>
      <w:r w:rsidRPr="00155D9B">
        <w:rPr>
          <w:color w:val="000000" w:themeColor="text1"/>
        </w:rPr>
        <w:t>)</w:t>
      </w:r>
      <w:proofErr w:type="gramEnd"/>
      <w:r w:rsidRPr="00155D9B">
        <w:rPr>
          <w:color w:val="000000" w:themeColor="text1"/>
        </w:rPr>
        <w:t> </w:t>
      </w:r>
      <w:r w:rsidRPr="00155D9B">
        <w:rPr>
          <w:color w:val="000000" w:themeColor="text1"/>
        </w:rPr>
        <w:t>Approved in an equity receivership proceeding involving a railroad, as defined in the Bankruptcy Act; or</w:t>
      </w:r>
    </w:p>
    <w:p w:rsidR="00155D9B" w:rsidRPr="00155D9B" w:rsidRDefault="00155D9B" w:rsidP="00155D9B">
      <w:pPr>
        <w:pStyle w:val="sectbody"/>
        <w:spacing w:before="0" w:beforeAutospacing="0" w:after="0" w:afterAutospacing="0" w:line="200" w:lineRule="atLeast"/>
        <w:jc w:val="both"/>
        <w:rPr>
          <w:color w:val="000000" w:themeColor="text1"/>
        </w:rPr>
      </w:pPr>
      <w:r w:rsidRPr="00155D9B">
        <w:rPr>
          <w:color w:val="000000" w:themeColor="text1"/>
        </w:rPr>
        <w:t>      (c</w:t>
      </w:r>
      <w:proofErr w:type="gramStart"/>
      <w:r w:rsidRPr="00155D9B">
        <w:rPr>
          <w:color w:val="000000" w:themeColor="text1"/>
        </w:rPr>
        <w:t>)</w:t>
      </w:r>
      <w:proofErr w:type="gramEnd"/>
      <w:r w:rsidRPr="00155D9B">
        <w:rPr>
          <w:color w:val="000000" w:themeColor="text1"/>
        </w:rPr>
        <w:t> </w:t>
      </w:r>
      <w:r w:rsidRPr="00155D9B">
        <w:rPr>
          <w:color w:val="000000" w:themeColor="text1"/>
        </w:rPr>
        <w:t>Approved in an equity receivership proceeding involving a corporation, as defined in the Bankruptcy Act,</w:t>
      </w:r>
    </w:p>
    <w:p w:rsidR="00155D9B" w:rsidRPr="00155D9B" w:rsidRDefault="00155D9B" w:rsidP="00155D9B">
      <w:pPr>
        <w:pStyle w:val="sectbody"/>
        <w:spacing w:before="0" w:beforeAutospacing="0" w:after="0" w:afterAutospacing="0" w:line="200" w:lineRule="atLeast"/>
        <w:jc w:val="both"/>
        <w:rPr>
          <w:color w:val="000000" w:themeColor="text1"/>
        </w:rPr>
      </w:pPr>
      <w:r w:rsidRPr="00155D9B">
        <w:rPr>
          <w:rFonts w:ascii="Wingdings 3" w:hAnsi="Wingdings 3"/>
          <w:color w:val="000000" w:themeColor="text1"/>
        </w:rPr>
        <w:t></w:t>
      </w:r>
      <w:r w:rsidRPr="00155D9B">
        <w:rPr>
          <w:color w:val="000000" w:themeColor="text1"/>
        </w:rPr>
        <w:t> </w:t>
      </w:r>
      <w:proofErr w:type="gramStart"/>
      <w:r w:rsidRPr="00155D9B">
        <w:rPr>
          <w:color w:val="000000" w:themeColor="text1"/>
        </w:rPr>
        <w:t>if</w:t>
      </w:r>
      <w:proofErr w:type="gramEnd"/>
      <w:r w:rsidRPr="00155D9B">
        <w:rPr>
          <w:color w:val="000000" w:themeColor="text1"/>
        </w:rPr>
        <w:t xml:space="preserve"> the making, delivery or filing of instruments of transfer or conveyance occurs within 5 years after the date of the confirmation, approval or change.</w:t>
      </w:r>
    </w:p>
    <w:p w:rsidR="00155D9B" w:rsidRPr="00155D9B" w:rsidRDefault="00155D9B" w:rsidP="00155D9B">
      <w:pPr>
        <w:pStyle w:val="sectbody"/>
        <w:spacing w:before="0" w:beforeAutospacing="0" w:after="0" w:afterAutospacing="0" w:line="200" w:lineRule="atLeast"/>
        <w:jc w:val="both"/>
        <w:rPr>
          <w:color w:val="000000" w:themeColor="text1"/>
        </w:rPr>
      </w:pPr>
      <w:r w:rsidRPr="00155D9B">
        <w:rPr>
          <w:color w:val="000000" w:themeColor="text1"/>
        </w:rPr>
        <w:t>      12</w:t>
      </w:r>
      <w:proofErr w:type="gramStart"/>
      <w:r w:rsidRPr="00155D9B">
        <w:rPr>
          <w:color w:val="000000" w:themeColor="text1"/>
        </w:rPr>
        <w:t>.</w:t>
      </w:r>
      <w:proofErr w:type="gramEnd"/>
      <w:r w:rsidRPr="00155D9B">
        <w:rPr>
          <w:color w:val="000000" w:themeColor="text1"/>
        </w:rPr>
        <w:t> </w:t>
      </w:r>
      <w:r w:rsidRPr="00155D9B">
        <w:rPr>
          <w:color w:val="000000" w:themeColor="text1"/>
        </w:rPr>
        <w:t> </w:t>
      </w:r>
      <w:r w:rsidRPr="00155D9B">
        <w:rPr>
          <w:color w:val="000000" w:themeColor="text1"/>
        </w:rPr>
        <w:t>A transfer to an educational foundation. As used in this subsection, “educational foundation” has the meaning ascribed to it in subsection 3 of </w:t>
      </w:r>
      <w:hyperlink r:id="rId9" w:anchor="NRS388Sec750" w:history="1">
        <w:r w:rsidRPr="00155D9B">
          <w:rPr>
            <w:rStyle w:val="Hyperlink"/>
            <w:color w:val="000000" w:themeColor="text1"/>
          </w:rPr>
          <w:t>NRS 388.750</w:t>
        </w:r>
      </w:hyperlink>
      <w:r w:rsidRPr="00155D9B">
        <w:rPr>
          <w:color w:val="000000" w:themeColor="text1"/>
        </w:rPr>
        <w:t>.</w:t>
      </w:r>
    </w:p>
    <w:p w:rsidR="00155D9B" w:rsidRPr="00155D9B" w:rsidRDefault="00155D9B" w:rsidP="00155D9B">
      <w:pPr>
        <w:pStyle w:val="sectbody"/>
        <w:spacing w:before="0" w:beforeAutospacing="0" w:after="0" w:afterAutospacing="0" w:line="200" w:lineRule="atLeast"/>
        <w:jc w:val="both"/>
        <w:rPr>
          <w:color w:val="000000" w:themeColor="text1"/>
        </w:rPr>
      </w:pPr>
      <w:r w:rsidRPr="00155D9B">
        <w:rPr>
          <w:color w:val="000000" w:themeColor="text1"/>
        </w:rPr>
        <w:t>      13</w:t>
      </w:r>
      <w:proofErr w:type="gramStart"/>
      <w:r w:rsidRPr="00155D9B">
        <w:rPr>
          <w:color w:val="000000" w:themeColor="text1"/>
        </w:rPr>
        <w:t>.</w:t>
      </w:r>
      <w:proofErr w:type="gramEnd"/>
      <w:r w:rsidRPr="00155D9B">
        <w:rPr>
          <w:color w:val="000000" w:themeColor="text1"/>
        </w:rPr>
        <w:t> </w:t>
      </w:r>
      <w:r w:rsidRPr="00155D9B">
        <w:rPr>
          <w:color w:val="000000" w:themeColor="text1"/>
        </w:rPr>
        <w:t> </w:t>
      </w:r>
      <w:r w:rsidRPr="00155D9B">
        <w:rPr>
          <w:color w:val="000000" w:themeColor="text1"/>
        </w:rPr>
        <w:t>A transfer to a university foundation. As used in this subsection, “university foundation” has the meaning ascribed to it in subsection 3 of </w:t>
      </w:r>
      <w:hyperlink r:id="rId10" w:anchor="NRS396Sec405" w:history="1">
        <w:r w:rsidRPr="00155D9B">
          <w:rPr>
            <w:rStyle w:val="Hyperlink"/>
            <w:color w:val="000000" w:themeColor="text1"/>
          </w:rPr>
          <w:t>NRS 396.405</w:t>
        </w:r>
      </w:hyperlink>
      <w:r w:rsidRPr="00155D9B">
        <w:rPr>
          <w:color w:val="000000" w:themeColor="text1"/>
        </w:rPr>
        <w:t>.</w:t>
      </w:r>
    </w:p>
    <w:p w:rsidR="00155D9B" w:rsidRPr="00155D9B" w:rsidRDefault="00155D9B" w:rsidP="00155D9B">
      <w:pPr>
        <w:pStyle w:val="sectbody"/>
        <w:spacing w:before="0" w:beforeAutospacing="0" w:after="0" w:afterAutospacing="0" w:line="200" w:lineRule="atLeast"/>
        <w:jc w:val="both"/>
        <w:rPr>
          <w:color w:val="000000" w:themeColor="text1"/>
        </w:rPr>
      </w:pPr>
      <w:r w:rsidRPr="00155D9B">
        <w:rPr>
          <w:color w:val="000000" w:themeColor="text1"/>
        </w:rPr>
        <w:t>      14</w:t>
      </w:r>
      <w:proofErr w:type="gramStart"/>
      <w:r w:rsidRPr="00155D9B">
        <w:rPr>
          <w:color w:val="000000" w:themeColor="text1"/>
        </w:rPr>
        <w:t>.</w:t>
      </w:r>
      <w:proofErr w:type="gramEnd"/>
      <w:r w:rsidRPr="00155D9B">
        <w:rPr>
          <w:color w:val="000000" w:themeColor="text1"/>
        </w:rPr>
        <w:t> </w:t>
      </w:r>
      <w:r w:rsidRPr="00155D9B">
        <w:rPr>
          <w:color w:val="000000" w:themeColor="text1"/>
        </w:rPr>
        <w:t> </w:t>
      </w:r>
      <w:r w:rsidRPr="00155D9B">
        <w:rPr>
          <w:color w:val="000000" w:themeColor="text1"/>
        </w:rPr>
        <w:t>A transfer to a library foundation. As used in this subsection, “library foundation” has the meaning ascribed to it in </w:t>
      </w:r>
      <w:hyperlink r:id="rId11" w:anchor="NRS379Sec0056" w:history="1">
        <w:r w:rsidRPr="00155D9B">
          <w:rPr>
            <w:rStyle w:val="Hyperlink"/>
            <w:color w:val="000000" w:themeColor="text1"/>
          </w:rPr>
          <w:t>NRS 379.0056</w:t>
        </w:r>
      </w:hyperlink>
      <w:r w:rsidRPr="00155D9B">
        <w:rPr>
          <w:color w:val="000000" w:themeColor="text1"/>
        </w:rPr>
        <w:t>.</w:t>
      </w:r>
    </w:p>
    <w:p w:rsidR="00E4473A" w:rsidRDefault="00E4473A"/>
    <w:sectPr w:rsidR="00E44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D9B"/>
    <w:rsid w:val="00155D9B"/>
    <w:rsid w:val="00E44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280E5"/>
  <w15:chartTrackingRefBased/>
  <w15:docId w15:val="{7226BB9B-C28D-4290-BDE8-7A915D27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body">
    <w:name w:val="sectbody"/>
    <w:basedOn w:val="Normal"/>
    <w:rsid w:val="00155D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ty">
    <w:name w:val="empty"/>
    <w:basedOn w:val="DefaultParagraphFont"/>
    <w:rsid w:val="00155D9B"/>
  </w:style>
  <w:style w:type="character" w:customStyle="1" w:styleId="section">
    <w:name w:val="section"/>
    <w:basedOn w:val="DefaultParagraphFont"/>
    <w:rsid w:val="00155D9B"/>
  </w:style>
  <w:style w:type="character" w:customStyle="1" w:styleId="leadline">
    <w:name w:val="leadline"/>
    <w:basedOn w:val="DefaultParagraphFont"/>
    <w:rsid w:val="00155D9B"/>
  </w:style>
  <w:style w:type="character" w:styleId="Hyperlink">
    <w:name w:val="Hyperlink"/>
    <w:basedOn w:val="DefaultParagraphFont"/>
    <w:uiPriority w:val="99"/>
    <w:semiHidden/>
    <w:unhideWhenUsed/>
    <w:rsid w:val="00155D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30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state.nv.us/NRS/NRS-111.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leg.state.nv.us/NRS/NRS-111.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state.nv.us/NRS/NRS-375.html" TargetMode="External"/><Relationship Id="rId11" Type="http://schemas.openxmlformats.org/officeDocument/2006/relationships/hyperlink" Target="https://www.leg.state.nv.us/NRS/NRS-379.html" TargetMode="External"/><Relationship Id="rId5" Type="http://schemas.openxmlformats.org/officeDocument/2006/relationships/hyperlink" Target="https://www.leg.state.nv.us/NRS/NRS-375.html" TargetMode="External"/><Relationship Id="rId10" Type="http://schemas.openxmlformats.org/officeDocument/2006/relationships/hyperlink" Target="https://www.leg.state.nv.us/NRS/NRS-396.html" TargetMode="External"/><Relationship Id="rId4" Type="http://schemas.openxmlformats.org/officeDocument/2006/relationships/hyperlink" Target="https://www.leg.state.nv.us/NRS/NRS-375.html" TargetMode="External"/><Relationship Id="rId9" Type="http://schemas.openxmlformats.org/officeDocument/2006/relationships/hyperlink" Target="https://www.leg.state.nv.us/NRS/NRS-38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Chapman</dc:creator>
  <cp:keywords/>
  <dc:description/>
  <cp:lastModifiedBy>Jen Chapman</cp:lastModifiedBy>
  <cp:revision>1</cp:revision>
  <dcterms:created xsi:type="dcterms:W3CDTF">2019-09-05T20:39:00Z</dcterms:created>
  <dcterms:modified xsi:type="dcterms:W3CDTF">2019-09-05T20:44:00Z</dcterms:modified>
</cp:coreProperties>
</file>