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32K384</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Claudia Harris, Principal</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Guidance Counselors, Classroom Teachers, School Aides, School Based Support Team and Paraprofessionals  </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Ms. Belizaire, Nurse  (32K384) and Ms. Maude, Nurse (P53)</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119</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Marilyn Cruz, Assistant Principal </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Mr. Otniel Rosario, Guidance Counselor and  Ms. Linda Nieves, Guidance Counselor </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The NYCDOE and PS/IS 384 are committed to providing students with opportunities to make connections to prior learning and build on existing knowledge to learn new concepts. For students attending school in a blended learning setting, teachers will take extra care to ensure that their remote learning is a continuation of their in-person learning.  They will co-plan with teachers to ensure continuity. 
Implementing a shared and inclusive curriculum that is culturally responsive and digitally accessible across grade levels will support our school in ensuring that there is continuity of instruction for every student at PS/IS 384. The DOE will be putting out a a common, standards aligned trajectory of learning for the four core content areas (ELA, math, science and social studies) which we will use to complement our school's shared and inclusive digital curriculum whether delivered remotely or in person. 
Students across the NYCDOE and at PS/IS 384 will return to school this fall with unfinished learning. Coupled with this, many students will also return to school with considerable anxiety and trauma. This fall, knowing students well will be more important than ever for our staff and students. We will focus on creating safe, trusting learning environments to re-engaging with our students upon their return to school whether in-person or remote.
To ensure continuity of learning, teachers at PS/IS 384 will have time to coordinate instruction and plan together.  School staff will have time at the beginning of the day for coordinating instruction to address continuity of learning for all students (in-person and all-remote) and services/supports (e.g., SWDs, MLLs). This will take place for 30 minutes before the students’ instructional day begins. For example, teachers might be scheduled for 30 minutes for collaborative planning time from 8:05 AM – 8:35 AM, with students starting the school day at 8:35 AM. An emphasis will be placed on the collaboration and planning between remote teachers and in-person teachers who share students. 
Families have the option of choosing to have their child attend school solely through remote learning. Families can choose full-time remote learning at any time, for any reason. Families who choose full-time remote learning will be able to reevaluate their choice during certain set time periods to change their preference and have their child receive in-person instruction instead. 
Remote instruction for all students will include both synchronous and asynchronous instruction, with synchronous instruction occurring daily. 
For students learning in a remote-only setting, synchronous instruction will be directly tied to the asynchronous learning activities in which they engage to promote continuity of instruction and meaningful, connected learning experiences. 
For students learning in a hybrid setting, in-person and remote learning experiences (including both synchronous and asynchronous instruction) will complement each other so that students experience continuity in learning and instruction. 
</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Communication will be done through multiple systems; Kinvolved (Text Messaging System), Website, Phone Calls, School email address designated for questions about instruction/technology.
Ms. Grace Baez (Parent Coordinator), Ms. Claudia Harris (Principal), Ms. Marilyn Cruz (Assistant Principal), Ms. Linda Nieves (Guidance Counselor), Mr. Otniel Rosario (Guidance Counselor), Ms. Stephanie Plachy-Feinstein (SPOC/Teacher) </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Ms. Marilyn Cruz (Assistant Principal) and Ms. Corina Estevez (Special Education Coordinator) and Mr. Brian Gardner (SETSS teacher) </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Ms. Marilyn Cruz (Assistant Principal) and Ms. Jennifer Pierce-Chornomor (ELL Coordinator)
</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EFA09-1155-40B4-861B-7B182FA9B703}"/>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