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4A1" w:rsidRDefault="00F4008B" w:rsidP="00E359A6">
      <w:pPr>
        <w:tabs>
          <w:tab w:val="right" w:pos="10080"/>
        </w:tabs>
        <w:spacing w:after="0" w:line="240" w:lineRule="auto"/>
        <w:rPr>
          <w:b/>
        </w:rPr>
      </w:pPr>
      <w:r>
        <w:rPr>
          <w:b/>
        </w:rPr>
        <w:t>Annexation Process</w:t>
      </w:r>
      <w:r w:rsidR="0049282C">
        <w:rPr>
          <w:b/>
        </w:rPr>
        <w:t xml:space="preserve"> - Single Property Owner</w:t>
      </w:r>
      <w:r w:rsidR="0014624E" w:rsidRPr="0014624E">
        <w:rPr>
          <w:b/>
        </w:rPr>
        <w:tab/>
      </w:r>
    </w:p>
    <w:p w:rsidR="004474A1" w:rsidRDefault="007A059F" w:rsidP="0083214B">
      <w:pPr>
        <w:spacing w:after="0" w:line="240" w:lineRule="auto"/>
        <w:rPr>
          <w:b/>
        </w:rPr>
      </w:pPr>
      <w:r>
        <w:rPr>
          <w:b/>
          <w:noProof/>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95250</wp:posOffset>
                </wp:positionV>
                <wp:extent cx="6819900" cy="0"/>
                <wp:effectExtent l="17145" t="20955" r="20955" b="1714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F24102" id="_x0000_t32" coordsize="21600,21600" o:spt="32" o:oned="t" path="m,l21600,21600e" filled="f">
                <v:path arrowok="t" fillok="f" o:connecttype="none"/>
                <o:lock v:ext="edit" shapetype="t"/>
              </v:shapetype>
              <v:shape id="AutoShape 4" o:spid="_x0000_s1026" type="#_x0000_t32" style="position:absolute;margin-left:1.5pt;margin-top:7.5pt;width:53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H4Hw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" strokeweight="2.25pt"/>
            </w:pict>
          </mc:Fallback>
        </mc:AlternateContent>
      </w:r>
      <w:r>
        <w:rPr>
          <w:b/>
          <w:noProof/>
        </w:rPr>
        <mc:AlternateContent>
          <mc:Choice Requires="wps">
            <w:drawing>
              <wp:anchor distT="0" distB="0" distL="114300" distR="114300" simplePos="0" relativeHeight="251657216" behindDoc="0" locked="0" layoutInCell="1" allowOverlap="1">
                <wp:simplePos x="0" y="0"/>
                <wp:positionH relativeFrom="column">
                  <wp:posOffset>19050</wp:posOffset>
                </wp:positionH>
                <wp:positionV relativeFrom="paragraph">
                  <wp:posOffset>95250</wp:posOffset>
                </wp:positionV>
                <wp:extent cx="6124575" cy="9525"/>
                <wp:effectExtent l="26670" t="20955" r="20955" b="266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9525"/>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7A2D0F1" id="AutoShape 3" o:spid="_x0000_s1026" type="#_x0000_t32" style="position:absolute;margin-left:1.5pt;margin-top:7.5pt;width:482.2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" strokecolor="#f2f2f2" strokeweight="3pt">
                <v:shadow color="#7f7f7f" opacity=".5" offset="1pt"/>
              </v:shape>
            </w:pict>
          </mc:Fallback>
        </mc:AlternateContent>
      </w:r>
    </w:p>
    <w:p w:rsidR="00F4008B" w:rsidRDefault="00F4008B" w:rsidP="0083214B">
      <w:pPr>
        <w:spacing w:after="0" w:line="240" w:lineRule="auto"/>
        <w:rPr>
          <w:rFonts w:eastAsia="Times New Roman" w:cs="Times New Roman"/>
          <w:b/>
          <w:szCs w:val="24"/>
        </w:rPr>
      </w:pPr>
    </w:p>
    <w:p w:rsidR="00642CA0" w:rsidRDefault="00C912AE" w:rsidP="0083214B">
      <w:pPr>
        <w:spacing w:after="0" w:line="240" w:lineRule="auto"/>
        <w:rPr>
          <w:rFonts w:eastAsia="Times New Roman" w:cs="Times New Roman"/>
          <w:b/>
          <w:szCs w:val="24"/>
        </w:rPr>
      </w:pPr>
      <w:r w:rsidRPr="00AD651D">
        <w:rPr>
          <w:rFonts w:eastAsia="Times New Roman" w:cs="Times New Roman"/>
          <w:b/>
          <w:szCs w:val="24"/>
        </w:rPr>
        <w:t>PURPOSE:</w:t>
      </w:r>
      <w:r w:rsidR="00F4008B">
        <w:rPr>
          <w:rFonts w:eastAsia="Times New Roman" w:cs="Times New Roman"/>
          <w:b/>
          <w:szCs w:val="24"/>
        </w:rPr>
        <w:t xml:space="preserve">  </w:t>
      </w:r>
    </w:p>
    <w:p w:rsidR="00C912AE" w:rsidRPr="00632E2A" w:rsidRDefault="00C740C9" w:rsidP="0083214B">
      <w:pPr>
        <w:spacing w:after="0" w:line="240" w:lineRule="auto"/>
        <w:rPr>
          <w:rFonts w:eastAsia="Times New Roman" w:cs="Times New Roman"/>
          <w:szCs w:val="24"/>
        </w:rPr>
      </w:pPr>
      <w:r>
        <w:rPr>
          <w:rFonts w:eastAsia="Times New Roman" w:cs="Times New Roman"/>
          <w:szCs w:val="24"/>
        </w:rPr>
        <w:t>P</w:t>
      </w:r>
      <w:r w:rsidR="00632E2A">
        <w:rPr>
          <w:rFonts w:eastAsia="Times New Roman" w:cs="Times New Roman"/>
          <w:szCs w:val="24"/>
        </w:rPr>
        <w:t>rovide guidance for completing the annexation process to modify District boundaries to provide services to a single property owner.</w:t>
      </w:r>
    </w:p>
    <w:p w:rsidR="004537EA" w:rsidRPr="00AD651D" w:rsidRDefault="004537EA" w:rsidP="0083214B">
      <w:pPr>
        <w:spacing w:after="0" w:line="240" w:lineRule="auto"/>
        <w:rPr>
          <w:rFonts w:eastAsia="Times New Roman" w:cs="Times New Roman"/>
          <w:szCs w:val="24"/>
        </w:rPr>
      </w:pPr>
    </w:p>
    <w:p w:rsidR="00642CA0" w:rsidRDefault="00C912AE" w:rsidP="0083214B">
      <w:pPr>
        <w:spacing w:after="0" w:line="240" w:lineRule="auto"/>
        <w:rPr>
          <w:rFonts w:eastAsia="Times New Roman" w:cs="Times New Roman"/>
          <w:b/>
          <w:szCs w:val="24"/>
        </w:rPr>
      </w:pPr>
      <w:r w:rsidRPr="00AD651D">
        <w:rPr>
          <w:rFonts w:eastAsia="Times New Roman" w:cs="Times New Roman"/>
          <w:b/>
          <w:szCs w:val="24"/>
        </w:rPr>
        <w:t>SCOPE:</w:t>
      </w:r>
      <w:r w:rsidR="00F4008B">
        <w:rPr>
          <w:rFonts w:eastAsia="Times New Roman" w:cs="Times New Roman"/>
          <w:b/>
          <w:szCs w:val="24"/>
        </w:rPr>
        <w:t xml:space="preserve">  </w:t>
      </w:r>
    </w:p>
    <w:p w:rsidR="00C912AE" w:rsidRDefault="006038DB" w:rsidP="0083214B">
      <w:pPr>
        <w:spacing w:after="0" w:line="240" w:lineRule="auto"/>
        <w:rPr>
          <w:rFonts w:eastAsia="Times New Roman" w:cs="Times New Roman"/>
          <w:szCs w:val="24"/>
        </w:rPr>
      </w:pPr>
      <w:r>
        <w:rPr>
          <w:rFonts w:eastAsia="Times New Roman" w:cs="Times New Roman"/>
          <w:szCs w:val="24"/>
        </w:rPr>
        <w:t>Administrati</w:t>
      </w:r>
      <w:r w:rsidR="00C740C9">
        <w:rPr>
          <w:rFonts w:eastAsia="Times New Roman" w:cs="Times New Roman"/>
          <w:szCs w:val="24"/>
        </w:rPr>
        <w:t>on</w:t>
      </w:r>
      <w:r>
        <w:rPr>
          <w:rFonts w:eastAsia="Times New Roman" w:cs="Times New Roman"/>
          <w:szCs w:val="24"/>
        </w:rPr>
        <w:t xml:space="preserve"> </w:t>
      </w:r>
      <w:r w:rsidR="00C740C9">
        <w:rPr>
          <w:rFonts w:eastAsia="Times New Roman" w:cs="Times New Roman"/>
          <w:szCs w:val="24"/>
        </w:rPr>
        <w:t>Section personnel</w:t>
      </w:r>
    </w:p>
    <w:p w:rsidR="004537EA" w:rsidRPr="00AD651D" w:rsidRDefault="004537EA" w:rsidP="0083214B">
      <w:pPr>
        <w:spacing w:after="0" w:line="240" w:lineRule="auto"/>
        <w:rPr>
          <w:rFonts w:eastAsia="Times New Roman" w:cs="Times New Roman"/>
          <w:szCs w:val="24"/>
        </w:rPr>
      </w:pPr>
    </w:p>
    <w:p w:rsidR="00C912AE" w:rsidRPr="00F4008B" w:rsidRDefault="00C912AE" w:rsidP="0083214B">
      <w:pPr>
        <w:spacing w:after="0" w:line="240" w:lineRule="auto"/>
        <w:rPr>
          <w:rFonts w:eastAsia="Times New Roman" w:cs="Times New Roman"/>
          <w:szCs w:val="24"/>
        </w:rPr>
      </w:pPr>
      <w:r w:rsidRPr="00AD651D">
        <w:rPr>
          <w:rFonts w:eastAsia="Times New Roman" w:cs="Times New Roman"/>
          <w:b/>
          <w:szCs w:val="24"/>
        </w:rPr>
        <w:t>PROCEDURE:</w:t>
      </w:r>
      <w:r w:rsidR="00F4008B">
        <w:rPr>
          <w:rFonts w:eastAsia="Times New Roman" w:cs="Times New Roman"/>
          <w:b/>
          <w:szCs w:val="24"/>
        </w:rPr>
        <w:t xml:space="preserve">  </w:t>
      </w:r>
    </w:p>
    <w:p w:rsidR="00C912AE" w:rsidRPr="00F624D8" w:rsidRDefault="008C7E59" w:rsidP="0083214B">
      <w:pPr>
        <w:spacing w:after="0" w:line="240" w:lineRule="auto"/>
        <w:rPr>
          <w:rFonts w:eastAsia="Times New Roman"/>
          <w:szCs w:val="24"/>
        </w:rPr>
      </w:pPr>
      <w:r w:rsidRPr="00F624D8">
        <w:rPr>
          <w:rFonts w:eastAsia="Times New Roman"/>
          <w:szCs w:val="24"/>
        </w:rPr>
        <w:t xml:space="preserve">Requirements to annex into </w:t>
      </w:r>
      <w:r w:rsidR="00FA372D" w:rsidRPr="00F624D8">
        <w:rPr>
          <w:rFonts w:eastAsia="Times New Roman"/>
          <w:szCs w:val="24"/>
        </w:rPr>
        <w:t xml:space="preserve">Fire </w:t>
      </w:r>
      <w:r w:rsidRPr="00F624D8">
        <w:rPr>
          <w:rFonts w:eastAsia="Times New Roman"/>
          <w:szCs w:val="24"/>
        </w:rPr>
        <w:t>District</w:t>
      </w:r>
      <w:r w:rsidR="00FA372D" w:rsidRPr="00F624D8">
        <w:rPr>
          <w:rFonts w:eastAsia="Times New Roman"/>
          <w:szCs w:val="24"/>
        </w:rPr>
        <w:t xml:space="preserve"> A.R.S. § 48-262</w:t>
      </w:r>
      <w:r w:rsidRPr="00F624D8">
        <w:rPr>
          <w:rFonts w:eastAsia="Times New Roman"/>
          <w:szCs w:val="24"/>
        </w:rPr>
        <w:t>:</w:t>
      </w:r>
    </w:p>
    <w:p w:rsidR="00C62386" w:rsidRPr="00F624D8" w:rsidRDefault="005E5990" w:rsidP="00C62386">
      <w:pPr>
        <w:pStyle w:val="NormalWeb"/>
        <w:numPr>
          <w:ilvl w:val="0"/>
          <w:numId w:val="1"/>
        </w:numPr>
        <w:rPr>
          <w:rFonts w:ascii="Arial" w:hAnsi="Arial" w:cs="Arial"/>
        </w:rPr>
      </w:pPr>
      <w:r w:rsidRPr="00F624D8">
        <w:rPr>
          <w:rFonts w:ascii="Arial" w:hAnsi="Arial" w:cs="Arial"/>
        </w:rPr>
        <w:t xml:space="preserve">Per </w:t>
      </w:r>
      <w:r w:rsidR="00C62386" w:rsidRPr="00F624D8">
        <w:rPr>
          <w:rFonts w:ascii="Arial" w:hAnsi="Arial" w:cs="Arial"/>
        </w:rPr>
        <w:t xml:space="preserve">A.R.S. § </w:t>
      </w:r>
      <w:r w:rsidR="003F3A7B" w:rsidRPr="00F624D8">
        <w:rPr>
          <w:rFonts w:ascii="Arial" w:hAnsi="Arial" w:cs="Arial"/>
        </w:rPr>
        <w:t xml:space="preserve">48-262(K) </w:t>
      </w:r>
      <w:r w:rsidRPr="00F624D8">
        <w:rPr>
          <w:rFonts w:ascii="Arial" w:hAnsi="Arial" w:cs="Arial"/>
        </w:rPr>
        <w:t>a</w:t>
      </w:r>
      <w:r w:rsidR="00C62386" w:rsidRPr="00F624D8">
        <w:rPr>
          <w:rFonts w:ascii="Arial" w:hAnsi="Arial" w:cs="Arial"/>
        </w:rPr>
        <w:t xml:space="preserve"> fire district shall not annex or otherwise add territory that is already included in another existing fire district, unless de</w:t>
      </w:r>
      <w:r w:rsidR="003F3A7B" w:rsidRPr="00F624D8">
        <w:rPr>
          <w:rFonts w:ascii="Arial" w:hAnsi="Arial" w:cs="Arial"/>
        </w:rPr>
        <w:t>-</w:t>
      </w:r>
      <w:r w:rsidR="00C62386" w:rsidRPr="00F624D8">
        <w:rPr>
          <w:rFonts w:ascii="Arial" w:hAnsi="Arial" w:cs="Arial"/>
        </w:rPr>
        <w:t xml:space="preserve">annexed pursuant to </w:t>
      </w:r>
      <w:r w:rsidR="003F3A7B" w:rsidRPr="00F624D8">
        <w:rPr>
          <w:rFonts w:ascii="Arial" w:hAnsi="Arial" w:cs="Arial"/>
        </w:rPr>
        <w:t>A.R.S. § 48-262</w:t>
      </w:r>
      <w:r w:rsidRPr="00F624D8">
        <w:rPr>
          <w:rFonts w:ascii="Arial" w:hAnsi="Arial" w:cs="Arial"/>
        </w:rPr>
        <w:t>(D-F)</w:t>
      </w:r>
    </w:p>
    <w:p w:rsidR="00C62386" w:rsidRPr="00F624D8" w:rsidRDefault="00C62386" w:rsidP="0031217E">
      <w:pPr>
        <w:pStyle w:val="NormalWeb"/>
        <w:numPr>
          <w:ilvl w:val="0"/>
          <w:numId w:val="1"/>
        </w:numPr>
        <w:rPr>
          <w:rFonts w:ascii="Arial" w:hAnsi="Arial" w:cs="Arial"/>
        </w:rPr>
      </w:pPr>
      <w:r w:rsidRPr="00F624D8">
        <w:rPr>
          <w:rFonts w:ascii="Arial" w:hAnsi="Arial" w:cs="Arial"/>
        </w:rPr>
        <w:t xml:space="preserve">If the change in the boundaries proposed pursuant to </w:t>
      </w:r>
      <w:r w:rsidR="005E5990" w:rsidRPr="00F624D8">
        <w:rPr>
          <w:rFonts w:ascii="Arial" w:hAnsi="Arial" w:cs="Arial"/>
        </w:rPr>
        <w:t>A.R.S. § 48-262(</w:t>
      </w:r>
      <w:r w:rsidRPr="00F624D8">
        <w:rPr>
          <w:rFonts w:ascii="Arial" w:hAnsi="Arial" w:cs="Arial"/>
        </w:rPr>
        <w:t>A</w:t>
      </w:r>
      <w:r w:rsidR="005E5990" w:rsidRPr="00F624D8">
        <w:rPr>
          <w:rFonts w:ascii="Arial" w:hAnsi="Arial" w:cs="Arial"/>
        </w:rPr>
        <w:t>)</w:t>
      </w:r>
      <w:r w:rsidRPr="00F624D8">
        <w:rPr>
          <w:rFonts w:ascii="Arial" w:hAnsi="Arial" w:cs="Arial"/>
        </w:rPr>
        <w:t xml:space="preserve"> would result in a withdrawal of territory from an existing district, the petitions shall be approved by the governing body only if the proposed withdrawal would not result in a noncontiguous portion of the district that is less than one square mile in size. </w:t>
      </w:r>
    </w:p>
    <w:p w:rsidR="008C7E59" w:rsidRPr="00F624D8" w:rsidRDefault="008C7E59" w:rsidP="0031217E">
      <w:pPr>
        <w:pStyle w:val="ListParagraph"/>
        <w:numPr>
          <w:ilvl w:val="0"/>
          <w:numId w:val="1"/>
        </w:numPr>
        <w:spacing w:after="0" w:line="240" w:lineRule="auto"/>
        <w:rPr>
          <w:rFonts w:eastAsia="Times New Roman"/>
          <w:szCs w:val="24"/>
        </w:rPr>
      </w:pPr>
      <w:r w:rsidRPr="00F624D8">
        <w:rPr>
          <w:szCs w:val="24"/>
        </w:rPr>
        <w:t xml:space="preserve">Any property owner whose land is within a county that contains a </w:t>
      </w:r>
      <w:r w:rsidR="005E5990" w:rsidRPr="00F624D8">
        <w:rPr>
          <w:szCs w:val="24"/>
        </w:rPr>
        <w:t>f</w:t>
      </w:r>
      <w:r w:rsidRPr="00F624D8">
        <w:rPr>
          <w:szCs w:val="24"/>
        </w:rPr>
        <w:t xml:space="preserve">ire </w:t>
      </w:r>
      <w:r w:rsidR="005E5990" w:rsidRPr="00F624D8">
        <w:rPr>
          <w:szCs w:val="24"/>
        </w:rPr>
        <w:t>d</w:t>
      </w:r>
      <w:r w:rsidRPr="00F624D8">
        <w:rPr>
          <w:szCs w:val="24"/>
        </w:rPr>
        <w:t xml:space="preserve">istrict and whose land is </w:t>
      </w:r>
      <w:r w:rsidR="005E5990" w:rsidRPr="00F624D8">
        <w:rPr>
          <w:szCs w:val="24"/>
        </w:rPr>
        <w:t>bordering</w:t>
      </w:r>
      <w:r w:rsidRPr="00F624D8">
        <w:rPr>
          <w:szCs w:val="24"/>
        </w:rPr>
        <w:t xml:space="preserve"> </w:t>
      </w:r>
      <w:r w:rsidR="005E5990" w:rsidRPr="00F624D8">
        <w:rPr>
          <w:szCs w:val="24"/>
        </w:rPr>
        <w:t>the boundary</w:t>
      </w:r>
      <w:r w:rsidRPr="00F624D8">
        <w:rPr>
          <w:szCs w:val="24"/>
        </w:rPr>
        <w:t xml:space="preserve"> of the </w:t>
      </w:r>
      <w:r w:rsidR="006F09B0">
        <w:rPr>
          <w:szCs w:val="24"/>
        </w:rPr>
        <w:t>fire district</w:t>
      </w:r>
      <w:r w:rsidRPr="00F624D8">
        <w:rPr>
          <w:szCs w:val="24"/>
        </w:rPr>
        <w:t xml:space="preserve"> may request annexation in writing.</w:t>
      </w:r>
    </w:p>
    <w:p w:rsidR="004537EA" w:rsidRPr="00F624D8" w:rsidRDefault="0031217E" w:rsidP="0031217E">
      <w:pPr>
        <w:pStyle w:val="ListParagraph"/>
        <w:numPr>
          <w:ilvl w:val="0"/>
          <w:numId w:val="1"/>
        </w:numPr>
        <w:spacing w:after="0" w:line="240" w:lineRule="auto"/>
        <w:rPr>
          <w:rFonts w:eastAsia="Times New Roman"/>
          <w:szCs w:val="24"/>
        </w:rPr>
      </w:pPr>
      <w:r w:rsidRPr="00F624D8">
        <w:rPr>
          <w:rFonts w:eastAsia="Times New Roman"/>
          <w:szCs w:val="24"/>
        </w:rPr>
        <w:t>Fire</w:t>
      </w:r>
      <w:r w:rsidR="008C7E59" w:rsidRPr="00F624D8">
        <w:rPr>
          <w:rFonts w:eastAsia="Times New Roman"/>
          <w:szCs w:val="24"/>
        </w:rPr>
        <w:t xml:space="preserve"> Board determines</w:t>
      </w:r>
      <w:r w:rsidR="006F09B0">
        <w:rPr>
          <w:rFonts w:eastAsia="Times New Roman"/>
          <w:szCs w:val="24"/>
        </w:rPr>
        <w:t xml:space="preserve"> if</w:t>
      </w:r>
      <w:r w:rsidR="008C7E59" w:rsidRPr="00F624D8">
        <w:rPr>
          <w:rFonts w:eastAsia="Times New Roman"/>
          <w:szCs w:val="24"/>
        </w:rPr>
        <w:t xml:space="preserve"> the inclusion of the property will benefit the District and the property owner.</w:t>
      </w:r>
    </w:p>
    <w:p w:rsidR="0031217E" w:rsidRPr="00F624D8" w:rsidRDefault="0031217E" w:rsidP="0031217E">
      <w:pPr>
        <w:pStyle w:val="ListParagraph"/>
        <w:numPr>
          <w:ilvl w:val="0"/>
          <w:numId w:val="1"/>
        </w:numPr>
        <w:spacing w:after="0" w:line="240" w:lineRule="auto"/>
        <w:rPr>
          <w:rFonts w:eastAsia="Times New Roman"/>
          <w:szCs w:val="24"/>
        </w:rPr>
      </w:pPr>
      <w:r w:rsidRPr="00F624D8">
        <w:rPr>
          <w:rFonts w:eastAsia="Times New Roman"/>
          <w:szCs w:val="24"/>
        </w:rPr>
        <w:t xml:space="preserve">Petition and impact statement </w:t>
      </w:r>
      <w:r w:rsidR="005E5990" w:rsidRPr="00F624D8">
        <w:rPr>
          <w:rFonts w:eastAsia="Times New Roman"/>
          <w:szCs w:val="24"/>
        </w:rPr>
        <w:t>is not required for a single owner annexation.</w:t>
      </w:r>
    </w:p>
    <w:p w:rsidR="00C76055" w:rsidRPr="00F624D8" w:rsidRDefault="00C76055" w:rsidP="0031217E">
      <w:pPr>
        <w:pStyle w:val="ListParagraph"/>
        <w:numPr>
          <w:ilvl w:val="0"/>
          <w:numId w:val="1"/>
        </w:numPr>
        <w:spacing w:after="0" w:line="240" w:lineRule="auto"/>
        <w:rPr>
          <w:rFonts w:eastAsia="Times New Roman"/>
          <w:szCs w:val="24"/>
        </w:rPr>
      </w:pPr>
      <w:r w:rsidRPr="00F624D8">
        <w:rPr>
          <w:rFonts w:eastAsia="Times New Roman"/>
          <w:szCs w:val="24"/>
        </w:rPr>
        <w:t>Notwithstanding A.R.S. § 48-262(I), from the effective date of this amendment until July 1, 2015, in counties with a population of more than two million five hundred thousand persons, any property owner, including the United States, this state or a county, whose land is within two thousand six hundred forty feet of an adjacent fire district, not contiguous to the boundaries of the fire district may request in writing that the governing body annex their property.</w:t>
      </w:r>
    </w:p>
    <w:p w:rsidR="005E5990" w:rsidRPr="00F624D8" w:rsidRDefault="005E5990" w:rsidP="005E5990">
      <w:pPr>
        <w:pStyle w:val="ListParagraph"/>
        <w:spacing w:after="0" w:line="240" w:lineRule="auto"/>
        <w:rPr>
          <w:rFonts w:eastAsia="Times New Roman"/>
          <w:szCs w:val="24"/>
        </w:rPr>
      </w:pPr>
    </w:p>
    <w:p w:rsidR="005E5990" w:rsidRPr="00F624D8" w:rsidRDefault="005E5990" w:rsidP="005E5990">
      <w:pPr>
        <w:spacing w:after="0" w:line="240" w:lineRule="auto"/>
        <w:rPr>
          <w:rFonts w:eastAsia="Times New Roman"/>
          <w:szCs w:val="24"/>
        </w:rPr>
      </w:pPr>
      <w:r w:rsidRPr="00F624D8">
        <w:rPr>
          <w:rFonts w:eastAsia="Times New Roman"/>
          <w:szCs w:val="24"/>
        </w:rPr>
        <w:t>Step</w:t>
      </w:r>
      <w:r w:rsidR="00684E51">
        <w:rPr>
          <w:rFonts w:eastAsia="Times New Roman"/>
          <w:szCs w:val="24"/>
        </w:rPr>
        <w:t>s</w:t>
      </w:r>
      <w:r w:rsidRPr="00F624D8">
        <w:rPr>
          <w:rFonts w:eastAsia="Times New Roman"/>
          <w:szCs w:val="24"/>
        </w:rPr>
        <w:t xml:space="preserve"> to complete single owner annexation:</w:t>
      </w:r>
    </w:p>
    <w:p w:rsidR="0031217E" w:rsidRPr="00F624D8" w:rsidRDefault="0031217E" w:rsidP="005E5990">
      <w:pPr>
        <w:pStyle w:val="ListParagraph"/>
        <w:numPr>
          <w:ilvl w:val="0"/>
          <w:numId w:val="3"/>
        </w:numPr>
        <w:spacing w:after="0" w:line="240" w:lineRule="auto"/>
        <w:ind w:left="360"/>
        <w:rPr>
          <w:rFonts w:eastAsia="Times New Roman"/>
          <w:szCs w:val="24"/>
        </w:rPr>
      </w:pPr>
      <w:r w:rsidRPr="00F624D8">
        <w:rPr>
          <w:rFonts w:eastAsia="Times New Roman"/>
          <w:szCs w:val="24"/>
        </w:rPr>
        <w:t>Property owner submits written request to annex property into the District. Request must include:</w:t>
      </w:r>
    </w:p>
    <w:p w:rsidR="0031217E" w:rsidRPr="00F624D8" w:rsidRDefault="0031217E" w:rsidP="005E5990">
      <w:pPr>
        <w:pStyle w:val="ListParagraph"/>
        <w:numPr>
          <w:ilvl w:val="0"/>
          <w:numId w:val="2"/>
        </w:numPr>
        <w:spacing w:after="0" w:line="240" w:lineRule="auto"/>
        <w:ind w:left="720"/>
        <w:rPr>
          <w:rFonts w:eastAsia="Times New Roman"/>
          <w:szCs w:val="24"/>
        </w:rPr>
      </w:pPr>
      <w:r w:rsidRPr="00F624D8">
        <w:rPr>
          <w:rFonts w:eastAsia="Times New Roman"/>
          <w:szCs w:val="24"/>
        </w:rPr>
        <w:t>Parcel number</w:t>
      </w:r>
    </w:p>
    <w:p w:rsidR="0031217E" w:rsidRPr="00F624D8" w:rsidRDefault="0031217E" w:rsidP="005E5990">
      <w:pPr>
        <w:pStyle w:val="ListParagraph"/>
        <w:numPr>
          <w:ilvl w:val="0"/>
          <w:numId w:val="2"/>
        </w:numPr>
        <w:spacing w:after="0" w:line="240" w:lineRule="auto"/>
        <w:ind w:left="720"/>
        <w:rPr>
          <w:rFonts w:eastAsia="Times New Roman"/>
          <w:szCs w:val="24"/>
        </w:rPr>
      </w:pPr>
      <w:r w:rsidRPr="00F624D8">
        <w:rPr>
          <w:rFonts w:eastAsia="Times New Roman"/>
          <w:szCs w:val="24"/>
        </w:rPr>
        <w:t>Legal description of property</w:t>
      </w:r>
    </w:p>
    <w:p w:rsidR="0031217E" w:rsidRPr="00F624D8" w:rsidRDefault="0031217E" w:rsidP="005E5990">
      <w:pPr>
        <w:pStyle w:val="ListParagraph"/>
        <w:numPr>
          <w:ilvl w:val="0"/>
          <w:numId w:val="2"/>
        </w:numPr>
        <w:spacing w:after="0" w:line="240" w:lineRule="auto"/>
        <w:ind w:left="720"/>
        <w:rPr>
          <w:rFonts w:eastAsia="Times New Roman"/>
          <w:szCs w:val="24"/>
        </w:rPr>
      </w:pPr>
      <w:r w:rsidRPr="00F624D8">
        <w:rPr>
          <w:rFonts w:eastAsia="Times New Roman"/>
          <w:szCs w:val="24"/>
        </w:rPr>
        <w:t xml:space="preserve">Map showing that the property </w:t>
      </w:r>
      <w:r w:rsidR="005E5990" w:rsidRPr="00F624D8">
        <w:rPr>
          <w:rFonts w:eastAsia="Times New Roman"/>
          <w:szCs w:val="24"/>
        </w:rPr>
        <w:t>borders</w:t>
      </w:r>
      <w:r w:rsidRPr="00F624D8">
        <w:rPr>
          <w:rFonts w:eastAsia="Times New Roman"/>
          <w:szCs w:val="24"/>
        </w:rPr>
        <w:t xml:space="preserve"> the District boundaries</w:t>
      </w:r>
    </w:p>
    <w:p w:rsidR="00511472" w:rsidRPr="00F624D8" w:rsidRDefault="005E5990" w:rsidP="005E5990">
      <w:pPr>
        <w:pStyle w:val="ListParagraph"/>
        <w:numPr>
          <w:ilvl w:val="0"/>
          <w:numId w:val="3"/>
        </w:numPr>
        <w:spacing w:after="0" w:line="240" w:lineRule="auto"/>
        <w:ind w:left="360"/>
        <w:rPr>
          <w:rFonts w:eastAsia="Times New Roman"/>
          <w:szCs w:val="24"/>
        </w:rPr>
      </w:pPr>
      <w:r w:rsidRPr="00F624D8">
        <w:rPr>
          <w:rFonts w:eastAsia="Times New Roman"/>
          <w:szCs w:val="24"/>
        </w:rPr>
        <w:t>The Fire Board will d</w:t>
      </w:r>
      <w:r w:rsidR="0031217E" w:rsidRPr="00F624D8">
        <w:rPr>
          <w:rFonts w:eastAsia="Times New Roman"/>
          <w:szCs w:val="24"/>
        </w:rPr>
        <w:t>etermine if inclusion of property will benefit the District and the property owner.</w:t>
      </w:r>
    </w:p>
    <w:p w:rsidR="0031217E" w:rsidRPr="00F624D8" w:rsidRDefault="0031217E" w:rsidP="005E5990">
      <w:pPr>
        <w:pStyle w:val="ListParagraph"/>
        <w:numPr>
          <w:ilvl w:val="0"/>
          <w:numId w:val="3"/>
        </w:numPr>
        <w:spacing w:after="0" w:line="240" w:lineRule="auto"/>
        <w:ind w:left="360"/>
        <w:rPr>
          <w:rFonts w:eastAsia="Times New Roman"/>
          <w:szCs w:val="24"/>
        </w:rPr>
      </w:pPr>
      <w:r w:rsidRPr="00F624D8">
        <w:rPr>
          <w:rFonts w:eastAsia="Times New Roman"/>
          <w:szCs w:val="24"/>
        </w:rPr>
        <w:t xml:space="preserve">Place </w:t>
      </w:r>
      <w:r w:rsidR="00BF52ED" w:rsidRPr="00F624D8">
        <w:rPr>
          <w:rFonts w:eastAsia="Times New Roman"/>
          <w:szCs w:val="24"/>
        </w:rPr>
        <w:t xml:space="preserve">property owner's </w:t>
      </w:r>
      <w:r w:rsidRPr="00F624D8">
        <w:rPr>
          <w:rFonts w:eastAsia="Times New Roman"/>
          <w:szCs w:val="24"/>
        </w:rPr>
        <w:t xml:space="preserve">request </w:t>
      </w:r>
      <w:r w:rsidR="00BF52ED" w:rsidRPr="00F624D8">
        <w:rPr>
          <w:rFonts w:eastAsia="Times New Roman"/>
          <w:szCs w:val="24"/>
        </w:rPr>
        <w:t>along with a numbered</w:t>
      </w:r>
      <w:r w:rsidR="00CD1AFB" w:rsidRPr="00F624D8">
        <w:rPr>
          <w:rFonts w:eastAsia="Times New Roman"/>
          <w:szCs w:val="24"/>
        </w:rPr>
        <w:t xml:space="preserve"> resolution </w:t>
      </w:r>
      <w:r w:rsidRPr="00F624D8">
        <w:rPr>
          <w:rFonts w:eastAsia="Times New Roman"/>
          <w:szCs w:val="24"/>
        </w:rPr>
        <w:t xml:space="preserve">for </w:t>
      </w:r>
      <w:r w:rsidR="00BF52ED" w:rsidRPr="00F624D8">
        <w:rPr>
          <w:rFonts w:eastAsia="Times New Roman"/>
          <w:szCs w:val="24"/>
        </w:rPr>
        <w:t xml:space="preserve">the </w:t>
      </w:r>
      <w:r w:rsidRPr="00F624D8">
        <w:rPr>
          <w:rFonts w:eastAsia="Times New Roman"/>
          <w:szCs w:val="24"/>
        </w:rPr>
        <w:t>annexation on Fire Board meeting agenda for discussion and action.</w:t>
      </w:r>
    </w:p>
    <w:p w:rsidR="00CD1AFB" w:rsidRPr="00F624D8" w:rsidRDefault="00CD1AFB" w:rsidP="005E5990">
      <w:pPr>
        <w:pStyle w:val="ListParagraph"/>
        <w:numPr>
          <w:ilvl w:val="0"/>
          <w:numId w:val="3"/>
        </w:numPr>
        <w:spacing w:after="0" w:line="240" w:lineRule="auto"/>
        <w:ind w:left="360"/>
        <w:rPr>
          <w:rFonts w:eastAsia="Times New Roman"/>
          <w:szCs w:val="24"/>
        </w:rPr>
      </w:pPr>
      <w:r w:rsidRPr="00F624D8">
        <w:rPr>
          <w:rFonts w:eastAsia="Times New Roman"/>
          <w:szCs w:val="24"/>
        </w:rPr>
        <w:t xml:space="preserve">Record documents with </w:t>
      </w:r>
      <w:r w:rsidR="007A059F">
        <w:rPr>
          <w:rFonts w:eastAsia="Times New Roman"/>
          <w:szCs w:val="24"/>
        </w:rPr>
        <w:t>Mohave</w:t>
      </w:r>
      <w:r w:rsidRPr="00F624D8">
        <w:rPr>
          <w:rFonts w:eastAsia="Times New Roman"/>
          <w:szCs w:val="24"/>
        </w:rPr>
        <w:t xml:space="preserve"> County Recorder's office:</w:t>
      </w:r>
    </w:p>
    <w:p w:rsidR="00CD1AFB" w:rsidRPr="00F624D8" w:rsidRDefault="00CD1AFB" w:rsidP="005E5990">
      <w:pPr>
        <w:pStyle w:val="ListParagraph"/>
        <w:numPr>
          <w:ilvl w:val="0"/>
          <w:numId w:val="4"/>
        </w:numPr>
        <w:spacing w:after="0" w:line="240" w:lineRule="auto"/>
        <w:ind w:left="720"/>
        <w:rPr>
          <w:rFonts w:eastAsia="Times New Roman"/>
          <w:szCs w:val="24"/>
        </w:rPr>
      </w:pPr>
      <w:r w:rsidRPr="00F624D8">
        <w:rPr>
          <w:rFonts w:eastAsia="Times New Roman"/>
          <w:szCs w:val="24"/>
        </w:rPr>
        <w:t>Fire Board resolution</w:t>
      </w:r>
    </w:p>
    <w:p w:rsidR="00CD1AFB" w:rsidRPr="00F624D8" w:rsidRDefault="00CD1AFB" w:rsidP="005E5990">
      <w:pPr>
        <w:pStyle w:val="ListParagraph"/>
        <w:numPr>
          <w:ilvl w:val="0"/>
          <w:numId w:val="4"/>
        </w:numPr>
        <w:spacing w:after="0" w:line="240" w:lineRule="auto"/>
        <w:ind w:left="720"/>
        <w:rPr>
          <w:rFonts w:eastAsia="Times New Roman"/>
          <w:szCs w:val="24"/>
        </w:rPr>
      </w:pPr>
      <w:r w:rsidRPr="00F624D8">
        <w:rPr>
          <w:rFonts w:eastAsia="Times New Roman"/>
          <w:szCs w:val="24"/>
        </w:rPr>
        <w:t xml:space="preserve">Property owner's </w:t>
      </w:r>
      <w:r w:rsidR="00C54903" w:rsidRPr="00F624D8">
        <w:rPr>
          <w:rFonts w:eastAsia="Times New Roman"/>
          <w:szCs w:val="24"/>
        </w:rPr>
        <w:t xml:space="preserve">written </w:t>
      </w:r>
      <w:r w:rsidRPr="00F624D8">
        <w:rPr>
          <w:rFonts w:eastAsia="Times New Roman"/>
          <w:szCs w:val="24"/>
        </w:rPr>
        <w:t>annexation request</w:t>
      </w:r>
    </w:p>
    <w:p w:rsidR="00CD1AFB" w:rsidRPr="00F624D8" w:rsidRDefault="00CD1AFB" w:rsidP="005E5990">
      <w:pPr>
        <w:pStyle w:val="ListParagraph"/>
        <w:numPr>
          <w:ilvl w:val="0"/>
          <w:numId w:val="4"/>
        </w:numPr>
        <w:spacing w:after="0" w:line="240" w:lineRule="auto"/>
        <w:ind w:left="720"/>
        <w:rPr>
          <w:rFonts w:eastAsia="Times New Roman"/>
          <w:szCs w:val="24"/>
        </w:rPr>
      </w:pPr>
      <w:r w:rsidRPr="00F624D8">
        <w:rPr>
          <w:rFonts w:eastAsia="Times New Roman"/>
          <w:szCs w:val="24"/>
        </w:rPr>
        <w:t>Parcel number</w:t>
      </w:r>
    </w:p>
    <w:p w:rsidR="00CD1AFB" w:rsidRPr="00F624D8" w:rsidRDefault="00CD1AFB" w:rsidP="005E5990">
      <w:pPr>
        <w:pStyle w:val="ListParagraph"/>
        <w:numPr>
          <w:ilvl w:val="0"/>
          <w:numId w:val="4"/>
        </w:numPr>
        <w:spacing w:after="0" w:line="240" w:lineRule="auto"/>
        <w:ind w:left="720"/>
        <w:rPr>
          <w:rFonts w:eastAsia="Times New Roman"/>
          <w:szCs w:val="24"/>
        </w:rPr>
      </w:pPr>
      <w:r w:rsidRPr="00F624D8">
        <w:rPr>
          <w:rFonts w:eastAsia="Times New Roman"/>
          <w:szCs w:val="24"/>
        </w:rPr>
        <w:t>Legal description</w:t>
      </w:r>
    </w:p>
    <w:p w:rsidR="00CD1AFB" w:rsidRPr="00F624D8" w:rsidRDefault="00CD1AFB" w:rsidP="005E5990">
      <w:pPr>
        <w:pStyle w:val="ListParagraph"/>
        <w:numPr>
          <w:ilvl w:val="0"/>
          <w:numId w:val="4"/>
        </w:numPr>
        <w:spacing w:after="0" w:line="240" w:lineRule="auto"/>
        <w:ind w:left="720"/>
        <w:rPr>
          <w:rFonts w:eastAsia="Times New Roman"/>
          <w:szCs w:val="24"/>
        </w:rPr>
      </w:pPr>
      <w:r w:rsidRPr="00F624D8">
        <w:rPr>
          <w:rFonts w:eastAsia="Times New Roman"/>
          <w:szCs w:val="24"/>
        </w:rPr>
        <w:t>Map showing annexation area and adjacent District boundary</w:t>
      </w:r>
    </w:p>
    <w:p w:rsidR="008C7E59" w:rsidRPr="00F624D8" w:rsidRDefault="00CD1AFB" w:rsidP="00F624D8">
      <w:pPr>
        <w:pStyle w:val="ListParagraph"/>
        <w:keepNext/>
        <w:numPr>
          <w:ilvl w:val="0"/>
          <w:numId w:val="3"/>
        </w:numPr>
        <w:spacing w:after="0" w:line="240" w:lineRule="auto"/>
        <w:ind w:left="360"/>
        <w:rPr>
          <w:rFonts w:eastAsia="Times New Roman"/>
          <w:szCs w:val="24"/>
        </w:rPr>
      </w:pPr>
      <w:r w:rsidRPr="00F624D8">
        <w:rPr>
          <w:rFonts w:eastAsia="Times New Roman"/>
          <w:szCs w:val="24"/>
        </w:rPr>
        <w:t xml:space="preserve">Submit </w:t>
      </w:r>
      <w:r w:rsidR="00C740C9">
        <w:rPr>
          <w:rFonts w:eastAsia="Times New Roman"/>
          <w:szCs w:val="24"/>
        </w:rPr>
        <w:t>copies of</w:t>
      </w:r>
      <w:r w:rsidR="007A059F">
        <w:rPr>
          <w:rFonts w:eastAsia="Times New Roman"/>
          <w:szCs w:val="24"/>
        </w:rPr>
        <w:t xml:space="preserve"> recorded</w:t>
      </w:r>
      <w:r w:rsidR="00C740C9">
        <w:rPr>
          <w:rFonts w:eastAsia="Times New Roman"/>
          <w:szCs w:val="24"/>
        </w:rPr>
        <w:t xml:space="preserve"> </w:t>
      </w:r>
      <w:r w:rsidRPr="00F624D8">
        <w:rPr>
          <w:rFonts w:eastAsia="Times New Roman"/>
          <w:szCs w:val="24"/>
        </w:rPr>
        <w:t xml:space="preserve">documents listed under </w:t>
      </w:r>
      <w:r w:rsidR="00C740C9">
        <w:rPr>
          <w:rFonts w:eastAsia="Times New Roman"/>
          <w:szCs w:val="24"/>
        </w:rPr>
        <w:t xml:space="preserve">Step </w:t>
      </w:r>
      <w:r w:rsidRPr="00F624D8">
        <w:rPr>
          <w:rFonts w:eastAsia="Times New Roman"/>
          <w:szCs w:val="24"/>
        </w:rPr>
        <w:t>4 to:</w:t>
      </w:r>
    </w:p>
    <w:p w:rsidR="00CD1AFB" w:rsidRPr="00F624D8" w:rsidRDefault="007A059F" w:rsidP="00F624D8">
      <w:pPr>
        <w:pStyle w:val="ListParagraph"/>
        <w:keepNext/>
        <w:numPr>
          <w:ilvl w:val="0"/>
          <w:numId w:val="5"/>
        </w:numPr>
        <w:spacing w:after="0" w:line="240" w:lineRule="auto"/>
        <w:ind w:left="720"/>
        <w:rPr>
          <w:rFonts w:eastAsia="Times New Roman"/>
          <w:szCs w:val="24"/>
        </w:rPr>
      </w:pPr>
      <w:r>
        <w:rPr>
          <w:rFonts w:eastAsia="Times New Roman"/>
          <w:szCs w:val="24"/>
        </w:rPr>
        <w:t>Mohave</w:t>
      </w:r>
      <w:r w:rsidR="00CD1AFB" w:rsidRPr="00F624D8">
        <w:rPr>
          <w:rFonts w:eastAsia="Times New Roman"/>
          <w:szCs w:val="24"/>
        </w:rPr>
        <w:t xml:space="preserve"> County Board of Supervisors</w:t>
      </w:r>
    </w:p>
    <w:p w:rsidR="00C54903" w:rsidRPr="00F624D8" w:rsidRDefault="007A059F" w:rsidP="005E5990">
      <w:pPr>
        <w:pStyle w:val="ListParagraph"/>
        <w:numPr>
          <w:ilvl w:val="0"/>
          <w:numId w:val="5"/>
        </w:numPr>
        <w:spacing w:after="0" w:line="240" w:lineRule="auto"/>
        <w:ind w:left="720"/>
        <w:rPr>
          <w:rFonts w:eastAsia="Times New Roman"/>
          <w:szCs w:val="24"/>
        </w:rPr>
      </w:pPr>
      <w:r>
        <w:rPr>
          <w:rFonts w:eastAsia="Times New Roman"/>
          <w:szCs w:val="24"/>
        </w:rPr>
        <w:t>Mohave</w:t>
      </w:r>
      <w:r w:rsidR="00C54903" w:rsidRPr="00F624D8">
        <w:rPr>
          <w:rFonts w:eastAsia="Times New Roman"/>
          <w:szCs w:val="24"/>
        </w:rPr>
        <w:t xml:space="preserve"> County Assessor</w:t>
      </w:r>
    </w:p>
    <w:p w:rsidR="00C54903" w:rsidRPr="00F624D8" w:rsidRDefault="007A059F" w:rsidP="005E5990">
      <w:pPr>
        <w:pStyle w:val="ListParagraph"/>
        <w:numPr>
          <w:ilvl w:val="0"/>
          <w:numId w:val="5"/>
        </w:numPr>
        <w:spacing w:after="0" w:line="240" w:lineRule="auto"/>
        <w:ind w:left="720"/>
        <w:rPr>
          <w:rFonts w:eastAsia="Times New Roman"/>
          <w:szCs w:val="24"/>
        </w:rPr>
      </w:pPr>
      <w:r>
        <w:rPr>
          <w:rFonts w:eastAsia="Times New Roman"/>
          <w:szCs w:val="24"/>
        </w:rPr>
        <w:t>Mohave</w:t>
      </w:r>
      <w:r w:rsidR="00C54903" w:rsidRPr="00F624D8">
        <w:rPr>
          <w:rFonts w:eastAsia="Times New Roman"/>
          <w:szCs w:val="24"/>
        </w:rPr>
        <w:t xml:space="preserve"> County Treasurer</w:t>
      </w:r>
    </w:p>
    <w:p w:rsidR="00CD1AFB" w:rsidRPr="00F624D8" w:rsidRDefault="007A059F" w:rsidP="005E5990">
      <w:pPr>
        <w:pStyle w:val="ListParagraph"/>
        <w:numPr>
          <w:ilvl w:val="0"/>
          <w:numId w:val="5"/>
        </w:numPr>
        <w:spacing w:after="0" w:line="240" w:lineRule="auto"/>
        <w:ind w:left="720"/>
        <w:rPr>
          <w:rFonts w:eastAsia="Times New Roman"/>
          <w:szCs w:val="24"/>
        </w:rPr>
      </w:pPr>
      <w:r>
        <w:rPr>
          <w:rFonts w:eastAsia="Times New Roman"/>
          <w:szCs w:val="24"/>
        </w:rPr>
        <w:t>Mohave</w:t>
      </w:r>
      <w:r w:rsidR="00CD1AFB" w:rsidRPr="00F624D8">
        <w:rPr>
          <w:rFonts w:eastAsia="Times New Roman"/>
          <w:szCs w:val="24"/>
        </w:rPr>
        <w:t xml:space="preserve"> County Elections Department</w:t>
      </w:r>
    </w:p>
    <w:p w:rsidR="00CD1AFB" w:rsidRPr="00F624D8" w:rsidRDefault="007A059F" w:rsidP="005E5990">
      <w:pPr>
        <w:pStyle w:val="ListParagraph"/>
        <w:numPr>
          <w:ilvl w:val="0"/>
          <w:numId w:val="5"/>
        </w:numPr>
        <w:spacing w:after="0" w:line="240" w:lineRule="auto"/>
        <w:ind w:left="720"/>
        <w:rPr>
          <w:rFonts w:eastAsia="Times New Roman"/>
          <w:szCs w:val="24"/>
        </w:rPr>
      </w:pPr>
      <w:r>
        <w:rPr>
          <w:rFonts w:eastAsia="Times New Roman"/>
          <w:szCs w:val="24"/>
        </w:rPr>
        <w:lastRenderedPageBreak/>
        <w:t>Mohave</w:t>
      </w:r>
      <w:r w:rsidR="00CD1AFB" w:rsidRPr="00F624D8">
        <w:rPr>
          <w:rFonts w:eastAsia="Times New Roman"/>
          <w:szCs w:val="24"/>
        </w:rPr>
        <w:t xml:space="preserve"> County Voter Registration</w:t>
      </w:r>
    </w:p>
    <w:p w:rsidR="00CD1AFB" w:rsidRPr="00F624D8" w:rsidRDefault="00CD1AFB" w:rsidP="005E5990">
      <w:pPr>
        <w:pStyle w:val="ListParagraph"/>
        <w:numPr>
          <w:ilvl w:val="0"/>
          <w:numId w:val="5"/>
        </w:numPr>
        <w:spacing w:after="0" w:line="240" w:lineRule="auto"/>
        <w:ind w:left="720"/>
        <w:rPr>
          <w:rFonts w:eastAsia="Times New Roman"/>
          <w:szCs w:val="24"/>
        </w:rPr>
      </w:pPr>
      <w:r w:rsidRPr="00F624D8">
        <w:rPr>
          <w:rFonts w:eastAsia="Times New Roman"/>
          <w:szCs w:val="24"/>
        </w:rPr>
        <w:t>Arizona Departm</w:t>
      </w:r>
      <w:r w:rsidR="00C54903" w:rsidRPr="00F624D8">
        <w:rPr>
          <w:rFonts w:eastAsia="Times New Roman"/>
          <w:szCs w:val="24"/>
        </w:rPr>
        <w:t xml:space="preserve">ent of Revenue, Flo Villaverde, </w:t>
      </w:r>
      <w:r w:rsidRPr="00F624D8">
        <w:rPr>
          <w:rFonts w:eastAsia="Times New Roman"/>
          <w:szCs w:val="24"/>
        </w:rPr>
        <w:t xml:space="preserve">GIS Section, 1600 W. Monroe, </w:t>
      </w:r>
      <w:r w:rsidR="00C54903" w:rsidRPr="00F624D8">
        <w:rPr>
          <w:rFonts w:eastAsia="Times New Roman"/>
          <w:szCs w:val="24"/>
        </w:rPr>
        <w:t xml:space="preserve">8th Floor, </w:t>
      </w:r>
      <w:r w:rsidRPr="00F624D8">
        <w:rPr>
          <w:rFonts w:eastAsia="Times New Roman"/>
          <w:szCs w:val="24"/>
        </w:rPr>
        <w:t>Phoenix, Arizona 85077-2612</w:t>
      </w:r>
      <w:r w:rsidR="00C54903" w:rsidRPr="00F624D8">
        <w:rPr>
          <w:rFonts w:eastAsia="Times New Roman"/>
          <w:szCs w:val="24"/>
        </w:rPr>
        <w:t xml:space="preserve"> (Telephone 602-716-6814)</w:t>
      </w:r>
      <w:r w:rsidR="007A059F">
        <w:rPr>
          <w:rFonts w:eastAsia="Times New Roman"/>
          <w:szCs w:val="24"/>
        </w:rPr>
        <w:t xml:space="preserve"> E-mail to: fvillaverde@azdor.gov</w:t>
      </w:r>
    </w:p>
    <w:p w:rsidR="00CD1AFB" w:rsidRDefault="00CD1AFB" w:rsidP="005E5990">
      <w:pPr>
        <w:pStyle w:val="ListParagraph"/>
        <w:numPr>
          <w:ilvl w:val="0"/>
          <w:numId w:val="5"/>
        </w:numPr>
        <w:spacing w:after="0" w:line="240" w:lineRule="auto"/>
        <w:ind w:left="720"/>
        <w:rPr>
          <w:rFonts w:eastAsia="Times New Roman"/>
          <w:szCs w:val="24"/>
        </w:rPr>
      </w:pPr>
      <w:r w:rsidRPr="00F624D8">
        <w:rPr>
          <w:rFonts w:eastAsia="Times New Roman"/>
          <w:szCs w:val="24"/>
        </w:rPr>
        <w:t>Insurance Service Office (ISO)</w:t>
      </w:r>
    </w:p>
    <w:p w:rsidR="007A059F" w:rsidRDefault="007A059F" w:rsidP="007A059F">
      <w:pPr>
        <w:pStyle w:val="ListParagraph"/>
        <w:spacing w:after="0" w:line="240" w:lineRule="auto"/>
        <w:rPr>
          <w:rFonts w:eastAsia="Times New Roman"/>
          <w:szCs w:val="24"/>
        </w:rPr>
      </w:pPr>
      <w:r>
        <w:rPr>
          <w:rFonts w:eastAsia="Times New Roman"/>
          <w:szCs w:val="24"/>
        </w:rPr>
        <w:t>PO Box 5404</w:t>
      </w:r>
    </w:p>
    <w:p w:rsidR="007A059F" w:rsidRPr="00F624D8" w:rsidRDefault="007A059F" w:rsidP="007A059F">
      <w:pPr>
        <w:pStyle w:val="ListParagraph"/>
        <w:spacing w:after="0" w:line="240" w:lineRule="auto"/>
        <w:rPr>
          <w:rFonts w:eastAsia="Times New Roman"/>
          <w:szCs w:val="24"/>
        </w:rPr>
      </w:pPr>
      <w:r>
        <w:rPr>
          <w:rFonts w:eastAsia="Times New Roman"/>
          <w:szCs w:val="24"/>
        </w:rPr>
        <w:t>Mt. Laurel, NJ 08054-5404</w:t>
      </w:r>
      <w:bookmarkStart w:id="0" w:name="_GoBack"/>
      <w:bookmarkEnd w:id="0"/>
    </w:p>
    <w:p w:rsidR="00B506D2" w:rsidRPr="00F624D8" w:rsidRDefault="00B506D2" w:rsidP="005E5990">
      <w:pPr>
        <w:pStyle w:val="ListParagraph"/>
        <w:numPr>
          <w:ilvl w:val="0"/>
          <w:numId w:val="3"/>
        </w:numPr>
        <w:spacing w:after="0" w:line="240" w:lineRule="auto"/>
        <w:ind w:left="360"/>
        <w:rPr>
          <w:rFonts w:eastAsia="Times New Roman"/>
          <w:szCs w:val="24"/>
        </w:rPr>
      </w:pPr>
      <w:r w:rsidRPr="00F624D8">
        <w:rPr>
          <w:rFonts w:eastAsia="Times New Roman"/>
          <w:szCs w:val="24"/>
        </w:rPr>
        <w:t xml:space="preserve">Attach approved minutes from Board meeting to items listed in Step 4 and keep as permanent records as per A.R.S. </w:t>
      </w:r>
      <w:r w:rsidR="001759A9">
        <w:rPr>
          <w:rFonts w:eastAsia="Times New Roman"/>
          <w:szCs w:val="24"/>
        </w:rPr>
        <w:t>§ 39-101.</w:t>
      </w:r>
    </w:p>
    <w:p w:rsidR="00B506D2" w:rsidRPr="00F624D8" w:rsidRDefault="00B506D2" w:rsidP="00642CA0">
      <w:pPr>
        <w:pStyle w:val="ListParagraph"/>
        <w:numPr>
          <w:ilvl w:val="0"/>
          <w:numId w:val="3"/>
        </w:numPr>
        <w:spacing w:after="0" w:line="240" w:lineRule="auto"/>
        <w:ind w:left="360"/>
        <w:rPr>
          <w:rFonts w:eastAsia="Times New Roman"/>
          <w:szCs w:val="24"/>
        </w:rPr>
      </w:pPr>
      <w:r w:rsidRPr="00F624D8">
        <w:rPr>
          <w:rFonts w:eastAsia="Times New Roman"/>
          <w:szCs w:val="24"/>
        </w:rPr>
        <w:t xml:space="preserve">Place </w:t>
      </w:r>
      <w:r w:rsidR="00642CA0" w:rsidRPr="00F624D8">
        <w:rPr>
          <w:rFonts w:eastAsia="Times New Roman"/>
          <w:szCs w:val="24"/>
        </w:rPr>
        <w:t xml:space="preserve">a copy of </w:t>
      </w:r>
      <w:r w:rsidRPr="00F624D8">
        <w:rPr>
          <w:rFonts w:eastAsia="Times New Roman"/>
          <w:szCs w:val="24"/>
        </w:rPr>
        <w:t xml:space="preserve">annexation documents in General Filing, </w:t>
      </w:r>
      <w:r w:rsidR="00F624D8" w:rsidRPr="00F624D8">
        <w:rPr>
          <w:rFonts w:eastAsia="Times New Roman"/>
          <w:szCs w:val="24"/>
        </w:rPr>
        <w:t xml:space="preserve">Special Districts, </w:t>
      </w:r>
      <w:r w:rsidRPr="00F624D8">
        <w:rPr>
          <w:rFonts w:eastAsia="Times New Roman"/>
          <w:szCs w:val="24"/>
        </w:rPr>
        <w:t>Annual Report.</w:t>
      </w:r>
    </w:p>
    <w:p w:rsidR="00DF5B31" w:rsidRPr="00F624D8" w:rsidRDefault="00DF5B31" w:rsidP="00B506D2">
      <w:pPr>
        <w:spacing w:after="0" w:line="240" w:lineRule="auto"/>
        <w:rPr>
          <w:rFonts w:eastAsia="Times New Roman"/>
          <w:szCs w:val="24"/>
        </w:rPr>
      </w:pPr>
    </w:p>
    <w:p w:rsidR="00C912AE" w:rsidRPr="00F4008B" w:rsidRDefault="00C912AE" w:rsidP="0083214B">
      <w:pPr>
        <w:spacing w:after="0" w:line="240" w:lineRule="auto"/>
        <w:rPr>
          <w:rFonts w:eastAsia="Times New Roman" w:cs="Times New Roman"/>
          <w:szCs w:val="24"/>
        </w:rPr>
      </w:pPr>
      <w:r w:rsidRPr="00AD651D">
        <w:rPr>
          <w:rFonts w:eastAsia="Times New Roman" w:cs="Times New Roman"/>
          <w:b/>
          <w:szCs w:val="24"/>
        </w:rPr>
        <w:t>RESPONSIBILITY:</w:t>
      </w:r>
      <w:r w:rsidR="00F4008B">
        <w:rPr>
          <w:rFonts w:eastAsia="Times New Roman" w:cs="Times New Roman"/>
          <w:b/>
          <w:szCs w:val="24"/>
        </w:rPr>
        <w:t xml:space="preserve">  </w:t>
      </w:r>
    </w:p>
    <w:p w:rsidR="00C912AE" w:rsidRDefault="00632E2A" w:rsidP="0083214B">
      <w:pPr>
        <w:spacing w:after="0" w:line="240" w:lineRule="auto"/>
      </w:pPr>
      <w:r>
        <w:t>Administration</w:t>
      </w:r>
    </w:p>
    <w:p w:rsidR="004537EA" w:rsidRPr="00EE578E" w:rsidRDefault="004537EA" w:rsidP="0083214B">
      <w:pPr>
        <w:spacing w:after="0" w:line="240" w:lineRule="auto"/>
      </w:pPr>
    </w:p>
    <w:p w:rsidR="00C912AE" w:rsidRPr="00F4008B" w:rsidRDefault="00C912AE" w:rsidP="0083214B">
      <w:pPr>
        <w:spacing w:after="0" w:line="240" w:lineRule="auto"/>
      </w:pPr>
      <w:r w:rsidRPr="00D94A8C">
        <w:rPr>
          <w:b/>
        </w:rPr>
        <w:t>REFERENCES:</w:t>
      </w:r>
      <w:r w:rsidR="00F4008B">
        <w:rPr>
          <w:b/>
        </w:rPr>
        <w:t xml:space="preserve">  </w:t>
      </w:r>
    </w:p>
    <w:p w:rsidR="005565A4" w:rsidRDefault="005565A4" w:rsidP="0083214B">
      <w:pPr>
        <w:spacing w:after="0" w:line="240" w:lineRule="auto"/>
      </w:pPr>
      <w:r w:rsidRPr="00013188">
        <w:t xml:space="preserve">A.R.S. </w:t>
      </w:r>
      <w:r>
        <w:t xml:space="preserve">§ 39-101 </w:t>
      </w:r>
      <w:r w:rsidRPr="005565A4">
        <w:t>Permanent public records; quality; storage; violation; classification</w:t>
      </w:r>
      <w:r>
        <w:t xml:space="preserve"> </w:t>
      </w:r>
    </w:p>
    <w:p w:rsidR="00C912AE" w:rsidRDefault="00013188" w:rsidP="0083214B">
      <w:pPr>
        <w:spacing w:after="0" w:line="240" w:lineRule="auto"/>
        <w:rPr>
          <w:b/>
        </w:rPr>
      </w:pPr>
      <w:r w:rsidRPr="00013188">
        <w:t xml:space="preserve">A.R.S. </w:t>
      </w:r>
      <w:r w:rsidR="008C7E59">
        <w:t>§ 48-262</w:t>
      </w:r>
      <w:r w:rsidR="00642CA0">
        <w:t xml:space="preserve"> District boundary changes; procedures, notice; hearing; determinations; petitions</w:t>
      </w:r>
    </w:p>
    <w:p w:rsidR="00C912AE" w:rsidRPr="00511472" w:rsidRDefault="00511472" w:rsidP="0083214B">
      <w:pPr>
        <w:spacing w:after="0" w:line="240" w:lineRule="auto"/>
      </w:pPr>
      <w:r w:rsidRPr="00013188">
        <w:t xml:space="preserve">A.R.S. </w:t>
      </w:r>
      <w:r>
        <w:t xml:space="preserve">§ </w:t>
      </w:r>
      <w:r w:rsidRPr="00511472">
        <w:t>42-17257 Notice of establishment or change in city, town or taxing district boundaries</w:t>
      </w:r>
    </w:p>
    <w:sectPr w:rsidR="00C912AE" w:rsidRPr="00511472" w:rsidSect="002A54E6">
      <w:footerReference w:type="default" r:id="rId7"/>
      <w:pgSz w:w="12240" w:h="15840"/>
      <w:pgMar w:top="720" w:right="720" w:bottom="720" w:left="1152"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5A4" w:rsidRDefault="005565A4" w:rsidP="004474A1">
      <w:pPr>
        <w:spacing w:after="0" w:line="240" w:lineRule="auto"/>
      </w:pPr>
      <w:r>
        <w:separator/>
      </w:r>
    </w:p>
  </w:endnote>
  <w:endnote w:type="continuationSeparator" w:id="0">
    <w:p w:rsidR="005565A4" w:rsidRDefault="005565A4" w:rsidP="00447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5A4" w:rsidRPr="003F3A7B" w:rsidRDefault="00A968A0" w:rsidP="003F3A7B">
    <w:pPr>
      <w:tabs>
        <w:tab w:val="center" w:pos="4320"/>
        <w:tab w:val="right" w:pos="8640"/>
      </w:tabs>
      <w:rPr>
        <w:sz w:val="20"/>
      </w:rPr>
    </w:pPr>
    <w:sdt>
      <w:sdtPr>
        <w:rPr>
          <w:sz w:val="20"/>
        </w:rPr>
        <w:id w:val="250395305"/>
        <w:docPartObj>
          <w:docPartGallery w:val="Page Numbers (Top of Page)"/>
          <w:docPartUnique/>
        </w:docPartObj>
      </w:sdtPr>
      <w:sdtEndPr/>
      <w:sdtContent>
        <w:r w:rsidR="005565A4" w:rsidRPr="003F3A7B">
          <w:rPr>
            <w:sz w:val="20"/>
          </w:rPr>
          <w:t xml:space="preserve">Page </w:t>
        </w:r>
        <w:r w:rsidR="005565A4" w:rsidRPr="003F3A7B">
          <w:rPr>
            <w:sz w:val="20"/>
          </w:rPr>
          <w:fldChar w:fldCharType="begin"/>
        </w:r>
        <w:r w:rsidR="005565A4" w:rsidRPr="003F3A7B">
          <w:rPr>
            <w:sz w:val="20"/>
          </w:rPr>
          <w:instrText xml:space="preserve"> PAGE </w:instrText>
        </w:r>
        <w:r w:rsidR="005565A4" w:rsidRPr="003F3A7B">
          <w:rPr>
            <w:sz w:val="20"/>
          </w:rPr>
          <w:fldChar w:fldCharType="separate"/>
        </w:r>
        <w:r>
          <w:rPr>
            <w:noProof/>
            <w:sz w:val="20"/>
          </w:rPr>
          <w:t>2</w:t>
        </w:r>
        <w:r w:rsidR="005565A4" w:rsidRPr="003F3A7B">
          <w:rPr>
            <w:sz w:val="20"/>
          </w:rPr>
          <w:fldChar w:fldCharType="end"/>
        </w:r>
        <w:r w:rsidR="005565A4" w:rsidRPr="003F3A7B">
          <w:rPr>
            <w:sz w:val="20"/>
          </w:rPr>
          <w:t xml:space="preserve"> of </w:t>
        </w:r>
        <w:r w:rsidR="005565A4" w:rsidRPr="003F3A7B">
          <w:rPr>
            <w:sz w:val="20"/>
          </w:rPr>
          <w:fldChar w:fldCharType="begin"/>
        </w:r>
        <w:r w:rsidR="005565A4" w:rsidRPr="003F3A7B">
          <w:rPr>
            <w:sz w:val="20"/>
          </w:rPr>
          <w:instrText xml:space="preserve"> NUMPAGES  </w:instrText>
        </w:r>
        <w:r w:rsidR="005565A4" w:rsidRPr="003F3A7B">
          <w:rPr>
            <w:sz w:val="20"/>
          </w:rPr>
          <w:fldChar w:fldCharType="separate"/>
        </w:r>
        <w:r>
          <w:rPr>
            <w:noProof/>
            <w:sz w:val="20"/>
          </w:rPr>
          <w:t>2</w:t>
        </w:r>
        <w:r w:rsidR="005565A4" w:rsidRPr="003F3A7B">
          <w:rPr>
            <w:sz w:val="20"/>
          </w:rPr>
          <w:fldChar w:fldCharType="end"/>
        </w:r>
      </w:sdtContent>
    </w:sdt>
    <w:r w:rsidR="005565A4">
      <w:rPr>
        <w:sz w:val="20"/>
      </w:rPr>
      <w:tab/>
    </w:r>
    <w:r w:rsidR="006F09B0">
      <w:rPr>
        <w:sz w:val="20"/>
        <w:szCs w:val="20"/>
      </w:rPr>
      <w:tab/>
      <w:t>rev 10/29/2014</w:t>
    </w:r>
    <w:r w:rsidR="005565A4">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5A4" w:rsidRDefault="005565A4" w:rsidP="004474A1">
      <w:pPr>
        <w:spacing w:after="0" w:line="240" w:lineRule="auto"/>
      </w:pPr>
      <w:r>
        <w:separator/>
      </w:r>
    </w:p>
  </w:footnote>
  <w:footnote w:type="continuationSeparator" w:id="0">
    <w:p w:rsidR="005565A4" w:rsidRDefault="005565A4" w:rsidP="004474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C701F"/>
    <w:multiLevelType w:val="hybridMultilevel"/>
    <w:tmpl w:val="27EC0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4A20F80"/>
    <w:multiLevelType w:val="hybridMultilevel"/>
    <w:tmpl w:val="8FAC6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3E55CA0"/>
    <w:multiLevelType w:val="hybridMultilevel"/>
    <w:tmpl w:val="4F6EA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E5265BB"/>
    <w:multiLevelType w:val="hybridMultilevel"/>
    <w:tmpl w:val="1FA8B7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FF6610F"/>
    <w:multiLevelType w:val="hybridMultilevel"/>
    <w:tmpl w:val="47EED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0EF"/>
    <w:rsid w:val="00013188"/>
    <w:rsid w:val="0014624E"/>
    <w:rsid w:val="001759A9"/>
    <w:rsid w:val="001B5704"/>
    <w:rsid w:val="001E5C0D"/>
    <w:rsid w:val="002A54E6"/>
    <w:rsid w:val="00305BF5"/>
    <w:rsid w:val="0031217E"/>
    <w:rsid w:val="00330C79"/>
    <w:rsid w:val="00393716"/>
    <w:rsid w:val="003E7436"/>
    <w:rsid w:val="003F3A7B"/>
    <w:rsid w:val="00433001"/>
    <w:rsid w:val="004474A1"/>
    <w:rsid w:val="004537EA"/>
    <w:rsid w:val="004671B6"/>
    <w:rsid w:val="00481710"/>
    <w:rsid w:val="0048417A"/>
    <w:rsid w:val="0049282C"/>
    <w:rsid w:val="00511472"/>
    <w:rsid w:val="00527CF2"/>
    <w:rsid w:val="005565A4"/>
    <w:rsid w:val="00565794"/>
    <w:rsid w:val="005A4B32"/>
    <w:rsid w:val="005E5990"/>
    <w:rsid w:val="006038DB"/>
    <w:rsid w:val="00632E2A"/>
    <w:rsid w:val="00642CA0"/>
    <w:rsid w:val="00684E51"/>
    <w:rsid w:val="006C70EF"/>
    <w:rsid w:val="006F09B0"/>
    <w:rsid w:val="006F3F09"/>
    <w:rsid w:val="00743870"/>
    <w:rsid w:val="00751C85"/>
    <w:rsid w:val="007A059F"/>
    <w:rsid w:val="007B3423"/>
    <w:rsid w:val="0082341E"/>
    <w:rsid w:val="008267C4"/>
    <w:rsid w:val="0083214B"/>
    <w:rsid w:val="00853F07"/>
    <w:rsid w:val="0089420F"/>
    <w:rsid w:val="008A60CE"/>
    <w:rsid w:val="008C582C"/>
    <w:rsid w:val="008C7E59"/>
    <w:rsid w:val="009660AD"/>
    <w:rsid w:val="00A572BF"/>
    <w:rsid w:val="00A968A0"/>
    <w:rsid w:val="00B05D6E"/>
    <w:rsid w:val="00B463CC"/>
    <w:rsid w:val="00B506D2"/>
    <w:rsid w:val="00B936F8"/>
    <w:rsid w:val="00BF52ED"/>
    <w:rsid w:val="00C54903"/>
    <w:rsid w:val="00C61214"/>
    <w:rsid w:val="00C62386"/>
    <w:rsid w:val="00C67C14"/>
    <w:rsid w:val="00C740C9"/>
    <w:rsid w:val="00C76055"/>
    <w:rsid w:val="00C912AE"/>
    <w:rsid w:val="00CD1AFB"/>
    <w:rsid w:val="00CF3355"/>
    <w:rsid w:val="00DC2AD4"/>
    <w:rsid w:val="00DD7F36"/>
    <w:rsid w:val="00DF5B31"/>
    <w:rsid w:val="00E24F0F"/>
    <w:rsid w:val="00E359A6"/>
    <w:rsid w:val="00E835A4"/>
    <w:rsid w:val="00EC22AC"/>
    <w:rsid w:val="00F4008B"/>
    <w:rsid w:val="00F624D8"/>
    <w:rsid w:val="00F65EF9"/>
    <w:rsid w:val="00F86CCD"/>
    <w:rsid w:val="00FA3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rules v:ext="edit">
        <o:r id="V:Rule3" type="connector" idref="#_x0000_s1028"/>
        <o:r id="V:Rule4" type="connector" idref="#_x0000_s1027"/>
      </o:rules>
    </o:shapelayout>
  </w:shapeDefaults>
  <w:decimalSymbol w:val="."/>
  <w:listSeparator w:val=","/>
  <w14:docId w14:val="1DE172F4"/>
  <w15:docId w15:val="{1D934DD3-EE20-4022-827A-CA66CD00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65794"/>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5794"/>
    <w:rPr>
      <w:sz w:val="24"/>
      <w:szCs w:val="22"/>
    </w:rPr>
  </w:style>
  <w:style w:type="paragraph" w:styleId="Header">
    <w:name w:val="header"/>
    <w:basedOn w:val="Normal"/>
    <w:link w:val="HeaderChar"/>
    <w:uiPriority w:val="99"/>
    <w:unhideWhenUsed/>
    <w:rsid w:val="004474A1"/>
    <w:pPr>
      <w:tabs>
        <w:tab w:val="center" w:pos="4680"/>
        <w:tab w:val="right" w:pos="9360"/>
      </w:tabs>
    </w:pPr>
  </w:style>
  <w:style w:type="character" w:customStyle="1" w:styleId="HeaderChar">
    <w:name w:val="Header Char"/>
    <w:basedOn w:val="DefaultParagraphFont"/>
    <w:link w:val="Header"/>
    <w:uiPriority w:val="99"/>
    <w:rsid w:val="004474A1"/>
  </w:style>
  <w:style w:type="paragraph" w:styleId="Footer">
    <w:name w:val="footer"/>
    <w:basedOn w:val="Normal"/>
    <w:link w:val="FooterChar"/>
    <w:uiPriority w:val="99"/>
    <w:unhideWhenUsed/>
    <w:rsid w:val="004474A1"/>
    <w:pPr>
      <w:tabs>
        <w:tab w:val="center" w:pos="4680"/>
        <w:tab w:val="right" w:pos="9360"/>
      </w:tabs>
    </w:pPr>
  </w:style>
  <w:style w:type="character" w:customStyle="1" w:styleId="FooterChar">
    <w:name w:val="Footer Char"/>
    <w:basedOn w:val="DefaultParagraphFont"/>
    <w:link w:val="Footer"/>
    <w:uiPriority w:val="99"/>
    <w:rsid w:val="004474A1"/>
  </w:style>
  <w:style w:type="paragraph" w:styleId="BalloonText">
    <w:name w:val="Balloon Text"/>
    <w:basedOn w:val="Normal"/>
    <w:link w:val="BalloonTextChar"/>
    <w:uiPriority w:val="99"/>
    <w:semiHidden/>
    <w:unhideWhenUsed/>
    <w:rsid w:val="00447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4A1"/>
    <w:rPr>
      <w:rFonts w:ascii="Tahoma" w:hAnsi="Tahoma" w:cs="Tahoma"/>
      <w:sz w:val="16"/>
      <w:szCs w:val="16"/>
    </w:rPr>
  </w:style>
  <w:style w:type="paragraph" w:styleId="ListParagraph">
    <w:name w:val="List Paragraph"/>
    <w:basedOn w:val="Normal"/>
    <w:uiPriority w:val="34"/>
    <w:qFormat/>
    <w:rsid w:val="0031217E"/>
    <w:pPr>
      <w:ind w:left="720"/>
      <w:contextualSpacing/>
    </w:pPr>
  </w:style>
  <w:style w:type="paragraph" w:styleId="NormalWeb">
    <w:name w:val="Normal (Web)"/>
    <w:basedOn w:val="Normal"/>
    <w:uiPriority w:val="99"/>
    <w:unhideWhenUsed/>
    <w:rsid w:val="00C62386"/>
    <w:pPr>
      <w:spacing w:after="0" w:line="240" w:lineRule="auto"/>
    </w:pPr>
    <w:rPr>
      <w:rFonts w:ascii="Verdana" w:eastAsia="Times New Roman" w:hAnsi="Verdana"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CYFD</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asmith</dc:creator>
  <cp:lastModifiedBy>Mindy Kindelberger</cp:lastModifiedBy>
  <cp:revision>2</cp:revision>
  <cp:lastPrinted>2014-10-29T20:21:00Z</cp:lastPrinted>
  <dcterms:created xsi:type="dcterms:W3CDTF">2017-02-08T18:35:00Z</dcterms:created>
  <dcterms:modified xsi:type="dcterms:W3CDTF">2017-02-08T18:35:00Z</dcterms:modified>
</cp:coreProperties>
</file>