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47586" w:rsidRDefault="00AA5933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  <w:u w:val="single"/>
        </w:rPr>
      </w:pPr>
      <w:bookmarkStart w:id="0" w:name="_GoBack"/>
      <w:bookmarkEnd w:id="0"/>
      <w:proofErr w:type="gramStart"/>
      <w:r>
        <w:rPr>
          <w:rFonts w:ascii="Calibri" w:eastAsia="Calibri" w:hAnsi="Calibri" w:cs="Calibri"/>
          <w:sz w:val="24"/>
          <w:szCs w:val="24"/>
          <w:u w:val="single"/>
        </w:rPr>
        <w:t>CON-2</w:t>
      </w:r>
      <w:proofErr w:type="gramEnd"/>
      <w:r>
        <w:rPr>
          <w:rFonts w:ascii="Calibri" w:eastAsia="Calibri" w:hAnsi="Calibri" w:cs="Calibri"/>
          <w:sz w:val="24"/>
          <w:szCs w:val="24"/>
          <w:u w:val="single"/>
        </w:rPr>
        <w:t>: Federalism reflects the dynamic distribution of power between national and state governments</w:t>
      </w:r>
    </w:p>
    <w:p w:rsidR="00247586" w:rsidRDefault="00AA5933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McCulloch v. Maryland</w:t>
      </w:r>
      <w:r>
        <w:rPr>
          <w:rFonts w:ascii="Calibri" w:eastAsia="Calibri" w:hAnsi="Calibri" w:cs="Calibri"/>
          <w:sz w:val="24"/>
          <w:szCs w:val="24"/>
        </w:rPr>
        <w:t xml:space="preserve"> (1819)</w:t>
      </w:r>
    </w:p>
    <w:p w:rsidR="00247586" w:rsidRDefault="00AA5933">
      <w:pPr>
        <w:spacing w:line="240" w:lineRule="auto"/>
        <w:contextualSpacing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i/>
          <w:sz w:val="24"/>
          <w:szCs w:val="24"/>
        </w:rPr>
        <w:t xml:space="preserve">United States v. Comstock </w:t>
      </w:r>
      <w:proofErr w:type="gramStart"/>
      <w:r>
        <w:rPr>
          <w:rFonts w:ascii="Calibri" w:eastAsia="Calibri" w:hAnsi="Calibri" w:cs="Calibri"/>
          <w:i/>
          <w:sz w:val="24"/>
          <w:szCs w:val="24"/>
        </w:rPr>
        <w:t>-  </w:t>
      </w:r>
      <w:r>
        <w:rPr>
          <w:rFonts w:ascii="Calibri" w:eastAsia="Calibri" w:hAnsi="Calibri" w:cs="Calibri"/>
          <w:sz w:val="24"/>
          <w:szCs w:val="24"/>
        </w:rPr>
        <w:t>130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S.Ct. 1949 (2010)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i/>
          <w:sz w:val="24"/>
          <w:szCs w:val="24"/>
        </w:rPr>
        <w:t>Watters v. Wachovia Bank, N.A</w:t>
      </w:r>
      <w:r>
        <w:rPr>
          <w:rFonts w:ascii="Calibri" w:eastAsia="Calibri" w:hAnsi="Calibri" w:cs="Calibri"/>
          <w:sz w:val="24"/>
          <w:szCs w:val="24"/>
        </w:rPr>
        <w:t>. - 127 S.Ct. 1559, 1566+</w:t>
      </w:r>
    </w:p>
    <w:p w:rsidR="00247586" w:rsidRDefault="00247586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</w:rPr>
      </w:pPr>
    </w:p>
    <w:p w:rsidR="00247586" w:rsidRDefault="00AA5933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  <w:u w:val="single"/>
        </w:rPr>
      </w:pPr>
      <w:r>
        <w:br w:type="page"/>
      </w:r>
    </w:p>
    <w:p w:rsidR="00247586" w:rsidRDefault="00AA5933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  <w:u w:val="single"/>
        </w:rPr>
      </w:pPr>
      <w:proofErr w:type="gramStart"/>
      <w:r>
        <w:rPr>
          <w:rFonts w:ascii="Calibri" w:eastAsia="Calibri" w:hAnsi="Calibri" w:cs="Calibri"/>
          <w:sz w:val="24"/>
          <w:szCs w:val="24"/>
          <w:u w:val="single"/>
        </w:rPr>
        <w:lastRenderedPageBreak/>
        <w:t>CON-2</w:t>
      </w:r>
      <w:proofErr w:type="gramEnd"/>
      <w:r>
        <w:rPr>
          <w:rFonts w:ascii="Calibri" w:eastAsia="Calibri" w:hAnsi="Calibri" w:cs="Calibri"/>
          <w:sz w:val="24"/>
          <w:szCs w:val="24"/>
          <w:u w:val="single"/>
        </w:rPr>
        <w:t>: Federalism reflects the dynamic distribution of power between national and state governments</w:t>
      </w:r>
    </w:p>
    <w:p w:rsidR="00247586" w:rsidRDefault="00AA5933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United States v. Lopez</w:t>
      </w:r>
      <w:r>
        <w:rPr>
          <w:rFonts w:ascii="Calibri" w:eastAsia="Calibri" w:hAnsi="Calibri" w:cs="Calibri"/>
          <w:sz w:val="24"/>
          <w:szCs w:val="24"/>
        </w:rPr>
        <w:t xml:space="preserve"> (1995)</w:t>
      </w:r>
    </w:p>
    <w:p w:rsidR="00247586" w:rsidRDefault="00AA5933">
      <w:pPr>
        <w:spacing w:line="259" w:lineRule="auto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i/>
          <w:sz w:val="24"/>
          <w:szCs w:val="24"/>
        </w:rPr>
        <w:t xml:space="preserve">Gonzales v. Raich - </w:t>
      </w:r>
      <w:r>
        <w:rPr>
          <w:rFonts w:ascii="Calibri" w:eastAsia="Calibri" w:hAnsi="Calibri" w:cs="Calibri"/>
          <w:sz w:val="24"/>
          <w:szCs w:val="24"/>
        </w:rPr>
        <w:t>125 S.Ct. 2195 (2005)</w:t>
      </w:r>
    </w:p>
    <w:p w:rsidR="00247586" w:rsidRDefault="00AA5933">
      <w:pPr>
        <w:spacing w:line="259" w:lineRule="auto"/>
        <w:ind w:left="720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United States v. Morrison</w:t>
      </w:r>
      <w:r>
        <w:rPr>
          <w:rFonts w:ascii="Calibri" w:eastAsia="Calibri" w:hAnsi="Calibri" w:cs="Calibri"/>
          <w:sz w:val="24"/>
          <w:szCs w:val="24"/>
        </w:rPr>
        <w:t>, 120 S. Ct. 1740 (2000)</w:t>
      </w:r>
    </w:p>
    <w:p w:rsidR="00247586" w:rsidRDefault="00247586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</w:rPr>
      </w:pPr>
    </w:p>
    <w:p w:rsidR="00247586" w:rsidRDefault="00247586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  <w:u w:val="single"/>
        </w:rPr>
      </w:pPr>
    </w:p>
    <w:p w:rsidR="00247586" w:rsidRDefault="00247586">
      <w:pPr>
        <w:spacing w:after="160" w:line="259" w:lineRule="auto"/>
        <w:contextualSpacing w:val="0"/>
        <w:rPr>
          <w:rFonts w:ascii="Calibri" w:eastAsia="Calibri" w:hAnsi="Calibri" w:cs="Calibri"/>
        </w:rPr>
      </w:pPr>
    </w:p>
    <w:p w:rsidR="00247586" w:rsidRDefault="00AA5933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  <w:u w:val="single"/>
        </w:rPr>
      </w:pPr>
      <w:r>
        <w:br w:type="page"/>
      </w:r>
    </w:p>
    <w:p w:rsidR="00247586" w:rsidRDefault="00AA5933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lastRenderedPageBreak/>
        <w:t>LOR-2: Provisions of the U.S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. Constitution’s Bill of Rights </w:t>
      </w:r>
      <w:proofErr w:type="gramStart"/>
      <w:r>
        <w:rPr>
          <w:rFonts w:ascii="Calibri" w:eastAsia="Calibri" w:hAnsi="Calibri" w:cs="Calibri"/>
          <w:sz w:val="24"/>
          <w:szCs w:val="24"/>
          <w:u w:val="single"/>
        </w:rPr>
        <w:t>are continually being interpreted</w:t>
      </w:r>
      <w:proofErr w:type="gramEnd"/>
      <w:r>
        <w:rPr>
          <w:rFonts w:ascii="Calibri" w:eastAsia="Calibri" w:hAnsi="Calibri" w:cs="Calibri"/>
          <w:sz w:val="24"/>
          <w:szCs w:val="24"/>
          <w:u w:val="single"/>
        </w:rPr>
        <w:t xml:space="preserve"> to balance the power of government and the civil liberties of individuals</w:t>
      </w:r>
    </w:p>
    <w:p w:rsidR="00247586" w:rsidRDefault="00AA5933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Engel v. Vitale</w:t>
      </w:r>
      <w:r>
        <w:rPr>
          <w:rFonts w:ascii="Calibri" w:eastAsia="Calibri" w:hAnsi="Calibri" w:cs="Calibri"/>
          <w:sz w:val="24"/>
          <w:szCs w:val="24"/>
        </w:rPr>
        <w:t xml:space="preserve"> (1962)</w:t>
      </w:r>
    </w:p>
    <w:p w:rsidR="00247586" w:rsidRDefault="00AA5933">
      <w:pPr>
        <w:spacing w:line="259" w:lineRule="auto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i/>
          <w:sz w:val="24"/>
          <w:szCs w:val="24"/>
        </w:rPr>
        <w:t>Town of Greece, N.Y. v. Galloway</w:t>
      </w:r>
      <w:r>
        <w:rPr>
          <w:rFonts w:ascii="Calibri" w:eastAsia="Calibri" w:hAnsi="Calibri" w:cs="Calibri"/>
          <w:sz w:val="24"/>
          <w:szCs w:val="24"/>
        </w:rPr>
        <w:t>, 134 S.Ct. 1811 (2014)</w:t>
      </w:r>
    </w:p>
    <w:p w:rsidR="00247586" w:rsidRDefault="00AA5933">
      <w:pPr>
        <w:spacing w:line="259" w:lineRule="auto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i/>
          <w:sz w:val="24"/>
          <w:szCs w:val="24"/>
        </w:rPr>
        <w:t>Van Orden v. Perry</w:t>
      </w:r>
      <w:r>
        <w:rPr>
          <w:rFonts w:ascii="Calibri" w:eastAsia="Calibri" w:hAnsi="Calibri" w:cs="Calibri"/>
          <w:sz w:val="24"/>
          <w:szCs w:val="24"/>
        </w:rPr>
        <w:t>, 545 U.S. 677 (2</w:t>
      </w:r>
      <w:r>
        <w:rPr>
          <w:rFonts w:ascii="Calibri" w:eastAsia="Calibri" w:hAnsi="Calibri" w:cs="Calibri"/>
          <w:sz w:val="24"/>
          <w:szCs w:val="24"/>
        </w:rPr>
        <w:t>005)</w:t>
      </w:r>
    </w:p>
    <w:p w:rsidR="00247586" w:rsidRDefault="00AA5933">
      <w:pPr>
        <w:spacing w:line="259" w:lineRule="auto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i/>
          <w:sz w:val="24"/>
          <w:szCs w:val="24"/>
        </w:rPr>
        <w:t>Santa Fe Independent School Dist. v. Doe</w:t>
      </w:r>
      <w:r>
        <w:rPr>
          <w:rFonts w:ascii="Calibri" w:eastAsia="Calibri" w:hAnsi="Calibri" w:cs="Calibri"/>
          <w:sz w:val="24"/>
          <w:szCs w:val="24"/>
        </w:rPr>
        <w:t>, 530 U.S. 290 (2000)</w:t>
      </w:r>
    </w:p>
    <w:p w:rsidR="00247586" w:rsidRDefault="00247586">
      <w:pPr>
        <w:spacing w:after="160" w:line="259" w:lineRule="auto"/>
        <w:contextualSpacing w:val="0"/>
        <w:rPr>
          <w:rFonts w:ascii="Calibri" w:eastAsia="Calibri" w:hAnsi="Calibri" w:cs="Calibri"/>
          <w:sz w:val="28"/>
          <w:szCs w:val="28"/>
        </w:rPr>
      </w:pPr>
    </w:p>
    <w:p w:rsidR="00247586" w:rsidRDefault="00247586">
      <w:pPr>
        <w:spacing w:after="160" w:line="259" w:lineRule="auto"/>
        <w:contextualSpacing w:val="0"/>
        <w:rPr>
          <w:rFonts w:ascii="Calibri" w:eastAsia="Calibri" w:hAnsi="Calibri" w:cs="Calibri"/>
          <w:sz w:val="28"/>
          <w:szCs w:val="28"/>
        </w:rPr>
      </w:pPr>
    </w:p>
    <w:p w:rsidR="00247586" w:rsidRDefault="00AA5933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</w:rPr>
      </w:pPr>
      <w:r>
        <w:br w:type="page"/>
      </w:r>
    </w:p>
    <w:p w:rsidR="00247586" w:rsidRDefault="00AA5933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lastRenderedPageBreak/>
        <w:t xml:space="preserve">LOR-2: Provisions of the U.S. Constitution’s Bill of Rights </w:t>
      </w:r>
      <w:proofErr w:type="gramStart"/>
      <w:r>
        <w:rPr>
          <w:rFonts w:ascii="Calibri" w:eastAsia="Calibri" w:hAnsi="Calibri" w:cs="Calibri"/>
          <w:sz w:val="24"/>
          <w:szCs w:val="24"/>
          <w:u w:val="single"/>
        </w:rPr>
        <w:t>are continually being interpreted</w:t>
      </w:r>
      <w:proofErr w:type="gramEnd"/>
      <w:r>
        <w:rPr>
          <w:rFonts w:ascii="Calibri" w:eastAsia="Calibri" w:hAnsi="Calibri" w:cs="Calibri"/>
          <w:sz w:val="24"/>
          <w:szCs w:val="24"/>
          <w:u w:val="single"/>
        </w:rPr>
        <w:t xml:space="preserve"> to balance the power of government and the civil liberties of individuals</w:t>
      </w:r>
    </w:p>
    <w:p w:rsidR="00247586" w:rsidRDefault="00AA5933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Wisconsin v. Yod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 xml:space="preserve"> (1972)</w:t>
      </w:r>
    </w:p>
    <w:p w:rsidR="00247586" w:rsidRDefault="00AA5933">
      <w:pPr>
        <w:spacing w:line="240" w:lineRule="auto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i/>
          <w:sz w:val="24"/>
          <w:szCs w:val="24"/>
        </w:rPr>
        <w:t>Gonzales v. O Centro Espirita Beneficente Uniao do Vegetal</w:t>
      </w:r>
      <w:r>
        <w:rPr>
          <w:rFonts w:ascii="Calibri" w:eastAsia="Calibri" w:hAnsi="Calibri" w:cs="Calibri"/>
          <w:sz w:val="24"/>
          <w:szCs w:val="24"/>
        </w:rPr>
        <w:t>, 546 U.S. 418 (2006)</w:t>
      </w:r>
    </w:p>
    <w:p w:rsidR="00247586" w:rsidRDefault="00AA5933">
      <w:pPr>
        <w:spacing w:line="240" w:lineRule="auto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i/>
          <w:sz w:val="24"/>
          <w:szCs w:val="24"/>
        </w:rPr>
        <w:t>Church of the Lukumi Babalu Aye, Inc. v. City of Hialeah</w:t>
      </w:r>
      <w:r>
        <w:rPr>
          <w:rFonts w:ascii="Calibri" w:eastAsia="Calibri" w:hAnsi="Calibri" w:cs="Calibri"/>
          <w:sz w:val="24"/>
          <w:szCs w:val="24"/>
        </w:rPr>
        <w:t>, 508 U.S. 520 (1993)</w:t>
      </w:r>
    </w:p>
    <w:p w:rsidR="00247586" w:rsidRDefault="00247586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</w:rPr>
      </w:pPr>
      <w:bookmarkStart w:id="1" w:name="_gjdgxs" w:colFirst="0" w:colLast="0"/>
      <w:bookmarkEnd w:id="1"/>
    </w:p>
    <w:p w:rsidR="00247586" w:rsidRDefault="00AA5933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  <w:u w:val="single"/>
        </w:rPr>
      </w:pPr>
      <w:r>
        <w:br w:type="page"/>
      </w:r>
    </w:p>
    <w:p w:rsidR="00247586" w:rsidRDefault="00AA5933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lastRenderedPageBreak/>
        <w:t xml:space="preserve">LOR-2: Provisions of the U.S. Constitution’s Bill of Rights </w:t>
      </w:r>
      <w:proofErr w:type="gramStart"/>
      <w:r>
        <w:rPr>
          <w:rFonts w:ascii="Calibri" w:eastAsia="Calibri" w:hAnsi="Calibri" w:cs="Calibri"/>
          <w:sz w:val="24"/>
          <w:szCs w:val="24"/>
          <w:u w:val="single"/>
        </w:rPr>
        <w:t>are continually being interpreted</w:t>
      </w:r>
      <w:proofErr w:type="gramEnd"/>
      <w:r>
        <w:rPr>
          <w:rFonts w:ascii="Calibri" w:eastAsia="Calibri" w:hAnsi="Calibri" w:cs="Calibri"/>
          <w:sz w:val="24"/>
          <w:szCs w:val="24"/>
          <w:u w:val="single"/>
        </w:rPr>
        <w:t xml:space="preserve"> to balance the power of government and the civil liberties of individuals</w:t>
      </w:r>
    </w:p>
    <w:p w:rsidR="00247586" w:rsidRDefault="00AA5933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Tinker v. Des Moines Independent Community School District</w:t>
      </w:r>
      <w:r>
        <w:rPr>
          <w:rFonts w:ascii="Calibri" w:eastAsia="Calibri" w:hAnsi="Calibri" w:cs="Calibri"/>
          <w:sz w:val="24"/>
          <w:szCs w:val="24"/>
        </w:rPr>
        <w:t xml:space="preserve"> (1969)</w:t>
      </w:r>
    </w:p>
    <w:p w:rsidR="00247586" w:rsidRDefault="00AA5933">
      <w:pPr>
        <w:spacing w:line="259" w:lineRule="auto"/>
        <w:ind w:left="720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Hazelwood (Mo.) School</w:t>
      </w:r>
      <w:r>
        <w:rPr>
          <w:rFonts w:ascii="Calibri" w:eastAsia="Calibri" w:hAnsi="Calibri" w:cs="Calibri"/>
          <w:i/>
          <w:sz w:val="24"/>
          <w:szCs w:val="24"/>
        </w:rPr>
        <w:t xml:space="preserve"> District v. Kuhlmeier</w:t>
      </w:r>
      <w:r>
        <w:rPr>
          <w:rFonts w:ascii="Calibri" w:eastAsia="Calibri" w:hAnsi="Calibri" w:cs="Calibri"/>
          <w:sz w:val="24"/>
          <w:szCs w:val="24"/>
        </w:rPr>
        <w:t>, 484 U.S. 260 (1988)</w:t>
      </w:r>
    </w:p>
    <w:p w:rsidR="00247586" w:rsidRDefault="00AA5933">
      <w:pPr>
        <w:spacing w:line="259" w:lineRule="auto"/>
        <w:ind w:left="720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Texas v. Johnson</w:t>
      </w:r>
      <w:r>
        <w:rPr>
          <w:rFonts w:ascii="Calibri" w:eastAsia="Calibri" w:hAnsi="Calibri" w:cs="Calibri"/>
          <w:sz w:val="24"/>
          <w:szCs w:val="24"/>
        </w:rPr>
        <w:t>, 491 U.S. 397 (1989)</w:t>
      </w:r>
    </w:p>
    <w:p w:rsidR="00247586" w:rsidRDefault="00AA5933">
      <w:pPr>
        <w:spacing w:line="259" w:lineRule="auto"/>
        <w:ind w:left="720"/>
        <w:contextualSpacing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i/>
          <w:sz w:val="24"/>
          <w:szCs w:val="24"/>
        </w:rPr>
        <w:t>Morse v. Frederick</w:t>
      </w:r>
      <w:r>
        <w:rPr>
          <w:rFonts w:ascii="Calibri" w:eastAsia="Calibri" w:hAnsi="Calibri" w:cs="Calibri"/>
          <w:sz w:val="24"/>
          <w:szCs w:val="24"/>
        </w:rPr>
        <w:t>, 551 U.S. 593 (2007)</w:t>
      </w:r>
    </w:p>
    <w:p w:rsidR="00247586" w:rsidRDefault="00AA5933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  <w:u w:val="single"/>
        </w:rPr>
      </w:pPr>
      <w:r>
        <w:br w:type="page"/>
      </w:r>
    </w:p>
    <w:p w:rsidR="00247586" w:rsidRDefault="00AA5933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lastRenderedPageBreak/>
        <w:t xml:space="preserve">LOR-2: Provisions of the U.S. Constitution’s Bill of Rights </w:t>
      </w:r>
      <w:proofErr w:type="gramStart"/>
      <w:r>
        <w:rPr>
          <w:rFonts w:ascii="Calibri" w:eastAsia="Calibri" w:hAnsi="Calibri" w:cs="Calibri"/>
          <w:sz w:val="24"/>
          <w:szCs w:val="24"/>
          <w:u w:val="single"/>
        </w:rPr>
        <w:t>are continually being interpreted</w:t>
      </w:r>
      <w:proofErr w:type="gramEnd"/>
      <w:r>
        <w:rPr>
          <w:rFonts w:ascii="Calibri" w:eastAsia="Calibri" w:hAnsi="Calibri" w:cs="Calibri"/>
          <w:sz w:val="24"/>
          <w:szCs w:val="24"/>
          <w:u w:val="single"/>
        </w:rPr>
        <w:t xml:space="preserve"> to balance the power of government and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the civil liberties of individuals</w:t>
      </w:r>
    </w:p>
    <w:p w:rsidR="00247586" w:rsidRDefault="00AA5933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New York Times Co. v. United States</w:t>
      </w:r>
      <w:r>
        <w:rPr>
          <w:rFonts w:ascii="Calibri" w:eastAsia="Calibri" w:hAnsi="Calibri" w:cs="Calibri"/>
          <w:sz w:val="24"/>
          <w:szCs w:val="24"/>
        </w:rPr>
        <w:t xml:space="preserve"> (1971)</w:t>
      </w:r>
    </w:p>
    <w:p w:rsidR="00247586" w:rsidRDefault="00AA5933">
      <w:pPr>
        <w:spacing w:line="259" w:lineRule="auto"/>
        <w:ind w:left="720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Nebraska Press Association v. Stuart</w:t>
      </w:r>
      <w:r>
        <w:rPr>
          <w:rFonts w:ascii="Calibri" w:eastAsia="Calibri" w:hAnsi="Calibri" w:cs="Calibri"/>
          <w:sz w:val="24"/>
          <w:szCs w:val="24"/>
        </w:rPr>
        <w:t>, 427 U.S. 539 (1976)</w:t>
      </w:r>
    </w:p>
    <w:p w:rsidR="00247586" w:rsidRDefault="00AA5933">
      <w:pPr>
        <w:spacing w:line="259" w:lineRule="auto"/>
        <w:ind w:left="720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KPNX Broadcasting Co. v. Arizona Superior Court</w:t>
      </w:r>
      <w:r>
        <w:rPr>
          <w:rFonts w:ascii="Calibri" w:eastAsia="Calibri" w:hAnsi="Calibri" w:cs="Calibri"/>
          <w:sz w:val="24"/>
          <w:szCs w:val="24"/>
        </w:rPr>
        <w:t>, 459 U.S. 1302 (1982)</w:t>
      </w:r>
    </w:p>
    <w:p w:rsidR="00247586" w:rsidRDefault="00AA5933">
      <w:pPr>
        <w:spacing w:line="259" w:lineRule="auto"/>
        <w:ind w:left="720"/>
        <w:contextualSpacing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i/>
          <w:sz w:val="24"/>
          <w:szCs w:val="24"/>
        </w:rPr>
        <w:t>CBS Inc., V. Davis</w:t>
      </w:r>
      <w:r>
        <w:rPr>
          <w:rFonts w:ascii="Calibri" w:eastAsia="Calibri" w:hAnsi="Calibri" w:cs="Calibri"/>
          <w:sz w:val="24"/>
          <w:szCs w:val="24"/>
        </w:rPr>
        <w:t>, 510 U.S. 1315 (1994)</w:t>
      </w:r>
    </w:p>
    <w:p w:rsidR="00247586" w:rsidRDefault="00AA5933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  <w:u w:val="single"/>
        </w:rPr>
      </w:pPr>
      <w:r>
        <w:br w:type="page"/>
      </w:r>
    </w:p>
    <w:p w:rsidR="00247586" w:rsidRDefault="00AA5933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lastRenderedPageBreak/>
        <w:t>LOR-2: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Provisions of the U.S. Constitution’s Bill of Rights </w:t>
      </w:r>
      <w:proofErr w:type="gramStart"/>
      <w:r>
        <w:rPr>
          <w:rFonts w:ascii="Calibri" w:eastAsia="Calibri" w:hAnsi="Calibri" w:cs="Calibri"/>
          <w:sz w:val="24"/>
          <w:szCs w:val="24"/>
          <w:u w:val="single"/>
        </w:rPr>
        <w:t>are continually being interpreted</w:t>
      </w:r>
      <w:proofErr w:type="gramEnd"/>
      <w:r>
        <w:rPr>
          <w:rFonts w:ascii="Calibri" w:eastAsia="Calibri" w:hAnsi="Calibri" w:cs="Calibri"/>
          <w:sz w:val="24"/>
          <w:szCs w:val="24"/>
          <w:u w:val="single"/>
        </w:rPr>
        <w:t xml:space="preserve"> to balance the power of government and the civil liberties of individuals</w:t>
      </w:r>
    </w:p>
    <w:p w:rsidR="00247586" w:rsidRDefault="00AA5933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Schenck v. United States</w:t>
      </w:r>
      <w:r>
        <w:rPr>
          <w:rFonts w:ascii="Calibri" w:eastAsia="Calibri" w:hAnsi="Calibri" w:cs="Calibri"/>
          <w:sz w:val="24"/>
          <w:szCs w:val="24"/>
        </w:rPr>
        <w:t xml:space="preserve"> (1919)</w:t>
      </w:r>
    </w:p>
    <w:p w:rsidR="00247586" w:rsidRDefault="00AA5933">
      <w:pPr>
        <w:spacing w:line="259" w:lineRule="auto"/>
        <w:ind w:left="720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Dennis v. United States</w:t>
      </w:r>
      <w:r>
        <w:rPr>
          <w:rFonts w:ascii="Calibri" w:eastAsia="Calibri" w:hAnsi="Calibri" w:cs="Calibri"/>
          <w:sz w:val="24"/>
          <w:szCs w:val="24"/>
        </w:rPr>
        <w:t>, 341 U.S. 494 (1951)</w:t>
      </w:r>
    </w:p>
    <w:p w:rsidR="00247586" w:rsidRDefault="00AA5933">
      <w:pPr>
        <w:spacing w:line="259" w:lineRule="auto"/>
        <w:ind w:left="720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Noto v. United St</w:t>
      </w:r>
      <w:r>
        <w:rPr>
          <w:rFonts w:ascii="Calibri" w:eastAsia="Calibri" w:hAnsi="Calibri" w:cs="Calibri"/>
          <w:i/>
          <w:sz w:val="24"/>
          <w:szCs w:val="24"/>
        </w:rPr>
        <w:t>ates</w:t>
      </w:r>
      <w:r>
        <w:rPr>
          <w:rFonts w:ascii="Calibri" w:eastAsia="Calibri" w:hAnsi="Calibri" w:cs="Calibri"/>
          <w:sz w:val="24"/>
          <w:szCs w:val="24"/>
        </w:rPr>
        <w:t>, 397 U.S. 290 (1961)</w:t>
      </w:r>
    </w:p>
    <w:p w:rsidR="00247586" w:rsidRDefault="00AA5933">
      <w:pPr>
        <w:spacing w:line="259" w:lineRule="auto"/>
        <w:ind w:left="720"/>
        <w:contextualSpacing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i/>
          <w:sz w:val="24"/>
          <w:szCs w:val="24"/>
        </w:rPr>
        <w:t>Brandenburg v. Ohio</w:t>
      </w:r>
      <w:r>
        <w:rPr>
          <w:rFonts w:ascii="Calibri" w:eastAsia="Calibri" w:hAnsi="Calibri" w:cs="Calibri"/>
          <w:sz w:val="24"/>
          <w:szCs w:val="24"/>
        </w:rPr>
        <w:t>, 395 U.S. 444 (1969)</w:t>
      </w:r>
    </w:p>
    <w:p w:rsidR="00247586" w:rsidRDefault="00AA5933">
      <w:pPr>
        <w:spacing w:line="259" w:lineRule="auto"/>
        <w:ind w:left="720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National Association for the Advancement of Colored People v. Claiborne Hardware Co</w:t>
      </w:r>
      <w:r>
        <w:rPr>
          <w:rFonts w:ascii="Calibri" w:eastAsia="Calibri" w:hAnsi="Calibri" w:cs="Calibri"/>
          <w:sz w:val="24"/>
          <w:szCs w:val="24"/>
        </w:rPr>
        <w:t>., 458 U.S. 886 (1982)</w:t>
      </w:r>
    </w:p>
    <w:p w:rsidR="00247586" w:rsidRDefault="00AA5933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  <w:u w:val="single"/>
        </w:rPr>
      </w:pPr>
      <w:r>
        <w:br w:type="page"/>
      </w:r>
    </w:p>
    <w:p w:rsidR="00247586" w:rsidRDefault="00AA5933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lastRenderedPageBreak/>
        <w:t>LOR-3: Protection of the Bill of Rights have been selectively incorporated by way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of the Fourteenth Amendment’s due process clause to prevent state infringement of basic liberties </w:t>
      </w:r>
    </w:p>
    <w:p w:rsidR="00247586" w:rsidRDefault="00AA5933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Gideon v. Wainwright</w:t>
      </w:r>
      <w:r>
        <w:rPr>
          <w:rFonts w:ascii="Calibri" w:eastAsia="Calibri" w:hAnsi="Calibri" w:cs="Calibri"/>
          <w:sz w:val="24"/>
          <w:szCs w:val="24"/>
        </w:rPr>
        <w:t xml:space="preserve"> (1963)</w:t>
      </w:r>
    </w:p>
    <w:p w:rsidR="00247586" w:rsidRDefault="00AA5933">
      <w:pPr>
        <w:spacing w:line="259" w:lineRule="auto"/>
        <w:ind w:left="720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Luis v. United States</w:t>
      </w:r>
      <w:r>
        <w:rPr>
          <w:rFonts w:ascii="Calibri" w:eastAsia="Calibri" w:hAnsi="Calibri" w:cs="Calibri"/>
          <w:sz w:val="24"/>
          <w:szCs w:val="24"/>
        </w:rPr>
        <w:t>, 136 S.Ct. 1083 (2016)</w:t>
      </w:r>
    </w:p>
    <w:p w:rsidR="00247586" w:rsidRDefault="00AA5933">
      <w:pPr>
        <w:spacing w:line="259" w:lineRule="auto"/>
        <w:ind w:left="720"/>
        <w:contextualSpacing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i/>
          <w:sz w:val="24"/>
          <w:szCs w:val="24"/>
        </w:rPr>
        <w:t>Turner v. Rogers</w:t>
      </w:r>
      <w:r>
        <w:rPr>
          <w:rFonts w:ascii="Calibri" w:eastAsia="Calibri" w:hAnsi="Calibri" w:cs="Calibri"/>
          <w:sz w:val="24"/>
          <w:szCs w:val="24"/>
        </w:rPr>
        <w:t>, 564 U.S. 431 (2011)</w:t>
      </w:r>
    </w:p>
    <w:p w:rsidR="00247586" w:rsidRDefault="00247586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</w:rPr>
      </w:pPr>
    </w:p>
    <w:p w:rsidR="00247586" w:rsidRDefault="00AA5933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  <w:u w:val="single"/>
        </w:rPr>
      </w:pPr>
      <w:r>
        <w:br w:type="page"/>
      </w:r>
    </w:p>
    <w:p w:rsidR="00247586" w:rsidRDefault="00AA5933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lastRenderedPageBreak/>
        <w:t xml:space="preserve">LOR-3: Protection of the Bill of Rights have been selectively incorporated by way of the Fourteenth Amendment’s due process clause to prevent state infringement of basic liberties </w:t>
      </w:r>
    </w:p>
    <w:p w:rsidR="00247586" w:rsidRDefault="00AA5933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Roe v. Wade</w:t>
      </w:r>
      <w:r>
        <w:rPr>
          <w:rFonts w:ascii="Calibri" w:eastAsia="Calibri" w:hAnsi="Calibri" w:cs="Calibri"/>
          <w:sz w:val="24"/>
          <w:szCs w:val="24"/>
        </w:rPr>
        <w:t xml:space="preserve"> (1973)</w:t>
      </w:r>
    </w:p>
    <w:p w:rsidR="00247586" w:rsidRDefault="00AA5933">
      <w:pPr>
        <w:spacing w:line="259" w:lineRule="auto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i/>
          <w:sz w:val="24"/>
          <w:szCs w:val="24"/>
        </w:rPr>
        <w:t>Washington v. Glucksberg</w:t>
      </w:r>
      <w:r>
        <w:rPr>
          <w:rFonts w:ascii="Calibri" w:eastAsia="Calibri" w:hAnsi="Calibri" w:cs="Calibri"/>
          <w:sz w:val="24"/>
          <w:szCs w:val="24"/>
        </w:rPr>
        <w:t>, 521 U.S. 702 (1997)</w:t>
      </w:r>
    </w:p>
    <w:p w:rsidR="00247586" w:rsidRDefault="00AA5933">
      <w:pPr>
        <w:spacing w:line="259" w:lineRule="auto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i/>
          <w:sz w:val="24"/>
          <w:szCs w:val="24"/>
        </w:rPr>
        <w:t>Lawrence v. Texas</w:t>
      </w:r>
      <w:r>
        <w:rPr>
          <w:rFonts w:ascii="Calibri" w:eastAsia="Calibri" w:hAnsi="Calibri" w:cs="Calibri"/>
          <w:sz w:val="24"/>
          <w:szCs w:val="24"/>
        </w:rPr>
        <w:t>, 539 U.S. 558 (2003)</w:t>
      </w:r>
    </w:p>
    <w:p w:rsidR="00247586" w:rsidRDefault="00247586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</w:rPr>
      </w:pPr>
    </w:p>
    <w:p w:rsidR="00247586" w:rsidRDefault="00AA5933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  <w:u w:val="single"/>
        </w:rPr>
      </w:pPr>
      <w:r>
        <w:br w:type="page"/>
      </w:r>
    </w:p>
    <w:p w:rsidR="00247586" w:rsidRDefault="00AA5933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lastRenderedPageBreak/>
        <w:t xml:space="preserve">LOR-3: Protection of the Bill of Rights have been selectively incorporated by way of the Fourteenth Amendment’s due process clause to prevent state infringement of basic liberties </w:t>
      </w:r>
    </w:p>
    <w:p w:rsidR="00247586" w:rsidRDefault="00AA5933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McDonald v. Chicago</w:t>
      </w:r>
      <w:r>
        <w:rPr>
          <w:rFonts w:ascii="Calibri" w:eastAsia="Calibri" w:hAnsi="Calibri" w:cs="Calibri"/>
          <w:sz w:val="24"/>
          <w:szCs w:val="24"/>
        </w:rPr>
        <w:t xml:space="preserve"> (2010)</w:t>
      </w:r>
    </w:p>
    <w:p w:rsidR="00247586" w:rsidRDefault="00AA5933">
      <w:pPr>
        <w:spacing w:line="259" w:lineRule="auto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i/>
          <w:sz w:val="24"/>
          <w:szCs w:val="24"/>
        </w:rPr>
        <w:t>Caeta</w:t>
      </w:r>
      <w:r>
        <w:rPr>
          <w:rFonts w:ascii="Calibri" w:eastAsia="Calibri" w:hAnsi="Calibri" w:cs="Calibri"/>
          <w:i/>
          <w:sz w:val="24"/>
          <w:szCs w:val="24"/>
        </w:rPr>
        <w:t>no v. Massachusetts</w:t>
      </w:r>
      <w:r>
        <w:rPr>
          <w:rFonts w:ascii="Calibri" w:eastAsia="Calibri" w:hAnsi="Calibri" w:cs="Calibri"/>
          <w:sz w:val="24"/>
          <w:szCs w:val="24"/>
        </w:rPr>
        <w:t>, 136 S.Ct. 1027 (2016)</w:t>
      </w:r>
    </w:p>
    <w:p w:rsidR="00247586" w:rsidRDefault="00AA5933">
      <w:pPr>
        <w:spacing w:line="259" w:lineRule="auto"/>
        <w:ind w:firstLine="720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Friedman v. City of Highland Park</w:t>
      </w:r>
      <w:r>
        <w:rPr>
          <w:rFonts w:ascii="Calibri" w:eastAsia="Calibri" w:hAnsi="Calibri" w:cs="Calibri"/>
          <w:sz w:val="24"/>
          <w:szCs w:val="24"/>
        </w:rPr>
        <w:t>, Illinois, 784 F.3d 406 (7th Cir. 2015)</w:t>
      </w:r>
    </w:p>
    <w:p w:rsidR="00247586" w:rsidRDefault="00247586">
      <w:pPr>
        <w:spacing w:line="259" w:lineRule="auto"/>
        <w:contextualSpacing w:val="0"/>
        <w:rPr>
          <w:rFonts w:ascii="Calibri" w:eastAsia="Calibri" w:hAnsi="Calibri" w:cs="Calibri"/>
          <w:sz w:val="24"/>
          <w:szCs w:val="24"/>
        </w:rPr>
      </w:pPr>
    </w:p>
    <w:p w:rsidR="00247586" w:rsidRDefault="00247586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</w:rPr>
      </w:pPr>
    </w:p>
    <w:p w:rsidR="00247586" w:rsidRDefault="00AA5933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  <w:u w:val="single"/>
        </w:rPr>
      </w:pPr>
      <w:r>
        <w:br w:type="page"/>
      </w:r>
    </w:p>
    <w:p w:rsidR="00247586" w:rsidRDefault="00AA5933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lastRenderedPageBreak/>
        <w:t>PRD-1: The 14</w:t>
      </w:r>
      <w:r>
        <w:rPr>
          <w:rFonts w:ascii="Calibri" w:eastAsia="Calibri" w:hAnsi="Calibri" w:cs="Calibri"/>
          <w:sz w:val="24"/>
          <w:szCs w:val="24"/>
          <w:u w:val="single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Amendment’s equal protection clause as well as other constitutional provisions </w:t>
      </w:r>
      <w:proofErr w:type="gramStart"/>
      <w:r>
        <w:rPr>
          <w:rFonts w:ascii="Calibri" w:eastAsia="Calibri" w:hAnsi="Calibri" w:cs="Calibri"/>
          <w:sz w:val="24"/>
          <w:szCs w:val="24"/>
          <w:u w:val="single"/>
        </w:rPr>
        <w:t>have often been used</w:t>
      </w:r>
      <w:proofErr w:type="gramEnd"/>
      <w:r>
        <w:rPr>
          <w:rFonts w:ascii="Calibri" w:eastAsia="Calibri" w:hAnsi="Calibri" w:cs="Calibri"/>
          <w:sz w:val="24"/>
          <w:szCs w:val="24"/>
          <w:u w:val="single"/>
        </w:rPr>
        <w:t xml:space="preserve"> to support the adva</w:t>
      </w:r>
      <w:r>
        <w:rPr>
          <w:rFonts w:ascii="Calibri" w:eastAsia="Calibri" w:hAnsi="Calibri" w:cs="Calibri"/>
          <w:sz w:val="24"/>
          <w:szCs w:val="24"/>
          <w:u w:val="single"/>
        </w:rPr>
        <w:t>ncement of equality</w:t>
      </w:r>
    </w:p>
    <w:p w:rsidR="00247586" w:rsidRDefault="00AA5933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Brown v. Board of Education</w:t>
      </w:r>
      <w:r>
        <w:rPr>
          <w:rFonts w:ascii="Calibri" w:eastAsia="Calibri" w:hAnsi="Calibri" w:cs="Calibri"/>
          <w:sz w:val="24"/>
          <w:szCs w:val="24"/>
        </w:rPr>
        <w:t xml:space="preserve"> (1954)</w:t>
      </w:r>
    </w:p>
    <w:p w:rsidR="00247586" w:rsidRDefault="00AA5933">
      <w:pPr>
        <w:spacing w:line="259" w:lineRule="auto"/>
        <w:ind w:left="720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Regents of University of California v. Bakke</w:t>
      </w:r>
      <w:r>
        <w:rPr>
          <w:rFonts w:ascii="Calibri" w:eastAsia="Calibri" w:hAnsi="Calibri" w:cs="Calibri"/>
          <w:sz w:val="24"/>
          <w:szCs w:val="24"/>
        </w:rPr>
        <w:t>, 438 U.S. 265 (1978)</w:t>
      </w:r>
    </w:p>
    <w:p w:rsidR="00247586" w:rsidRDefault="00AA5933">
      <w:pPr>
        <w:spacing w:line="259" w:lineRule="auto"/>
        <w:ind w:left="720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Grutter v. Bollinger</w:t>
      </w:r>
      <w:r>
        <w:rPr>
          <w:rFonts w:ascii="Calibri" w:eastAsia="Calibri" w:hAnsi="Calibri" w:cs="Calibri"/>
          <w:sz w:val="24"/>
          <w:szCs w:val="24"/>
        </w:rPr>
        <w:t>, 539 U.S. 306 (2003)</w:t>
      </w:r>
    </w:p>
    <w:p w:rsidR="00247586" w:rsidRDefault="00AA5933">
      <w:pPr>
        <w:spacing w:line="259" w:lineRule="auto"/>
        <w:ind w:left="720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Parents Involved in Cmty. Sch. v. Seattle Sch. Dist. No. 1</w:t>
      </w:r>
      <w:r>
        <w:rPr>
          <w:rFonts w:ascii="Calibri" w:eastAsia="Calibri" w:hAnsi="Calibri" w:cs="Calibri"/>
          <w:sz w:val="24"/>
          <w:szCs w:val="24"/>
        </w:rPr>
        <w:t xml:space="preserve">, 551 U.S. 701 (2007) </w:t>
      </w:r>
    </w:p>
    <w:p w:rsidR="00247586" w:rsidRDefault="00AA5933">
      <w:pPr>
        <w:spacing w:line="259" w:lineRule="auto"/>
        <w:ind w:left="720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Fisher v. University of Texas at Austin (Fisher II),</w:t>
      </w:r>
      <w:r>
        <w:rPr>
          <w:rFonts w:ascii="Calibri" w:eastAsia="Calibri" w:hAnsi="Calibri" w:cs="Calibri"/>
          <w:sz w:val="24"/>
          <w:szCs w:val="24"/>
        </w:rPr>
        <w:t xml:space="preserve"> 136 S. Ct. 2198 (2016)</w:t>
      </w:r>
    </w:p>
    <w:p w:rsidR="00247586" w:rsidRDefault="00247586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</w:rPr>
      </w:pPr>
    </w:p>
    <w:p w:rsidR="00247586" w:rsidRDefault="00247586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</w:rPr>
      </w:pPr>
    </w:p>
    <w:p w:rsidR="00247586" w:rsidRDefault="00247586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  <w:u w:val="single"/>
        </w:rPr>
      </w:pPr>
    </w:p>
    <w:p w:rsidR="00247586" w:rsidRDefault="00247586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  <w:u w:val="single"/>
        </w:rPr>
      </w:pPr>
    </w:p>
    <w:p w:rsidR="00247586" w:rsidRDefault="00247586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  <w:u w:val="single"/>
        </w:rPr>
      </w:pPr>
    </w:p>
    <w:p w:rsidR="00247586" w:rsidRDefault="00247586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  <w:u w:val="single"/>
        </w:rPr>
      </w:pPr>
    </w:p>
    <w:p w:rsidR="00247586" w:rsidRDefault="00247586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  <w:u w:val="single"/>
        </w:rPr>
      </w:pPr>
    </w:p>
    <w:p w:rsidR="00247586" w:rsidRDefault="00AA5933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  <w:u w:val="single"/>
        </w:rPr>
      </w:pPr>
      <w:r>
        <w:br w:type="page"/>
      </w:r>
    </w:p>
    <w:p w:rsidR="00247586" w:rsidRDefault="00AA5933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lastRenderedPageBreak/>
        <w:t xml:space="preserve">PRD-2: The impact of federal policies on campaigning and electoral rules continues to </w:t>
      </w:r>
      <w:proofErr w:type="gramStart"/>
      <w:r>
        <w:rPr>
          <w:rFonts w:ascii="Calibri" w:eastAsia="Calibri" w:hAnsi="Calibri" w:cs="Calibri"/>
          <w:sz w:val="24"/>
          <w:szCs w:val="24"/>
          <w:u w:val="single"/>
        </w:rPr>
        <w:t>be contested</w:t>
      </w:r>
      <w:proofErr w:type="gramEnd"/>
      <w:r>
        <w:rPr>
          <w:rFonts w:ascii="Calibri" w:eastAsia="Calibri" w:hAnsi="Calibri" w:cs="Calibri"/>
          <w:sz w:val="24"/>
          <w:szCs w:val="24"/>
          <w:u w:val="single"/>
        </w:rPr>
        <w:t xml:space="preserve"> by both sides of the political spectrum</w:t>
      </w:r>
    </w:p>
    <w:p w:rsidR="00247586" w:rsidRDefault="00AA5933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Citizens United v. Federal Election Commission</w:t>
      </w:r>
      <w:r>
        <w:rPr>
          <w:rFonts w:ascii="Calibri" w:eastAsia="Calibri" w:hAnsi="Calibri" w:cs="Calibri"/>
          <w:sz w:val="24"/>
          <w:szCs w:val="24"/>
        </w:rPr>
        <w:t xml:space="preserve"> (2010)</w:t>
      </w:r>
    </w:p>
    <w:p w:rsidR="00247586" w:rsidRDefault="00AA5933">
      <w:pPr>
        <w:spacing w:line="259" w:lineRule="auto"/>
        <w:ind w:left="720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McCutcheon v. Fed. Election Comm'n</w:t>
      </w:r>
      <w:r>
        <w:rPr>
          <w:rFonts w:ascii="Calibri" w:eastAsia="Calibri" w:hAnsi="Calibri" w:cs="Calibri"/>
          <w:sz w:val="24"/>
          <w:szCs w:val="24"/>
        </w:rPr>
        <w:t>, 134 S. Ct. 1434 (2014)</w:t>
      </w:r>
    </w:p>
    <w:p w:rsidR="00247586" w:rsidRDefault="00AA5933">
      <w:pPr>
        <w:spacing w:line="259" w:lineRule="auto"/>
        <w:ind w:left="720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Arizona Free Enterprise Club's Freedom Club PAC v. Bennett</w:t>
      </w:r>
      <w:r>
        <w:rPr>
          <w:rFonts w:ascii="Calibri" w:eastAsia="Calibri" w:hAnsi="Calibri" w:cs="Calibri"/>
          <w:sz w:val="24"/>
          <w:szCs w:val="24"/>
        </w:rPr>
        <w:t>, 564 U.S. 721 (2011)</w:t>
      </w:r>
    </w:p>
    <w:p w:rsidR="00247586" w:rsidRDefault="00AA5933">
      <w:pPr>
        <w:spacing w:line="259" w:lineRule="auto"/>
        <w:ind w:left="720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American Tradition Partnership, Inc. v. Bullock</w:t>
      </w:r>
      <w:r>
        <w:rPr>
          <w:rFonts w:ascii="Calibri" w:eastAsia="Calibri" w:hAnsi="Calibri" w:cs="Calibri"/>
          <w:sz w:val="24"/>
          <w:szCs w:val="24"/>
        </w:rPr>
        <w:t>, 567 U.S. 516 (</w:t>
      </w:r>
      <w:r>
        <w:rPr>
          <w:rFonts w:ascii="Calibri" w:eastAsia="Calibri" w:hAnsi="Calibri" w:cs="Calibri"/>
          <w:sz w:val="24"/>
          <w:szCs w:val="24"/>
        </w:rPr>
        <w:t>2012) (per curiam)</w:t>
      </w:r>
    </w:p>
    <w:p w:rsidR="00247586" w:rsidRDefault="00247586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  <w:u w:val="single"/>
        </w:rPr>
      </w:pPr>
    </w:p>
    <w:p w:rsidR="00247586" w:rsidRDefault="00247586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  <w:u w:val="single"/>
        </w:rPr>
      </w:pPr>
    </w:p>
    <w:p w:rsidR="00247586" w:rsidRDefault="00247586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  <w:u w:val="single"/>
        </w:rPr>
      </w:pPr>
    </w:p>
    <w:p w:rsidR="00247586" w:rsidRDefault="00AA5933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  <w:u w:val="single"/>
        </w:rPr>
      </w:pPr>
      <w:r>
        <w:br w:type="page"/>
      </w:r>
    </w:p>
    <w:p w:rsidR="00247586" w:rsidRDefault="00AA5933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  <w:u w:val="single"/>
        </w:rPr>
      </w:pPr>
      <w:proofErr w:type="gramStart"/>
      <w:r>
        <w:rPr>
          <w:rFonts w:ascii="Calibri" w:eastAsia="Calibri" w:hAnsi="Calibri" w:cs="Calibri"/>
          <w:sz w:val="24"/>
          <w:szCs w:val="24"/>
          <w:u w:val="single"/>
        </w:rPr>
        <w:lastRenderedPageBreak/>
        <w:t>CON-3</w:t>
      </w:r>
      <w:proofErr w:type="gramEnd"/>
      <w:r>
        <w:rPr>
          <w:rFonts w:ascii="Calibri" w:eastAsia="Calibri" w:hAnsi="Calibri" w:cs="Calibri"/>
          <w:sz w:val="24"/>
          <w:szCs w:val="24"/>
          <w:u w:val="single"/>
        </w:rPr>
        <w:t xml:space="preserve">: The republican ideal in the U.S. is manifested in the structure and operation of the legislative branch </w:t>
      </w:r>
    </w:p>
    <w:p w:rsidR="00247586" w:rsidRDefault="00AA5933">
      <w:pPr>
        <w:tabs>
          <w:tab w:val="left" w:pos="2460"/>
        </w:tabs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Baker v. Carr</w:t>
      </w:r>
      <w:r>
        <w:rPr>
          <w:rFonts w:ascii="Calibri" w:eastAsia="Calibri" w:hAnsi="Calibri" w:cs="Calibri"/>
          <w:sz w:val="24"/>
          <w:szCs w:val="24"/>
        </w:rPr>
        <w:t xml:space="preserve"> (1962)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247586" w:rsidRDefault="00AA5933">
      <w:pPr>
        <w:spacing w:line="259" w:lineRule="auto"/>
        <w:ind w:left="720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Evenwell v. Abbott, </w:t>
      </w:r>
      <w:r>
        <w:rPr>
          <w:rFonts w:ascii="Calibri" w:eastAsia="Calibri" w:hAnsi="Calibri" w:cs="Calibri"/>
          <w:sz w:val="24"/>
          <w:szCs w:val="24"/>
        </w:rPr>
        <w:t>136, S. Ct. 1120 (2016)</w:t>
      </w:r>
    </w:p>
    <w:p w:rsidR="00247586" w:rsidRDefault="00AA5933">
      <w:pPr>
        <w:spacing w:line="259" w:lineRule="auto"/>
        <w:ind w:left="720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Department of Commerce v. Montana, </w:t>
      </w:r>
      <w:r>
        <w:rPr>
          <w:rFonts w:ascii="Calibri" w:eastAsia="Calibri" w:hAnsi="Calibri" w:cs="Calibri"/>
          <w:sz w:val="24"/>
          <w:szCs w:val="24"/>
        </w:rPr>
        <w:t>112 S. Ct. 1415 (19</w:t>
      </w:r>
      <w:r>
        <w:rPr>
          <w:rFonts w:ascii="Calibri" w:eastAsia="Calibri" w:hAnsi="Calibri" w:cs="Calibri"/>
          <w:sz w:val="24"/>
          <w:szCs w:val="24"/>
        </w:rPr>
        <w:t xml:space="preserve">92) </w:t>
      </w:r>
    </w:p>
    <w:p w:rsidR="00247586" w:rsidRDefault="00247586">
      <w:pPr>
        <w:tabs>
          <w:tab w:val="left" w:pos="2460"/>
        </w:tabs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</w:rPr>
      </w:pPr>
    </w:p>
    <w:p w:rsidR="00247586" w:rsidRDefault="00247586">
      <w:pPr>
        <w:tabs>
          <w:tab w:val="left" w:pos="2460"/>
        </w:tabs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</w:rPr>
      </w:pPr>
    </w:p>
    <w:p w:rsidR="00247586" w:rsidRDefault="00AA5933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  <w:u w:val="single"/>
        </w:rPr>
      </w:pPr>
      <w:r>
        <w:br w:type="page"/>
      </w:r>
    </w:p>
    <w:p w:rsidR="00247586" w:rsidRDefault="00AA5933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  <w:u w:val="single"/>
        </w:rPr>
      </w:pPr>
      <w:proofErr w:type="gramStart"/>
      <w:r>
        <w:rPr>
          <w:rFonts w:ascii="Calibri" w:eastAsia="Calibri" w:hAnsi="Calibri" w:cs="Calibri"/>
          <w:sz w:val="24"/>
          <w:szCs w:val="24"/>
          <w:u w:val="single"/>
        </w:rPr>
        <w:lastRenderedPageBreak/>
        <w:t>CON-3</w:t>
      </w:r>
      <w:proofErr w:type="gramEnd"/>
      <w:r>
        <w:rPr>
          <w:rFonts w:ascii="Calibri" w:eastAsia="Calibri" w:hAnsi="Calibri" w:cs="Calibri"/>
          <w:sz w:val="24"/>
          <w:szCs w:val="24"/>
          <w:u w:val="single"/>
        </w:rPr>
        <w:t xml:space="preserve">: The republican ideal in the U.S. is manifested in the structure and operation of the legislative branch </w:t>
      </w:r>
    </w:p>
    <w:p w:rsidR="00247586" w:rsidRDefault="00AA5933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Shaw v. Reno</w:t>
      </w:r>
      <w:r>
        <w:rPr>
          <w:rFonts w:ascii="Calibri" w:eastAsia="Calibri" w:hAnsi="Calibri" w:cs="Calibri"/>
          <w:sz w:val="24"/>
          <w:szCs w:val="24"/>
        </w:rPr>
        <w:t xml:space="preserve"> (1993)</w:t>
      </w:r>
    </w:p>
    <w:p w:rsidR="00247586" w:rsidRDefault="00AA5933">
      <w:pPr>
        <w:spacing w:line="259" w:lineRule="auto"/>
        <w:ind w:left="720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Alabama Legislative Black Caucus v. Alabama</w:t>
      </w:r>
      <w:r>
        <w:rPr>
          <w:rFonts w:ascii="Calibri" w:eastAsia="Calibri" w:hAnsi="Calibri" w:cs="Calibri"/>
          <w:sz w:val="24"/>
          <w:szCs w:val="24"/>
        </w:rPr>
        <w:t>, 135 S. C. t 12257 (2015)</w:t>
      </w:r>
    </w:p>
    <w:p w:rsidR="00247586" w:rsidRDefault="00AA5933">
      <w:pPr>
        <w:spacing w:line="259" w:lineRule="auto"/>
        <w:ind w:left="720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Miller v. Johnson</w:t>
      </w:r>
      <w:r>
        <w:rPr>
          <w:rFonts w:ascii="Calibri" w:eastAsia="Calibri" w:hAnsi="Calibri" w:cs="Calibri"/>
          <w:sz w:val="24"/>
          <w:szCs w:val="24"/>
        </w:rPr>
        <w:t xml:space="preserve"> 115 S. Ct. 2475 (1995)</w:t>
      </w:r>
    </w:p>
    <w:p w:rsidR="00247586" w:rsidRDefault="00247586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</w:rPr>
      </w:pPr>
    </w:p>
    <w:p w:rsidR="00247586" w:rsidRDefault="00AA5933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  <w:u w:val="single"/>
        </w:rPr>
      </w:pPr>
      <w:r>
        <w:br w:type="page"/>
      </w:r>
      <w:proofErr w:type="gramStart"/>
      <w:r>
        <w:rPr>
          <w:rFonts w:ascii="Calibri" w:eastAsia="Calibri" w:hAnsi="Calibri" w:cs="Calibri"/>
          <w:sz w:val="24"/>
          <w:szCs w:val="24"/>
          <w:u w:val="single"/>
        </w:rPr>
        <w:lastRenderedPageBreak/>
        <w:t>CO</w:t>
      </w:r>
      <w:r>
        <w:rPr>
          <w:rFonts w:ascii="Calibri" w:eastAsia="Calibri" w:hAnsi="Calibri" w:cs="Calibri"/>
          <w:sz w:val="24"/>
          <w:szCs w:val="24"/>
          <w:u w:val="single"/>
        </w:rPr>
        <w:t>N-5</w:t>
      </w:r>
      <w:proofErr w:type="gramEnd"/>
      <w:r>
        <w:rPr>
          <w:rFonts w:ascii="Calibri" w:eastAsia="Calibri" w:hAnsi="Calibri" w:cs="Calibri"/>
          <w:sz w:val="24"/>
          <w:szCs w:val="24"/>
          <w:u w:val="single"/>
        </w:rPr>
        <w:t>: The design of the judicial branch protects the Supreme Court’s independence as a branch of government, and the emergence and use of judicial review remains a powerful judicial practice</w:t>
      </w:r>
    </w:p>
    <w:p w:rsidR="00247586" w:rsidRDefault="00AA5933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Marbury v. Madison</w:t>
      </w:r>
      <w:r>
        <w:rPr>
          <w:rFonts w:ascii="Calibri" w:eastAsia="Calibri" w:hAnsi="Calibri" w:cs="Calibri"/>
          <w:sz w:val="24"/>
          <w:szCs w:val="24"/>
        </w:rPr>
        <w:t xml:space="preserve"> (1803)</w:t>
      </w:r>
    </w:p>
    <w:p w:rsidR="00247586" w:rsidRDefault="00AA5933">
      <w:pPr>
        <w:spacing w:line="259" w:lineRule="auto"/>
        <w:ind w:left="720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United States v. Nixon</w:t>
      </w:r>
      <w:r>
        <w:rPr>
          <w:rFonts w:ascii="Calibri" w:eastAsia="Calibri" w:hAnsi="Calibri" w:cs="Calibri"/>
          <w:sz w:val="24"/>
          <w:szCs w:val="24"/>
        </w:rPr>
        <w:t xml:space="preserve">, 94 S. Ct., 3090 </w:t>
      </w:r>
      <w:r>
        <w:rPr>
          <w:rFonts w:ascii="Calibri" w:eastAsia="Calibri" w:hAnsi="Calibri" w:cs="Calibri"/>
          <w:sz w:val="24"/>
          <w:szCs w:val="24"/>
        </w:rPr>
        <w:t>(1974)</w:t>
      </w:r>
    </w:p>
    <w:p w:rsidR="00247586" w:rsidRDefault="00AA5933">
      <w:pPr>
        <w:spacing w:line="259" w:lineRule="auto"/>
        <w:ind w:left="720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United States v. Morrison</w:t>
      </w:r>
      <w:r>
        <w:rPr>
          <w:rFonts w:ascii="Calibri" w:eastAsia="Calibri" w:hAnsi="Calibri" w:cs="Calibri"/>
          <w:sz w:val="24"/>
          <w:szCs w:val="24"/>
        </w:rPr>
        <w:t>, 120 S. Ct. 1740 (2000)</w:t>
      </w:r>
    </w:p>
    <w:p w:rsidR="00247586" w:rsidRDefault="00247586">
      <w:pPr>
        <w:spacing w:after="160" w:line="259" w:lineRule="auto"/>
        <w:contextualSpacing w:val="0"/>
        <w:rPr>
          <w:rFonts w:ascii="Calibri" w:eastAsia="Calibri" w:hAnsi="Calibri" w:cs="Calibri"/>
        </w:rPr>
      </w:pPr>
    </w:p>
    <w:p w:rsidR="00247586" w:rsidRDefault="00247586">
      <w:pPr>
        <w:spacing w:after="160" w:line="259" w:lineRule="auto"/>
        <w:contextualSpacing w:val="0"/>
        <w:rPr>
          <w:rFonts w:ascii="Calibri" w:eastAsia="Calibri" w:hAnsi="Calibri" w:cs="Calibri"/>
        </w:rPr>
      </w:pPr>
    </w:p>
    <w:p w:rsidR="00247586" w:rsidRDefault="00247586">
      <w:pPr>
        <w:spacing w:after="160" w:line="259" w:lineRule="auto"/>
        <w:contextualSpacing w:val="0"/>
        <w:rPr>
          <w:rFonts w:ascii="Calibri" w:eastAsia="Calibri" w:hAnsi="Calibri" w:cs="Calibri"/>
          <w:sz w:val="24"/>
          <w:szCs w:val="24"/>
          <w:u w:val="single"/>
        </w:rPr>
      </w:pPr>
    </w:p>
    <w:p w:rsidR="00247586" w:rsidRDefault="00247586">
      <w:pPr>
        <w:contextualSpacing w:val="0"/>
      </w:pPr>
    </w:p>
    <w:sectPr w:rsidR="00247586">
      <w:headerReference w:type="default" r:id="rId6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933" w:rsidRDefault="00AA5933">
      <w:pPr>
        <w:spacing w:line="240" w:lineRule="auto"/>
      </w:pPr>
      <w:r>
        <w:separator/>
      </w:r>
    </w:p>
  </w:endnote>
  <w:endnote w:type="continuationSeparator" w:id="0">
    <w:p w:rsidR="00AA5933" w:rsidRDefault="00AA5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933" w:rsidRDefault="00AA5933">
      <w:pPr>
        <w:spacing w:line="240" w:lineRule="auto"/>
      </w:pPr>
      <w:r>
        <w:separator/>
      </w:r>
    </w:p>
  </w:footnote>
  <w:footnote w:type="continuationSeparator" w:id="0">
    <w:p w:rsidR="00AA5933" w:rsidRDefault="00AA59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586" w:rsidRDefault="00247586">
    <w:pPr>
      <w:contextualSpacing w:val="0"/>
    </w:pPr>
  </w:p>
  <w:p w:rsidR="00247586" w:rsidRDefault="00AA5933">
    <w:pPr>
      <w:contextualSpacing w:val="0"/>
    </w:pPr>
    <w:r>
      <w:t xml:space="preserve">Received from an AP Conference in St. Louis, MO </w:t>
    </w:r>
    <w:r>
      <w:tab/>
    </w:r>
    <w:r>
      <w:tab/>
    </w:r>
    <w:r>
      <w:tab/>
      <w:t>Presented by the Judicial Learning Center</w:t>
    </w:r>
  </w:p>
  <w:p w:rsidR="00247586" w:rsidRDefault="00247586">
    <w:pPr>
      <w:contextualSpacing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86"/>
    <w:rsid w:val="00247586"/>
    <w:rsid w:val="0047076E"/>
    <w:rsid w:val="00AA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3A5997-7BBA-497F-865E-9ADD3426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Fluharty</dc:creator>
  <cp:lastModifiedBy>Michael Fluharty</cp:lastModifiedBy>
  <cp:revision>2</cp:revision>
  <dcterms:created xsi:type="dcterms:W3CDTF">2018-10-02T15:35:00Z</dcterms:created>
  <dcterms:modified xsi:type="dcterms:W3CDTF">2018-10-02T15:35:00Z</dcterms:modified>
</cp:coreProperties>
</file>