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E6B3" w14:textId="77777777" w:rsidR="00833643" w:rsidRDefault="00833643" w:rsidP="007A6393"/>
    <w:p w14:paraId="6F6B423D" w14:textId="77777777" w:rsidR="00833643" w:rsidRDefault="00833643" w:rsidP="007A6393"/>
    <w:p w14:paraId="24158B78" w14:textId="69943A48" w:rsidR="00833643" w:rsidRDefault="00833643" w:rsidP="007A6393"/>
    <w:p w14:paraId="768CD0A1" w14:textId="132CAB60" w:rsidR="00833643" w:rsidRDefault="00833643" w:rsidP="007A6393"/>
    <w:p w14:paraId="33B73128" w14:textId="004E139A" w:rsidR="00833643" w:rsidRPr="00D16C86" w:rsidRDefault="00833643" w:rsidP="00D16C86">
      <w:pPr>
        <w:jc w:val="center"/>
        <w:rPr>
          <w:b/>
          <w:bCs/>
        </w:rPr>
      </w:pPr>
      <w:r w:rsidRPr="00D16C86">
        <w:rPr>
          <w:b/>
          <w:bCs/>
        </w:rPr>
        <w:t>Comparative and International Education Society</w:t>
      </w:r>
    </w:p>
    <w:p w14:paraId="4E52A787" w14:textId="723742BB" w:rsidR="00833643" w:rsidRPr="00D16C86" w:rsidRDefault="00833643" w:rsidP="00D16C86">
      <w:pPr>
        <w:jc w:val="center"/>
        <w:rPr>
          <w:b/>
          <w:bCs/>
        </w:rPr>
      </w:pPr>
      <w:r w:rsidRPr="00D16C86">
        <w:rPr>
          <w:b/>
          <w:bCs/>
        </w:rPr>
        <w:t>Annual Conference 2023</w:t>
      </w:r>
    </w:p>
    <w:p w14:paraId="4D07EE01" w14:textId="44426FC2" w:rsidR="00833643" w:rsidRPr="00D16C86" w:rsidRDefault="00833643" w:rsidP="00D16C86">
      <w:pPr>
        <w:jc w:val="center"/>
        <w:rPr>
          <w:b/>
          <w:bCs/>
        </w:rPr>
      </w:pPr>
    </w:p>
    <w:p w14:paraId="5E67E6B0" w14:textId="77777777" w:rsidR="001B19EC" w:rsidRDefault="001B19EC" w:rsidP="00D16C86">
      <w:pPr>
        <w:jc w:val="center"/>
        <w:rPr>
          <w:b/>
          <w:bCs/>
        </w:rPr>
      </w:pPr>
    </w:p>
    <w:p w14:paraId="3BA3538C" w14:textId="77777777" w:rsidR="001B19EC" w:rsidRDefault="001B19EC" w:rsidP="00D16C86">
      <w:pPr>
        <w:jc w:val="center"/>
        <w:rPr>
          <w:b/>
          <w:bCs/>
        </w:rPr>
      </w:pPr>
    </w:p>
    <w:p w14:paraId="3DA32D79" w14:textId="5309D7A9" w:rsidR="00833643" w:rsidRPr="00D16C86" w:rsidRDefault="00833643" w:rsidP="00D16C86">
      <w:pPr>
        <w:jc w:val="center"/>
        <w:rPr>
          <w:b/>
          <w:bCs/>
        </w:rPr>
      </w:pPr>
      <w:r w:rsidRPr="00D16C86">
        <w:rPr>
          <w:b/>
          <w:bCs/>
        </w:rPr>
        <w:t>Individual Submission</w:t>
      </w:r>
    </w:p>
    <w:p w14:paraId="2839BF7E" w14:textId="768DB270" w:rsidR="00833643" w:rsidRPr="00D16C86" w:rsidRDefault="00833643" w:rsidP="00D16C86">
      <w:pPr>
        <w:jc w:val="center"/>
        <w:rPr>
          <w:b/>
          <w:bCs/>
        </w:rPr>
      </w:pPr>
      <w:r w:rsidRPr="00D16C86">
        <w:rPr>
          <w:b/>
          <w:bCs/>
        </w:rPr>
        <w:t>Proposal</w:t>
      </w:r>
    </w:p>
    <w:p w14:paraId="35036507" w14:textId="5E479E93" w:rsidR="00833643" w:rsidRPr="00D16C86" w:rsidRDefault="00833643" w:rsidP="00D16C86">
      <w:pPr>
        <w:jc w:val="center"/>
        <w:rPr>
          <w:b/>
          <w:bCs/>
        </w:rPr>
      </w:pPr>
    </w:p>
    <w:p w14:paraId="7C9B4FDB" w14:textId="6D537852" w:rsidR="00833643" w:rsidRDefault="00833643" w:rsidP="007A6393"/>
    <w:p w14:paraId="363BD40E" w14:textId="645E6A48" w:rsidR="00833643" w:rsidRDefault="00833643" w:rsidP="007A6393"/>
    <w:p w14:paraId="15202E3E" w14:textId="0E9AAB16" w:rsidR="00913A95" w:rsidRDefault="00913A95" w:rsidP="007A6393"/>
    <w:p w14:paraId="5EA2250F" w14:textId="0D74A7E3" w:rsidR="00913A95" w:rsidRDefault="00913A95" w:rsidP="007A6393"/>
    <w:p w14:paraId="4F597778" w14:textId="77777777" w:rsidR="00913A95" w:rsidRDefault="00913A95" w:rsidP="007A6393"/>
    <w:p w14:paraId="664835B2" w14:textId="5474901A" w:rsidR="00833643" w:rsidRPr="003701FD" w:rsidRDefault="00913A95" w:rsidP="00833643">
      <w:pPr>
        <w:pStyle w:val="NormalWeb"/>
        <w:jc w:val="center"/>
        <w:rPr>
          <w:b/>
          <w:bCs/>
        </w:rPr>
      </w:pPr>
      <w:r>
        <w:rPr>
          <w:b/>
          <w:bCs/>
        </w:rPr>
        <w:t>Dissonant Edges</w:t>
      </w:r>
      <w:r w:rsidR="00721C91">
        <w:rPr>
          <w:b/>
          <w:bCs/>
        </w:rPr>
        <w:t>:</w:t>
      </w:r>
    </w:p>
    <w:p w14:paraId="7B40EBB1" w14:textId="09086C25" w:rsidR="00833643" w:rsidRDefault="00833643" w:rsidP="00833643">
      <w:pPr>
        <w:pStyle w:val="NormalWeb"/>
        <w:jc w:val="center"/>
        <w:rPr>
          <w:b/>
          <w:bCs/>
        </w:rPr>
      </w:pPr>
      <w:r w:rsidRPr="003701FD">
        <w:rPr>
          <w:b/>
          <w:bCs/>
        </w:rPr>
        <w:t xml:space="preserve">Exploring </w:t>
      </w:r>
      <w:r>
        <w:rPr>
          <w:b/>
          <w:bCs/>
        </w:rPr>
        <w:t xml:space="preserve">how adult development theory informs </w:t>
      </w:r>
      <w:r w:rsidRPr="003701FD">
        <w:rPr>
          <w:b/>
          <w:bCs/>
        </w:rPr>
        <w:t xml:space="preserve">intercultural competency </w:t>
      </w:r>
      <w:r>
        <w:rPr>
          <w:b/>
          <w:bCs/>
        </w:rPr>
        <w:t xml:space="preserve">development </w:t>
      </w:r>
    </w:p>
    <w:p w14:paraId="140D7384" w14:textId="049ED313" w:rsidR="00833643" w:rsidRDefault="00833643" w:rsidP="007A6393"/>
    <w:p w14:paraId="5C14376C" w14:textId="6D880E13" w:rsidR="00833643" w:rsidRDefault="00833643" w:rsidP="007A6393"/>
    <w:p w14:paraId="1790ED02" w14:textId="2DE1342E" w:rsidR="00913A95" w:rsidRDefault="00913A95" w:rsidP="007A6393"/>
    <w:p w14:paraId="339B8302" w14:textId="6FFDA357" w:rsidR="00913A95" w:rsidRDefault="00913A95" w:rsidP="007A6393"/>
    <w:p w14:paraId="7070229C" w14:textId="18ECAAFE" w:rsidR="00913A95" w:rsidRDefault="00913A95" w:rsidP="007A6393"/>
    <w:p w14:paraId="4A68908A" w14:textId="287DD5CD" w:rsidR="00913A95" w:rsidRDefault="00913A95" w:rsidP="007A6393"/>
    <w:p w14:paraId="7E7FE0E0" w14:textId="0AE2F58D" w:rsidR="00913A95" w:rsidRDefault="00913A95" w:rsidP="007A6393"/>
    <w:p w14:paraId="3FF2E595" w14:textId="77777777" w:rsidR="00913A95" w:rsidRDefault="00913A95" w:rsidP="007A6393"/>
    <w:p w14:paraId="62A1C51D" w14:textId="2C8BA7DE" w:rsidR="00D16C86" w:rsidRDefault="00D16C86" w:rsidP="007A6393">
      <w:pPr>
        <w:rPr>
          <w:b/>
          <w:bCs/>
        </w:rPr>
      </w:pPr>
    </w:p>
    <w:p w14:paraId="04B3A96C" w14:textId="7B77496E" w:rsidR="001B19EC" w:rsidRDefault="001B19EC" w:rsidP="007A6393">
      <w:pPr>
        <w:rPr>
          <w:b/>
          <w:bCs/>
        </w:rPr>
      </w:pPr>
    </w:p>
    <w:p w14:paraId="2A48FFD1" w14:textId="77777777" w:rsidR="001B19EC" w:rsidRDefault="001B19EC" w:rsidP="007A6393"/>
    <w:p w14:paraId="59210CAA" w14:textId="63EFB6CA" w:rsidR="00D16C86" w:rsidRDefault="00D16C86" w:rsidP="007A6393"/>
    <w:p w14:paraId="2ED3628F" w14:textId="16C926F7" w:rsidR="00D16C86" w:rsidRDefault="00D16C86" w:rsidP="00D16C86">
      <w:pPr>
        <w:pStyle w:val="Default"/>
        <w:spacing w:after="208"/>
        <w:rPr>
          <w:i/>
          <w:iCs/>
          <w:sz w:val="20"/>
          <w:szCs w:val="20"/>
        </w:rPr>
      </w:pPr>
    </w:p>
    <w:p w14:paraId="3DE88C53" w14:textId="77777777" w:rsidR="00913A95" w:rsidRDefault="00913A95" w:rsidP="00D16C86">
      <w:pPr>
        <w:pStyle w:val="Default"/>
        <w:spacing w:after="208"/>
        <w:rPr>
          <w:sz w:val="20"/>
          <w:szCs w:val="20"/>
        </w:rPr>
      </w:pPr>
    </w:p>
    <w:p w14:paraId="1A640E90" w14:textId="77777777" w:rsidR="004D1B78" w:rsidRDefault="004D1B78" w:rsidP="006D5F33">
      <w:pPr>
        <w:spacing w:line="480" w:lineRule="auto"/>
        <w:ind w:firstLine="720"/>
      </w:pPr>
    </w:p>
    <w:p w14:paraId="3850A6DC" w14:textId="77777777" w:rsidR="00515C18" w:rsidRDefault="00515C18" w:rsidP="0017441F">
      <w:pPr>
        <w:spacing w:line="480" w:lineRule="auto"/>
        <w:ind w:firstLine="720"/>
      </w:pPr>
    </w:p>
    <w:p w14:paraId="5FA79C32" w14:textId="77777777" w:rsidR="00515C18" w:rsidRDefault="00515C18" w:rsidP="0017441F">
      <w:pPr>
        <w:spacing w:line="480" w:lineRule="auto"/>
        <w:ind w:firstLine="720"/>
      </w:pPr>
    </w:p>
    <w:p w14:paraId="4D5FE26D" w14:textId="77777777" w:rsidR="00515C18" w:rsidRDefault="00515C18" w:rsidP="00913A95">
      <w:pPr>
        <w:spacing w:line="480" w:lineRule="auto"/>
      </w:pPr>
    </w:p>
    <w:p w14:paraId="7433B60F" w14:textId="4449C2BA" w:rsidR="001E0F2D" w:rsidRDefault="0026232D" w:rsidP="0017441F">
      <w:pPr>
        <w:spacing w:line="480" w:lineRule="auto"/>
        <w:ind w:firstLine="720"/>
      </w:pPr>
      <w:r w:rsidRPr="001E0F2D">
        <w:lastRenderedPageBreak/>
        <w:t xml:space="preserve">How can education best enable an awareness of inter-being, togetherness, compassion, understanding, and a cooperative future in combating social, economic, and political injustice? </w:t>
      </w:r>
      <w:r w:rsidR="00980DE2" w:rsidRPr="001E0F2D">
        <w:t xml:space="preserve">Or posed a different way, how can education build intercultural competency </w:t>
      </w:r>
      <w:r w:rsidR="00817003">
        <w:t xml:space="preserve">and shared understanding </w:t>
      </w:r>
      <w:r w:rsidR="00980DE2" w:rsidRPr="001E0F2D">
        <w:t>rather than generate division?</w:t>
      </w:r>
      <w:r w:rsidR="00D04836" w:rsidRPr="001E0F2D">
        <w:t xml:space="preserve">  </w:t>
      </w:r>
      <w:r w:rsidR="001E0F2D">
        <w:t xml:space="preserve">This theoretical research study builds </w:t>
      </w:r>
      <w:r w:rsidR="00817003">
        <w:t>up</w:t>
      </w:r>
      <w:r w:rsidR="001E0F2D">
        <w:t xml:space="preserve">on previous work in intercultural competency </w:t>
      </w:r>
      <w:r w:rsidR="002F5876">
        <w:t>by exploring the role of dissonant events and subsequent reflecti</w:t>
      </w:r>
      <w:r w:rsidR="00983C37">
        <w:t>on</w:t>
      </w:r>
      <w:r w:rsidR="002F5876">
        <w:t xml:space="preserve"> as a </w:t>
      </w:r>
      <w:r w:rsidR="00983C37">
        <w:t xml:space="preserve">potential </w:t>
      </w:r>
      <w:r w:rsidR="002F5876">
        <w:t xml:space="preserve">catalyst for </w:t>
      </w:r>
      <w:r w:rsidR="001650AF">
        <w:t>deepened self-awar</w:t>
      </w:r>
      <w:r w:rsidR="00321458">
        <w:t>enes</w:t>
      </w:r>
      <w:r w:rsidR="001650AF">
        <w:t>s</w:t>
      </w:r>
      <w:r w:rsidR="00321458">
        <w:t>, adaptation to other cultures, and appreciative understanding</w:t>
      </w:r>
      <w:r w:rsidR="00461842">
        <w:t xml:space="preserve"> as particularly observed in immersion programs</w:t>
      </w:r>
      <w:r w:rsidR="00817003">
        <w:t xml:space="preserve"> </w:t>
      </w:r>
      <w:r w:rsidR="00FC32FB">
        <w:t>(Allan, 2003; Cushner, 2011; Mitchell &amp; Paras, 2018)</w:t>
      </w:r>
      <w:r w:rsidR="00321458">
        <w:t xml:space="preserve">. </w:t>
      </w:r>
      <w:r w:rsidR="002F5876">
        <w:t xml:space="preserve"> </w:t>
      </w:r>
      <w:r w:rsidR="00817003">
        <w:t>While commonly associated with transformative theory</w:t>
      </w:r>
      <w:r w:rsidR="00140F8E">
        <w:t xml:space="preserve"> (Mezirow, 2000)</w:t>
      </w:r>
      <w:r w:rsidR="00817003">
        <w:t xml:space="preserve">, </w:t>
      </w:r>
      <w:r w:rsidR="00983C37">
        <w:t xml:space="preserve">this study </w:t>
      </w:r>
      <w:r w:rsidR="00321458">
        <w:t xml:space="preserve">looks at adult development theory as an additional lens through which to understand the meaning and significance of dissonant events.  </w:t>
      </w:r>
      <w:r w:rsidR="00140F8E">
        <w:t>Specifically, i</w:t>
      </w:r>
      <w:r w:rsidR="00321458">
        <w:t>n adult development</w:t>
      </w:r>
      <w:r w:rsidR="00140F8E">
        <w:t xml:space="preserve"> theory</w:t>
      </w:r>
      <w:r w:rsidR="00321458">
        <w:t>, Berger (20</w:t>
      </w:r>
      <w:r w:rsidR="00574AF6">
        <w:t>12</w:t>
      </w:r>
      <w:r w:rsidR="00321458">
        <w:t xml:space="preserve">) describes growth edges, </w:t>
      </w:r>
      <w:r w:rsidR="00FC32FB">
        <w:t xml:space="preserve">a </w:t>
      </w:r>
      <w:r w:rsidR="00B02996">
        <w:t xml:space="preserve">sense </w:t>
      </w:r>
      <w:r w:rsidR="00FC32FB">
        <w:t xml:space="preserve">of dissonance or uncomfortable transition </w:t>
      </w:r>
      <w:r w:rsidR="00140F8E">
        <w:t xml:space="preserve">experienced in the movement through </w:t>
      </w:r>
      <w:r w:rsidR="00B02996">
        <w:t>adult</w:t>
      </w:r>
      <w:r w:rsidR="00FC32FB">
        <w:t xml:space="preserve"> development stages.  </w:t>
      </w:r>
      <w:r w:rsidR="00574AF6">
        <w:t>O</w:t>
      </w:r>
      <w:r w:rsidR="00140F8E">
        <w:t>utcome</w:t>
      </w:r>
      <w:r w:rsidR="00574AF6">
        <w:t>s</w:t>
      </w:r>
      <w:r w:rsidR="00140F8E">
        <w:t xml:space="preserve"> of this movement </w:t>
      </w:r>
      <w:r w:rsidR="00574AF6">
        <w:t>are</w:t>
      </w:r>
      <w:r w:rsidR="007F09EE">
        <w:t xml:space="preserve"> a growing self-awareness, capacity to take different perspectives, and </w:t>
      </w:r>
      <w:r w:rsidR="00574AF6">
        <w:t xml:space="preserve">the ability to </w:t>
      </w:r>
      <w:r w:rsidR="007F09EE">
        <w:t xml:space="preserve">“continuously transform her own system” (Berger, 2012, p. 19).  </w:t>
      </w:r>
      <w:r w:rsidR="00FC32FB">
        <w:t xml:space="preserve">This study examines </w:t>
      </w:r>
      <w:r w:rsidR="007F09EE">
        <w:t>the relationship between</w:t>
      </w:r>
      <w:r w:rsidR="00FC32FB">
        <w:t xml:space="preserve"> </w:t>
      </w:r>
      <w:r w:rsidR="008825F4">
        <w:t xml:space="preserve">growth edges and </w:t>
      </w:r>
      <w:r w:rsidR="0017441F">
        <w:t xml:space="preserve">dissonant </w:t>
      </w:r>
      <w:r w:rsidR="008825F4">
        <w:t xml:space="preserve">events – collectively here called dissonant </w:t>
      </w:r>
      <w:r w:rsidR="0017441F">
        <w:t xml:space="preserve">edges </w:t>
      </w:r>
      <w:r w:rsidR="007F09EE">
        <w:t>–</w:t>
      </w:r>
      <w:r w:rsidR="008825F4">
        <w:t xml:space="preserve"> </w:t>
      </w:r>
      <w:r w:rsidR="007F09EE">
        <w:t>that may</w:t>
      </w:r>
      <w:r w:rsidR="00FC32FB">
        <w:t xml:space="preserve"> </w:t>
      </w:r>
      <w:r w:rsidR="007F09EE">
        <w:t xml:space="preserve">catalyze </w:t>
      </w:r>
      <w:r w:rsidR="0017441F">
        <w:t xml:space="preserve">transformed </w:t>
      </w:r>
      <w:r w:rsidR="001E0F2D" w:rsidRPr="001E0F2D">
        <w:t>meaning</w:t>
      </w:r>
      <w:r w:rsidR="00B02996">
        <w:t>-</w:t>
      </w:r>
      <w:r w:rsidR="001E0F2D" w:rsidRPr="001E0F2D">
        <w:t>making through reflective self-awareness</w:t>
      </w:r>
      <w:r w:rsidR="0017441F">
        <w:t>, the foundation of intercultural competency</w:t>
      </w:r>
      <w:r w:rsidR="001E0F2D" w:rsidRPr="001E0F2D">
        <w:t>.</w:t>
      </w:r>
      <w:r w:rsidR="008825F4">
        <w:t xml:space="preserve">  </w:t>
      </w:r>
    </w:p>
    <w:p w14:paraId="0938B5AA" w14:textId="469AE18C" w:rsidR="000A44D7" w:rsidRDefault="00FC32FB" w:rsidP="000A44D7">
      <w:pPr>
        <w:spacing w:line="480" w:lineRule="auto"/>
        <w:ind w:firstLine="720"/>
      </w:pPr>
      <w:r>
        <w:t>In a seminal study among university officials</w:t>
      </w:r>
      <w:r w:rsidR="004D1B78" w:rsidRPr="001E0F2D">
        <w:t xml:space="preserve">, Deardorff (2006) </w:t>
      </w:r>
      <w:r w:rsidR="00574AF6">
        <w:t>identified</w:t>
      </w:r>
      <w:r>
        <w:t xml:space="preserve"> </w:t>
      </w:r>
      <w:r w:rsidR="004D1B78" w:rsidRPr="001E0F2D">
        <w:t xml:space="preserve">three </w:t>
      </w:r>
      <w:r w:rsidR="00980DE2" w:rsidRPr="001E0F2D">
        <w:t xml:space="preserve">core </w:t>
      </w:r>
      <w:r w:rsidR="004D1B78" w:rsidRPr="001E0F2D">
        <w:t>components</w:t>
      </w:r>
      <w:r>
        <w:t xml:space="preserve"> of intercultural competency</w:t>
      </w:r>
      <w:r w:rsidR="004D1B78" w:rsidRPr="001E0F2D">
        <w:t xml:space="preserve">: attitudes, such as respect, openness, curiosity, and discovery; knowledge, including self-awareness, cultural, and historical knowledge; and skills, such as listening, observing, evaluating, analyzing, and interpreting.  </w:t>
      </w:r>
      <w:r w:rsidR="00574AF6">
        <w:t xml:space="preserve">Similarly, </w:t>
      </w:r>
      <w:r w:rsidR="00574AF6" w:rsidRPr="001E0F2D">
        <w:t xml:space="preserve">Major, Munday, and Winslade (2020) describe intercultural competency as a “process of ongoing learning through critical reflection to develop knowledge, attitudes, skills, and behaviors that enhance our </w:t>
      </w:r>
      <w:r w:rsidR="00574AF6" w:rsidRPr="001E0F2D">
        <w:lastRenderedPageBreak/>
        <w:t>ability to negotiate successful intercultural relationships</w:t>
      </w:r>
      <w:r w:rsidR="00574AF6">
        <w:t>”</w:t>
      </w:r>
      <w:r w:rsidR="00574AF6" w:rsidRPr="001E0F2D">
        <w:t xml:space="preserve"> (p. 162).  </w:t>
      </w:r>
      <w:r w:rsidR="00B02996">
        <w:t>Elsewhere</w:t>
      </w:r>
      <w:r w:rsidR="004D1B78" w:rsidRPr="001E0F2D">
        <w:t xml:space="preserve">, Cushner (2011) defines intercultural competency as the “capacity and ability to enable people to be successful with a wide range of culturally diverse contexts” (p. 206).  Still others like Paras, Carignan, Brenner, Hardy, Malmgren and Rathburn (2019) use Vande Berg’s development framework to define intercultural competency as a process of “cultivating cultural self-awareness, development awareness of others, managing emotions, and bridging cultural gaps” (p. 24).  </w:t>
      </w:r>
    </w:p>
    <w:p w14:paraId="0334693B" w14:textId="1AC876B0" w:rsidR="00833643" w:rsidRPr="000A44D7" w:rsidRDefault="000A44D7" w:rsidP="000A44D7">
      <w:pPr>
        <w:spacing w:line="480" w:lineRule="auto"/>
        <w:ind w:firstLine="720"/>
        <w:rPr>
          <w:b/>
          <w:bCs/>
        </w:rPr>
      </w:pPr>
      <w:r>
        <w:t>Indeed, t</w:t>
      </w:r>
      <w:r w:rsidRPr="001E0F2D">
        <w:t xml:space="preserve">he development of intercultural competency is a continual process involving multiple intercultural experiences leading to an evolving transformation in worldview structure and perspective (Deardorff, 2006; Hammer, Bennett &amp; Wiseman, 2003; Parkhouse, Tichnor-Wagner, Cain &amp; Glazier, 2016).  </w:t>
      </w:r>
      <w:r>
        <w:t xml:space="preserve"> </w:t>
      </w:r>
      <w:r w:rsidR="004D1B78" w:rsidRPr="001E0F2D">
        <w:t xml:space="preserve">What is not well answered is </w:t>
      </w:r>
      <w:r w:rsidR="00040090" w:rsidRPr="001E0F2D">
        <w:t xml:space="preserve">the process of </w:t>
      </w:r>
      <w:r w:rsidR="004D1B78" w:rsidRPr="001E0F2D">
        <w:rPr>
          <w:i/>
          <w:iCs/>
        </w:rPr>
        <w:t xml:space="preserve">how </w:t>
      </w:r>
      <w:r w:rsidR="004D1B78" w:rsidRPr="001E0F2D">
        <w:t>to develop intercultural competency</w:t>
      </w:r>
      <w:r w:rsidR="001C2D29" w:rsidRPr="001E0F2D">
        <w:t xml:space="preserve"> (Mitchell &amp; Paras, 2018)</w:t>
      </w:r>
      <w:r w:rsidR="004D1B78" w:rsidRPr="001E0F2D">
        <w:t xml:space="preserve">.  </w:t>
      </w:r>
      <w:r w:rsidR="007C6F7A" w:rsidRPr="001E0F2D">
        <w:t xml:space="preserve">Brendel, </w:t>
      </w:r>
      <w:proofErr w:type="spellStart"/>
      <w:r w:rsidR="007C6F7A" w:rsidRPr="001E0F2D">
        <w:t>Aksit</w:t>
      </w:r>
      <w:proofErr w:type="spellEnd"/>
      <w:r w:rsidR="007C6F7A" w:rsidRPr="001E0F2D">
        <w:t xml:space="preserve">, </w:t>
      </w:r>
      <w:proofErr w:type="spellStart"/>
      <w:r w:rsidR="007C6F7A" w:rsidRPr="001E0F2D">
        <w:t>Aksit</w:t>
      </w:r>
      <w:proofErr w:type="spellEnd"/>
      <w:r w:rsidR="007C6F7A" w:rsidRPr="001E0F2D">
        <w:t xml:space="preserve"> and </w:t>
      </w:r>
      <w:proofErr w:type="spellStart"/>
      <w:r w:rsidR="007C6F7A" w:rsidRPr="001E0F2D">
        <w:t>Schrufer</w:t>
      </w:r>
      <w:proofErr w:type="spellEnd"/>
      <w:r w:rsidR="007C6F7A" w:rsidRPr="001E0F2D">
        <w:t xml:space="preserve"> (2016), Cushner (2009), and Santoro (2014) reiterate the importance of direct personal engagement with another people and context, that is, another culture, to build intercultural competency.  </w:t>
      </w:r>
      <w:r w:rsidR="00D04836" w:rsidRPr="001E0F2D">
        <w:t>An oft-cited vehicle to develop intercultural competency is the use of international immersion programs, which can fast track the development of intercultural competency if such a program is intentionally designed</w:t>
      </w:r>
      <w:r w:rsidR="007F2422">
        <w:t xml:space="preserve">, </w:t>
      </w:r>
      <w:r w:rsidR="00D04836" w:rsidRPr="001E0F2D">
        <w:t>implemented explicitly to meet that objective</w:t>
      </w:r>
      <w:r w:rsidR="007F2422">
        <w:t>, and incorporates active reflection</w:t>
      </w:r>
      <w:r w:rsidR="00D04836" w:rsidRPr="001E0F2D">
        <w:t xml:space="preserve"> (Che, Spearman, &amp; </w:t>
      </w:r>
      <w:proofErr w:type="spellStart"/>
      <w:r w:rsidR="00D04836" w:rsidRPr="001E0F2D">
        <w:t>Manizade</w:t>
      </w:r>
      <w:proofErr w:type="spellEnd"/>
      <w:r w:rsidR="00D04836" w:rsidRPr="001E0F2D">
        <w:t xml:space="preserve">, 2009; Cushner, 2012; </w:t>
      </w:r>
      <w:proofErr w:type="spellStart"/>
      <w:r w:rsidR="00D04836" w:rsidRPr="001E0F2D">
        <w:t>DeJaeghere</w:t>
      </w:r>
      <w:proofErr w:type="spellEnd"/>
      <w:r w:rsidR="00D04836" w:rsidRPr="001E0F2D">
        <w:t xml:space="preserve"> &amp; Cao, 2009).  Immersion programs offer a unique forum to shift paradigms, ways of thinking, perceptions of normal, and sense-making that can have significant effect on participants’ competency and capacity to engage effectively with other cultures (Dunn, Dotson, Cross, Kesner, &amp; Lundahl, 2014; Ritz, 2011; Sharma</w:t>
      </w:r>
      <w:r w:rsidR="007C034C">
        <w:t>,</w:t>
      </w:r>
      <w:r w:rsidR="00D04836" w:rsidRPr="001E0F2D">
        <w:t xml:space="preserve"> </w:t>
      </w:r>
      <w:r w:rsidR="007C034C" w:rsidRPr="005A2583">
        <w:rPr>
          <w:color w:val="000000"/>
        </w:rPr>
        <w:t>Phillion</w:t>
      </w:r>
      <w:r w:rsidR="007C034C">
        <w:rPr>
          <w:color w:val="000000"/>
        </w:rPr>
        <w:t xml:space="preserve"> </w:t>
      </w:r>
      <w:r w:rsidR="007C034C" w:rsidRPr="005A2583">
        <w:rPr>
          <w:color w:val="000000" w:themeColor="text1"/>
        </w:rPr>
        <w:t>&amp; Malewski</w:t>
      </w:r>
      <w:r w:rsidR="00D04836" w:rsidRPr="001E0F2D">
        <w:t xml:space="preserve">, 2011).  Bennet (1993), Byram (1997), Deardorff (2006) and Hammer, Bennett, and Wiseman (2003) note that immersion programs can move participants to a new way of being and knowing – that is, a transformed ontology that </w:t>
      </w:r>
      <w:r w:rsidR="00D04836" w:rsidRPr="001E0F2D">
        <w:lastRenderedPageBreak/>
        <w:t xml:space="preserve">facilitates the recognition and value of other epistemologies, and subsequently accepting, adapting, and integrating knowledge, skills, and attitudes of intercultural competencies.  </w:t>
      </w:r>
    </w:p>
    <w:p w14:paraId="31F38644" w14:textId="177DF29D" w:rsidR="00833643" w:rsidRDefault="00833643" w:rsidP="008825F4">
      <w:pPr>
        <w:spacing w:line="480" w:lineRule="auto"/>
        <w:ind w:firstLine="720"/>
      </w:pPr>
      <w:r w:rsidRPr="008D7A4D">
        <w:t>At the same time, the immersion program is a learning experience; this experiential learning engagement can be observed and understood through Mezirow’s transformative learning theory</w:t>
      </w:r>
      <w:r w:rsidR="00574AF6">
        <w:t xml:space="preserve"> (Mezirow, 2000)</w:t>
      </w:r>
      <w:r w:rsidRPr="008D7A4D">
        <w:t xml:space="preserve">, which includes </w:t>
      </w:r>
      <w:r w:rsidR="007F2422">
        <w:t xml:space="preserve">concepts of </w:t>
      </w:r>
      <w:r w:rsidRPr="008D7A4D">
        <w:t>critical reflection, the centrality of experience, and rational discourse (Baumgar</w:t>
      </w:r>
      <w:r w:rsidR="00D900F0">
        <w:t>tn</w:t>
      </w:r>
      <w:r w:rsidRPr="008D7A4D">
        <w:t xml:space="preserve">er, 2012).  The act of reflective self-inquiry </w:t>
      </w:r>
      <w:r>
        <w:t xml:space="preserve">is </w:t>
      </w:r>
      <w:r w:rsidRPr="008D7A4D">
        <w:t xml:space="preserve">instigated by a disorientating dilemma, or an incident of “dissonance,” </w:t>
      </w:r>
      <w:r w:rsidR="00721C91">
        <w:t xml:space="preserve">which may subsequently lead to </w:t>
      </w:r>
      <w:r w:rsidRPr="008D7A4D">
        <w:t xml:space="preserve">transformation </w:t>
      </w:r>
      <w:r w:rsidR="00721C91">
        <w:t>of perspective</w:t>
      </w:r>
      <w:r w:rsidR="008825F4">
        <w:t xml:space="preserve"> or</w:t>
      </w:r>
      <w:r w:rsidR="00721C91">
        <w:t xml:space="preserve"> identity</w:t>
      </w:r>
      <w:r w:rsidR="008825F4">
        <w:t xml:space="preserve"> </w:t>
      </w:r>
      <w:r w:rsidRPr="008D7A4D">
        <w:t>(</w:t>
      </w:r>
      <w:proofErr w:type="spellStart"/>
      <w:r w:rsidRPr="008D7A4D">
        <w:t>Trilokekar</w:t>
      </w:r>
      <w:proofErr w:type="spellEnd"/>
      <w:r w:rsidRPr="008D7A4D">
        <w:t xml:space="preserve"> and </w:t>
      </w:r>
      <w:proofErr w:type="spellStart"/>
      <w:r w:rsidRPr="008D7A4D">
        <w:t>Kukar</w:t>
      </w:r>
      <w:proofErr w:type="spellEnd"/>
      <w:r>
        <w:t xml:space="preserve">, </w:t>
      </w:r>
      <w:r w:rsidRPr="008D7A4D">
        <w:t>2011</w:t>
      </w:r>
      <w:r>
        <w:t xml:space="preserve">, </w:t>
      </w:r>
      <w:r w:rsidRPr="008D7A4D">
        <w:t xml:space="preserve">p. 1142).  </w:t>
      </w:r>
      <w:r>
        <w:t>B</w:t>
      </w:r>
      <w:r w:rsidRPr="008D7A4D">
        <w:t xml:space="preserve">ecause an immersion program is more than knowledge acquisition, </w:t>
      </w:r>
      <w:r>
        <w:t>immersion</w:t>
      </w:r>
      <w:r w:rsidRPr="008D7A4D">
        <w:t xml:space="preserve"> programs can offer a transformational experience of identity (consisting of cognitive, emotional, spiritual, and somatic selves) that can create paradigm shifts in participants (Grant, Green, </w:t>
      </w:r>
      <w:proofErr w:type="spellStart"/>
      <w:r w:rsidRPr="008D7A4D">
        <w:t>Rynsaardt</w:t>
      </w:r>
      <w:proofErr w:type="spellEnd"/>
      <w:r w:rsidRPr="008D7A4D">
        <w:t xml:space="preserve">, 2010).  </w:t>
      </w:r>
    </w:p>
    <w:p w14:paraId="00F17A09" w14:textId="2F1EF35E" w:rsidR="006D5F33" w:rsidRDefault="007F2422" w:rsidP="001E0F2D">
      <w:pPr>
        <w:spacing w:line="480" w:lineRule="auto"/>
        <w:ind w:firstLine="720"/>
      </w:pPr>
      <w:r>
        <w:t>Said another way</w:t>
      </w:r>
      <w:r w:rsidR="006C5DCC">
        <w:t>, t</w:t>
      </w:r>
      <w:r w:rsidR="006D5F33" w:rsidRPr="001E0F2D">
        <w:t xml:space="preserve">he core of intercultural competency is posited as making sense of the world and experiencing the transformation when sense making shifts, a theoretical construct Kegan (1994) calls </w:t>
      </w:r>
      <w:proofErr w:type="gramStart"/>
      <w:r w:rsidR="006D5F33" w:rsidRPr="001E0F2D">
        <w:t>constructive-development</w:t>
      </w:r>
      <w:proofErr w:type="gramEnd"/>
      <w:r w:rsidR="006D5F33" w:rsidRPr="001E0F2D">
        <w:t xml:space="preserve">.  Jennifer Garvey Berger (2012) refers to the developing way of understanding the world as “self-complexity,” also called “forms of mind,” which is the shifting or transforming capacity of humans “to cope with complexity, multiple perspectives, and abstraction” (p. 10).  </w:t>
      </w:r>
      <w:r>
        <w:t xml:space="preserve">These forms of mind shift along growth edges, which is when new perspective-taking emerges as </w:t>
      </w:r>
      <w:r w:rsidR="00233B45">
        <w:t xml:space="preserve">adults move </w:t>
      </w:r>
      <w:r w:rsidR="008D18D0">
        <w:t xml:space="preserve">through development stages of </w:t>
      </w:r>
      <w:r w:rsidR="00233B45">
        <w:t>self-sovereignty</w:t>
      </w:r>
      <w:r w:rsidR="008D18D0">
        <w:t>,</w:t>
      </w:r>
      <w:r w:rsidR="00233B45">
        <w:t xml:space="preserve"> socialized</w:t>
      </w:r>
      <w:r w:rsidR="008D18D0">
        <w:t>,</w:t>
      </w:r>
      <w:r w:rsidR="00233B45">
        <w:t xml:space="preserve"> self-authored</w:t>
      </w:r>
      <w:r w:rsidR="008D18D0">
        <w:t xml:space="preserve">, </w:t>
      </w:r>
      <w:r w:rsidR="00233B45">
        <w:t xml:space="preserve">and </w:t>
      </w:r>
      <w:r w:rsidR="008D18D0">
        <w:t>finally</w:t>
      </w:r>
      <w:r w:rsidR="00233B45">
        <w:t xml:space="preserve"> self-transforming forms of mind</w:t>
      </w:r>
      <w:r w:rsidR="002E1BD0">
        <w:t xml:space="preserve"> (Berger, 2012)</w:t>
      </w:r>
      <w:r w:rsidR="00233B45">
        <w:t xml:space="preserve">.  </w:t>
      </w:r>
      <w:r w:rsidR="006D5F33" w:rsidRPr="001E0F2D">
        <w:t xml:space="preserve">Integrated within this </w:t>
      </w:r>
      <w:r w:rsidR="00233B45">
        <w:t xml:space="preserve">evolving </w:t>
      </w:r>
      <w:r w:rsidR="006D5F33" w:rsidRPr="001E0F2D">
        <w:t xml:space="preserve">sense-making are the attitudes and awareness that allow this sense making to effectively, meaningfully, and productively to occur, with curiosity as the “lubricant of the learning process” (Berger, 2012, p. 164).   </w:t>
      </w:r>
      <w:r w:rsidR="008D18D0">
        <w:t xml:space="preserve">Notably, </w:t>
      </w:r>
      <w:r w:rsidR="002E1BD0">
        <w:t xml:space="preserve">the development of </w:t>
      </w:r>
      <w:r w:rsidR="008D18D0">
        <w:t>reflection, self-awareness, and perspective</w:t>
      </w:r>
      <w:r w:rsidR="002E1BD0">
        <w:t>-</w:t>
      </w:r>
      <w:r w:rsidR="008D18D0">
        <w:t xml:space="preserve">taking are integrally tied to these development </w:t>
      </w:r>
      <w:r w:rsidR="008D18D0">
        <w:lastRenderedPageBreak/>
        <w:t xml:space="preserve">phases.  </w:t>
      </w:r>
      <w:r w:rsidR="006D5F33" w:rsidRPr="001E0F2D">
        <w:t xml:space="preserve">Said another way, </w:t>
      </w:r>
      <w:r w:rsidR="008D18D0">
        <w:t>adult development</w:t>
      </w:r>
      <w:r w:rsidR="006D5F33" w:rsidRPr="001E0F2D">
        <w:t xml:space="preserve"> theory is learning the skills, knowledge, and attitudes to gain new perspectives, self-awareness, and the traits of curiosity, humility, empathy, and compassion – the </w:t>
      </w:r>
      <w:r w:rsidR="008D18D0">
        <w:t xml:space="preserve">necessary elements and </w:t>
      </w:r>
      <w:r w:rsidR="006D5F33" w:rsidRPr="001E0F2D">
        <w:t>foundation of intercultural competency.</w:t>
      </w:r>
    </w:p>
    <w:p w14:paraId="5C140A50" w14:textId="516B1C9D" w:rsidR="00233B45" w:rsidRPr="000A44D7" w:rsidRDefault="00233B45" w:rsidP="000A44D7">
      <w:pPr>
        <w:spacing w:line="480" w:lineRule="auto"/>
        <w:ind w:firstLine="720"/>
        <w:rPr>
          <w:b/>
          <w:bCs/>
        </w:rPr>
      </w:pPr>
      <w:r>
        <w:t xml:space="preserve">As adults move through various stages of sense-making and perspective taking, spawned by crossing through growth edges, how might this process inform the movement through dissonant events?  How </w:t>
      </w:r>
      <w:r w:rsidRPr="00233B45">
        <w:t>might</w:t>
      </w:r>
      <w:r w:rsidR="00D16C86" w:rsidRPr="00233B45">
        <w:t xml:space="preserve"> an individual’s development stage</w:t>
      </w:r>
      <w:r w:rsidR="000A44D7">
        <w:t xml:space="preserve"> intersect, or not, with the </w:t>
      </w:r>
      <w:r w:rsidR="00D16C86" w:rsidRPr="00233B45">
        <w:t>acquisition and development of intercultural competenc</w:t>
      </w:r>
      <w:r w:rsidR="000A44D7">
        <w:t>y</w:t>
      </w:r>
      <w:r w:rsidR="00D16C86" w:rsidRPr="00233B45">
        <w:t>?</w:t>
      </w:r>
      <w:r w:rsidR="00D16C86" w:rsidRPr="00D802E8">
        <w:rPr>
          <w:b/>
          <w:bCs/>
        </w:rPr>
        <w:t xml:space="preserve">  </w:t>
      </w:r>
      <w:r>
        <w:t xml:space="preserve">The outcome of this study may contribute to our collective understanding of how intercultural competency is developed, strengthened, and expanded </w:t>
      </w:r>
      <w:r w:rsidR="002A1932">
        <w:t xml:space="preserve">– and may help answer the question of how we can sustainably and effectively counter breakdowns in our human relationships and the injustices plaguing our societies. </w:t>
      </w:r>
    </w:p>
    <w:p w14:paraId="30BCB971" w14:textId="5C2224DC" w:rsidR="008125DA" w:rsidRDefault="008125DA" w:rsidP="008125DA">
      <w:pPr>
        <w:pStyle w:val="Default"/>
        <w:rPr>
          <w:sz w:val="20"/>
          <w:szCs w:val="20"/>
        </w:rPr>
      </w:pPr>
    </w:p>
    <w:p w14:paraId="24ECF5DF" w14:textId="31A13FB5" w:rsidR="000A44D7" w:rsidRDefault="000A44D7" w:rsidP="008125DA">
      <w:pPr>
        <w:pStyle w:val="Default"/>
        <w:rPr>
          <w:sz w:val="20"/>
          <w:szCs w:val="20"/>
        </w:rPr>
      </w:pPr>
    </w:p>
    <w:p w14:paraId="1215D87A" w14:textId="6B1E6C00" w:rsidR="000A44D7" w:rsidRDefault="000A44D7" w:rsidP="008125DA">
      <w:pPr>
        <w:pStyle w:val="Default"/>
        <w:rPr>
          <w:sz w:val="20"/>
          <w:szCs w:val="20"/>
        </w:rPr>
      </w:pPr>
    </w:p>
    <w:p w14:paraId="0922383C" w14:textId="78F3D357" w:rsidR="000A44D7" w:rsidRDefault="000A44D7" w:rsidP="008125DA">
      <w:pPr>
        <w:pStyle w:val="Default"/>
        <w:rPr>
          <w:sz w:val="20"/>
          <w:szCs w:val="20"/>
        </w:rPr>
      </w:pPr>
    </w:p>
    <w:p w14:paraId="3CFFB96D" w14:textId="39795826" w:rsidR="004C5113" w:rsidRDefault="004C5113" w:rsidP="008125DA">
      <w:pPr>
        <w:pStyle w:val="Default"/>
        <w:rPr>
          <w:sz w:val="20"/>
          <w:szCs w:val="20"/>
        </w:rPr>
      </w:pPr>
    </w:p>
    <w:p w14:paraId="7F378391" w14:textId="1535871C" w:rsidR="004C5113" w:rsidRDefault="004C5113" w:rsidP="008125DA">
      <w:pPr>
        <w:pStyle w:val="Default"/>
        <w:rPr>
          <w:sz w:val="20"/>
          <w:szCs w:val="20"/>
        </w:rPr>
      </w:pPr>
    </w:p>
    <w:p w14:paraId="418CE901" w14:textId="55D3AF2B" w:rsidR="002E1BD0" w:rsidRDefault="002E1BD0" w:rsidP="008125DA">
      <w:pPr>
        <w:pStyle w:val="Default"/>
        <w:rPr>
          <w:sz w:val="20"/>
          <w:szCs w:val="20"/>
        </w:rPr>
      </w:pPr>
    </w:p>
    <w:p w14:paraId="34F3DC5D" w14:textId="0A59AA2A" w:rsidR="002E1BD0" w:rsidRDefault="002E1BD0" w:rsidP="008125DA">
      <w:pPr>
        <w:pStyle w:val="Default"/>
        <w:rPr>
          <w:sz w:val="20"/>
          <w:szCs w:val="20"/>
        </w:rPr>
      </w:pPr>
    </w:p>
    <w:p w14:paraId="2CE1C096" w14:textId="6BA5FE3A" w:rsidR="002E1BD0" w:rsidRDefault="002E1BD0" w:rsidP="008125DA">
      <w:pPr>
        <w:pStyle w:val="Default"/>
        <w:rPr>
          <w:sz w:val="20"/>
          <w:szCs w:val="20"/>
        </w:rPr>
      </w:pPr>
    </w:p>
    <w:p w14:paraId="5A16D8B3" w14:textId="39843EF1" w:rsidR="002E1BD0" w:rsidRDefault="002E1BD0" w:rsidP="008125DA">
      <w:pPr>
        <w:pStyle w:val="Default"/>
        <w:rPr>
          <w:sz w:val="20"/>
          <w:szCs w:val="20"/>
        </w:rPr>
      </w:pPr>
    </w:p>
    <w:p w14:paraId="216F7D51" w14:textId="4D275721" w:rsidR="002E1BD0" w:rsidRDefault="002E1BD0" w:rsidP="008125DA">
      <w:pPr>
        <w:pStyle w:val="Default"/>
        <w:rPr>
          <w:sz w:val="20"/>
          <w:szCs w:val="20"/>
        </w:rPr>
      </w:pPr>
    </w:p>
    <w:p w14:paraId="79466A7F" w14:textId="1D707E5A" w:rsidR="002E1BD0" w:rsidRDefault="002E1BD0" w:rsidP="008125DA">
      <w:pPr>
        <w:pStyle w:val="Default"/>
        <w:rPr>
          <w:sz w:val="20"/>
          <w:szCs w:val="20"/>
        </w:rPr>
      </w:pPr>
    </w:p>
    <w:p w14:paraId="7FAC120A" w14:textId="073D178D" w:rsidR="002E1BD0" w:rsidRDefault="002E1BD0" w:rsidP="008125DA">
      <w:pPr>
        <w:pStyle w:val="Default"/>
        <w:rPr>
          <w:sz w:val="20"/>
          <w:szCs w:val="20"/>
        </w:rPr>
      </w:pPr>
    </w:p>
    <w:p w14:paraId="4DBD30E6" w14:textId="6E09B5A1" w:rsidR="002E1BD0" w:rsidRDefault="002E1BD0" w:rsidP="008125DA">
      <w:pPr>
        <w:pStyle w:val="Default"/>
        <w:rPr>
          <w:sz w:val="20"/>
          <w:szCs w:val="20"/>
        </w:rPr>
      </w:pPr>
    </w:p>
    <w:p w14:paraId="0589C5AC" w14:textId="1171056B" w:rsidR="002E1BD0" w:rsidRDefault="002E1BD0" w:rsidP="008125DA">
      <w:pPr>
        <w:pStyle w:val="Default"/>
        <w:rPr>
          <w:sz w:val="20"/>
          <w:szCs w:val="20"/>
        </w:rPr>
      </w:pPr>
    </w:p>
    <w:p w14:paraId="37E99A9C" w14:textId="17DD2A1E" w:rsidR="002E1BD0" w:rsidRDefault="002E1BD0" w:rsidP="008125DA">
      <w:pPr>
        <w:pStyle w:val="Default"/>
        <w:rPr>
          <w:sz w:val="20"/>
          <w:szCs w:val="20"/>
        </w:rPr>
      </w:pPr>
    </w:p>
    <w:p w14:paraId="1AA57367" w14:textId="5848FA3A" w:rsidR="002E1BD0" w:rsidRDefault="002E1BD0" w:rsidP="008125DA">
      <w:pPr>
        <w:pStyle w:val="Default"/>
        <w:rPr>
          <w:sz w:val="20"/>
          <w:szCs w:val="20"/>
        </w:rPr>
      </w:pPr>
    </w:p>
    <w:p w14:paraId="02B46BAD" w14:textId="5E936ED6" w:rsidR="002E1BD0" w:rsidRDefault="002E1BD0" w:rsidP="008125DA">
      <w:pPr>
        <w:pStyle w:val="Default"/>
        <w:rPr>
          <w:sz w:val="20"/>
          <w:szCs w:val="20"/>
        </w:rPr>
      </w:pPr>
    </w:p>
    <w:p w14:paraId="59100147" w14:textId="560DE319" w:rsidR="002E1BD0" w:rsidRDefault="002E1BD0" w:rsidP="008125DA">
      <w:pPr>
        <w:pStyle w:val="Default"/>
        <w:rPr>
          <w:sz w:val="20"/>
          <w:szCs w:val="20"/>
        </w:rPr>
      </w:pPr>
    </w:p>
    <w:p w14:paraId="6DCE1BE8" w14:textId="17118DB8" w:rsidR="002E1BD0" w:rsidRDefault="002E1BD0" w:rsidP="008125DA">
      <w:pPr>
        <w:pStyle w:val="Default"/>
        <w:rPr>
          <w:sz w:val="20"/>
          <w:szCs w:val="20"/>
        </w:rPr>
      </w:pPr>
    </w:p>
    <w:p w14:paraId="177677D4" w14:textId="36DFCB65" w:rsidR="002E1BD0" w:rsidRDefault="002E1BD0" w:rsidP="008125DA">
      <w:pPr>
        <w:pStyle w:val="Default"/>
        <w:rPr>
          <w:sz w:val="20"/>
          <w:szCs w:val="20"/>
        </w:rPr>
      </w:pPr>
    </w:p>
    <w:p w14:paraId="428AB131" w14:textId="5DBC73EC" w:rsidR="002E1BD0" w:rsidRDefault="002E1BD0" w:rsidP="008125DA">
      <w:pPr>
        <w:pStyle w:val="Default"/>
        <w:rPr>
          <w:sz w:val="20"/>
          <w:szCs w:val="20"/>
        </w:rPr>
      </w:pPr>
    </w:p>
    <w:p w14:paraId="21B81DBF" w14:textId="2F59E947" w:rsidR="002E1BD0" w:rsidRDefault="002E1BD0" w:rsidP="008125DA">
      <w:pPr>
        <w:pStyle w:val="Default"/>
        <w:rPr>
          <w:sz w:val="20"/>
          <w:szCs w:val="20"/>
        </w:rPr>
      </w:pPr>
    </w:p>
    <w:p w14:paraId="275707CF" w14:textId="50D360D2" w:rsidR="002E1BD0" w:rsidRDefault="002E1BD0" w:rsidP="008125DA">
      <w:pPr>
        <w:pStyle w:val="Default"/>
        <w:rPr>
          <w:sz w:val="20"/>
          <w:szCs w:val="20"/>
        </w:rPr>
      </w:pPr>
    </w:p>
    <w:p w14:paraId="58364336" w14:textId="34BD502D" w:rsidR="002E1BD0" w:rsidRDefault="002E1BD0" w:rsidP="008125DA">
      <w:pPr>
        <w:pStyle w:val="Default"/>
        <w:rPr>
          <w:sz w:val="20"/>
          <w:szCs w:val="20"/>
        </w:rPr>
      </w:pPr>
    </w:p>
    <w:p w14:paraId="5DB994DB" w14:textId="33906C7A" w:rsidR="002E1BD0" w:rsidRDefault="002E1BD0" w:rsidP="008125DA">
      <w:pPr>
        <w:pStyle w:val="Default"/>
        <w:rPr>
          <w:sz w:val="20"/>
          <w:szCs w:val="20"/>
        </w:rPr>
      </w:pPr>
    </w:p>
    <w:p w14:paraId="469E52C5" w14:textId="77777777" w:rsidR="002E1BD0" w:rsidRDefault="002E1BD0" w:rsidP="008125DA">
      <w:pPr>
        <w:pStyle w:val="Default"/>
        <w:rPr>
          <w:sz w:val="20"/>
          <w:szCs w:val="20"/>
        </w:rPr>
      </w:pPr>
    </w:p>
    <w:p w14:paraId="3770509C" w14:textId="6AD1457D" w:rsidR="004C5113" w:rsidRDefault="004C5113" w:rsidP="008125DA">
      <w:pPr>
        <w:pStyle w:val="Default"/>
        <w:rPr>
          <w:sz w:val="20"/>
          <w:szCs w:val="20"/>
        </w:rPr>
      </w:pPr>
    </w:p>
    <w:p w14:paraId="7963BDEC" w14:textId="027A0E22" w:rsidR="004C5113" w:rsidRDefault="004C5113" w:rsidP="008125DA">
      <w:pPr>
        <w:pStyle w:val="Default"/>
        <w:rPr>
          <w:sz w:val="20"/>
          <w:szCs w:val="20"/>
        </w:rPr>
      </w:pPr>
    </w:p>
    <w:p w14:paraId="1F7CEA85" w14:textId="163DC4B1" w:rsidR="004C5113" w:rsidRDefault="004C5113" w:rsidP="008125DA">
      <w:pPr>
        <w:pStyle w:val="Default"/>
        <w:rPr>
          <w:sz w:val="20"/>
          <w:szCs w:val="20"/>
        </w:rPr>
      </w:pPr>
    </w:p>
    <w:p w14:paraId="5AAF72A5" w14:textId="005A10CC" w:rsidR="004C5113" w:rsidRPr="004C5113" w:rsidRDefault="004C5113" w:rsidP="004C5113">
      <w:pPr>
        <w:pStyle w:val="Default"/>
        <w:jc w:val="center"/>
        <w:rPr>
          <w:rFonts w:ascii="Times New Roman" w:hAnsi="Times New Roman" w:cs="Times New Roman"/>
          <w:b/>
          <w:bCs/>
        </w:rPr>
      </w:pPr>
      <w:r w:rsidRPr="004C5113">
        <w:rPr>
          <w:rFonts w:ascii="Times New Roman" w:hAnsi="Times New Roman" w:cs="Times New Roman"/>
          <w:b/>
          <w:bCs/>
        </w:rPr>
        <w:lastRenderedPageBreak/>
        <w:t>References</w:t>
      </w:r>
    </w:p>
    <w:p w14:paraId="5322FD24" w14:textId="77777777" w:rsidR="008125DA" w:rsidRDefault="008125DA" w:rsidP="008125DA">
      <w:pPr>
        <w:pStyle w:val="Default"/>
        <w:rPr>
          <w:sz w:val="20"/>
          <w:szCs w:val="20"/>
        </w:rPr>
      </w:pPr>
    </w:p>
    <w:p w14:paraId="6427A87B" w14:textId="2874756E" w:rsidR="007A6393" w:rsidRDefault="007A6393" w:rsidP="007B17FD"/>
    <w:p w14:paraId="1B123528" w14:textId="77777777" w:rsidR="004C5113" w:rsidRDefault="00D3397E" w:rsidP="004C5113">
      <w:pPr>
        <w:spacing w:line="480" w:lineRule="auto"/>
      </w:pPr>
      <w:r>
        <w:t>Allan</w:t>
      </w:r>
      <w:r w:rsidR="004133D3">
        <w:t>, M</w:t>
      </w:r>
      <w:r>
        <w:t xml:space="preserve">. (2003). Frontier Crossings: Cultural Dissonance, Intercultural Learning and the </w:t>
      </w:r>
    </w:p>
    <w:p w14:paraId="1A1F3BAB" w14:textId="2584F691" w:rsidR="007C034C" w:rsidRDefault="00D3397E" w:rsidP="004C5113">
      <w:pPr>
        <w:spacing w:line="480" w:lineRule="auto"/>
        <w:ind w:left="720"/>
      </w:pPr>
      <w:r>
        <w:t xml:space="preserve">Multicultural Personality. </w:t>
      </w:r>
      <w:r>
        <w:rPr>
          <w:i/>
          <w:iCs/>
        </w:rPr>
        <w:t>Journal of Research in International Education</w:t>
      </w:r>
      <w:r>
        <w:t xml:space="preserve">, </w:t>
      </w:r>
      <w:r>
        <w:rPr>
          <w:i/>
          <w:iCs/>
        </w:rPr>
        <w:t>2</w:t>
      </w:r>
      <w:r>
        <w:t xml:space="preserve">(1), 83–110. </w:t>
      </w:r>
      <w:hyperlink r:id="rId7" w:history="1">
        <w:r w:rsidR="004C5113" w:rsidRPr="00A641FB">
          <w:rPr>
            <w:rStyle w:val="Hyperlink"/>
          </w:rPr>
          <w:t>https://doi.org/10.1177/1475240903021005</w:t>
        </w:r>
      </w:hyperlink>
    </w:p>
    <w:p w14:paraId="56C590A1" w14:textId="4A6770BA" w:rsidR="00FE2F19" w:rsidRPr="00FE2F19" w:rsidRDefault="00FE2F19" w:rsidP="004C5113">
      <w:pPr>
        <w:autoSpaceDE w:val="0"/>
        <w:autoSpaceDN w:val="0"/>
        <w:adjustRightInd w:val="0"/>
        <w:spacing w:line="480" w:lineRule="auto"/>
        <w:rPr>
          <w:rFonts w:eastAsiaTheme="minorHAnsi"/>
        </w:rPr>
      </w:pPr>
      <w:r w:rsidRPr="00FE2F19">
        <w:t>Baumgartner, L. (</w:t>
      </w:r>
      <w:r>
        <w:t>2012</w:t>
      </w:r>
      <w:r w:rsidRPr="00FE2F19">
        <w:t xml:space="preserve">).  </w:t>
      </w:r>
      <w:r w:rsidRPr="00FE2F19">
        <w:rPr>
          <w:rFonts w:eastAsiaTheme="minorHAnsi"/>
        </w:rPr>
        <w:t>Mezirow’s Theory of Transformative Learning from 1975</w:t>
      </w:r>
    </w:p>
    <w:p w14:paraId="069EFAE6" w14:textId="1A431BCF" w:rsidR="00FE2F19" w:rsidRPr="004C5113" w:rsidRDefault="00FE2F19" w:rsidP="004C5113">
      <w:pPr>
        <w:autoSpaceDE w:val="0"/>
        <w:autoSpaceDN w:val="0"/>
        <w:adjustRightInd w:val="0"/>
        <w:spacing w:line="480" w:lineRule="auto"/>
        <w:ind w:left="720"/>
        <w:rPr>
          <w:rFonts w:eastAsiaTheme="minorHAnsi"/>
        </w:rPr>
      </w:pPr>
      <w:r w:rsidRPr="00FE2F19">
        <w:rPr>
          <w:rFonts w:eastAsiaTheme="minorHAnsi"/>
        </w:rPr>
        <w:t xml:space="preserve">to Present.  </w:t>
      </w:r>
      <w:r w:rsidR="004133D3">
        <w:rPr>
          <w:rFonts w:eastAsiaTheme="minorHAnsi"/>
        </w:rPr>
        <w:t xml:space="preserve">E. </w:t>
      </w:r>
      <w:r w:rsidRPr="00FE2F19">
        <w:rPr>
          <w:rFonts w:eastAsiaTheme="minorHAnsi"/>
        </w:rPr>
        <w:t>Taylor</w:t>
      </w:r>
      <w:r w:rsidR="004133D3">
        <w:rPr>
          <w:rFonts w:eastAsiaTheme="minorHAnsi"/>
        </w:rPr>
        <w:t xml:space="preserve"> </w:t>
      </w:r>
      <w:r>
        <w:rPr>
          <w:rFonts w:eastAsiaTheme="minorHAnsi"/>
        </w:rPr>
        <w:t xml:space="preserve">and </w:t>
      </w:r>
      <w:r w:rsidR="004133D3">
        <w:rPr>
          <w:rFonts w:eastAsiaTheme="minorHAnsi"/>
        </w:rPr>
        <w:t xml:space="preserve">P. </w:t>
      </w:r>
      <w:r>
        <w:rPr>
          <w:rFonts w:eastAsiaTheme="minorHAnsi"/>
        </w:rPr>
        <w:t>Cranton</w:t>
      </w:r>
      <w:r w:rsidR="004133D3">
        <w:rPr>
          <w:rFonts w:eastAsiaTheme="minorHAnsi"/>
        </w:rPr>
        <w:t xml:space="preserve"> (</w:t>
      </w:r>
      <w:r>
        <w:rPr>
          <w:rFonts w:eastAsiaTheme="minorHAnsi"/>
        </w:rPr>
        <w:t>Eds</w:t>
      </w:r>
      <w:r w:rsidR="004133D3">
        <w:rPr>
          <w:rFonts w:eastAsiaTheme="minorHAnsi"/>
        </w:rPr>
        <w:t>)</w:t>
      </w:r>
      <w:r>
        <w:rPr>
          <w:rFonts w:eastAsiaTheme="minorHAnsi"/>
        </w:rPr>
        <w:t xml:space="preserve">. </w:t>
      </w:r>
      <w:r w:rsidRPr="004133D3">
        <w:rPr>
          <w:rFonts w:eastAsiaTheme="minorHAnsi"/>
          <w:i/>
          <w:iCs/>
        </w:rPr>
        <w:t>The Handbook of Transformative Learning: Theory, Research, and Practice</w:t>
      </w:r>
      <w:r w:rsidR="004133D3">
        <w:rPr>
          <w:rFonts w:eastAsiaTheme="minorHAnsi"/>
          <w:i/>
          <w:iCs/>
        </w:rPr>
        <w:t>.</w:t>
      </w:r>
      <w:r w:rsidRPr="00FE2F19">
        <w:rPr>
          <w:rFonts w:eastAsiaTheme="minorHAnsi"/>
        </w:rPr>
        <w:t xml:space="preserve"> </w:t>
      </w:r>
      <w:r w:rsidR="004133D3">
        <w:rPr>
          <w:rFonts w:eastAsiaTheme="minorHAnsi"/>
        </w:rPr>
        <w:t xml:space="preserve">San Francisco: </w:t>
      </w:r>
      <w:r w:rsidRPr="00FE2F19">
        <w:rPr>
          <w:rFonts w:eastAsiaTheme="minorHAnsi"/>
        </w:rPr>
        <w:t>Jo</w:t>
      </w:r>
      <w:r w:rsidR="004C5113">
        <w:rPr>
          <w:rFonts w:eastAsiaTheme="minorHAnsi"/>
        </w:rPr>
        <w:t>ssey-Bass.</w:t>
      </w:r>
    </w:p>
    <w:p w14:paraId="119264C0" w14:textId="2D9D4CFB" w:rsidR="007C034C" w:rsidRPr="005A2583" w:rsidRDefault="007C034C" w:rsidP="004C5113">
      <w:pPr>
        <w:spacing w:line="480" w:lineRule="auto"/>
      </w:pPr>
      <w:r w:rsidRPr="005A2583">
        <w:t xml:space="preserve">Bennett, M. J. (1993). Towards </w:t>
      </w:r>
      <w:proofErr w:type="spellStart"/>
      <w:r w:rsidRPr="005A2583">
        <w:t>ethnorelativism</w:t>
      </w:r>
      <w:proofErr w:type="spellEnd"/>
      <w:r w:rsidRPr="005A2583">
        <w:t xml:space="preserve">: A developmental model of intercultural </w:t>
      </w:r>
    </w:p>
    <w:p w14:paraId="382FE5F4" w14:textId="77777777" w:rsidR="007C034C" w:rsidRPr="005A2583" w:rsidRDefault="007C034C" w:rsidP="004C5113">
      <w:pPr>
        <w:spacing w:line="480" w:lineRule="auto"/>
        <w:ind w:left="720"/>
      </w:pPr>
      <w:r w:rsidRPr="005A2583">
        <w:t xml:space="preserve">sensitivity. R. Paige (Ed.). </w:t>
      </w:r>
      <w:r w:rsidRPr="005A2583">
        <w:rPr>
          <w:rStyle w:val="Emphasis"/>
        </w:rPr>
        <w:t xml:space="preserve">Education for the intercultural experience. </w:t>
      </w:r>
      <w:r w:rsidRPr="005A2583">
        <w:t>21–71. Yarmouth: Intercultural Press.</w:t>
      </w:r>
    </w:p>
    <w:p w14:paraId="20959111" w14:textId="77777777" w:rsidR="007C034C" w:rsidRPr="005A2583" w:rsidRDefault="007C034C" w:rsidP="007C034C">
      <w:pPr>
        <w:spacing w:line="480" w:lineRule="auto"/>
      </w:pPr>
      <w:r w:rsidRPr="005A2583">
        <w:t xml:space="preserve">Berger. (2012). </w:t>
      </w:r>
      <w:r w:rsidRPr="005A2583">
        <w:rPr>
          <w:i/>
          <w:iCs/>
        </w:rPr>
        <w:t xml:space="preserve">Changing on the </w:t>
      </w:r>
      <w:proofErr w:type="gramStart"/>
      <w:r w:rsidRPr="005A2583">
        <w:rPr>
          <w:i/>
          <w:iCs/>
        </w:rPr>
        <w:t>job :</w:t>
      </w:r>
      <w:proofErr w:type="gramEnd"/>
      <w:r w:rsidRPr="005A2583">
        <w:rPr>
          <w:i/>
          <w:iCs/>
        </w:rPr>
        <w:t xml:space="preserve"> developing leaders for a complex world</w:t>
      </w:r>
      <w:r w:rsidRPr="005A2583">
        <w:t xml:space="preserve">. Stanford </w:t>
      </w:r>
    </w:p>
    <w:p w14:paraId="24EB0155" w14:textId="77777777" w:rsidR="007C034C" w:rsidRDefault="007C034C" w:rsidP="007C034C">
      <w:pPr>
        <w:spacing w:line="480" w:lineRule="auto"/>
        <w:ind w:firstLine="720"/>
      </w:pPr>
      <w:r w:rsidRPr="005A2583">
        <w:t>Business Books, an imprint of Stanford University Press.</w:t>
      </w:r>
    </w:p>
    <w:p w14:paraId="14DB36E7" w14:textId="77777777" w:rsidR="00162B0C" w:rsidRPr="006F22BF" w:rsidRDefault="00162B0C" w:rsidP="004C5113">
      <w:pPr>
        <w:spacing w:line="480" w:lineRule="auto"/>
      </w:pPr>
      <w:r w:rsidRPr="006F22BF">
        <w:t xml:space="preserve">Brendel, N., </w:t>
      </w:r>
      <w:proofErr w:type="spellStart"/>
      <w:r w:rsidRPr="006F22BF">
        <w:t>Aksit</w:t>
      </w:r>
      <w:proofErr w:type="spellEnd"/>
      <w:r w:rsidRPr="006F22BF">
        <w:t xml:space="preserve">, F., </w:t>
      </w:r>
      <w:proofErr w:type="spellStart"/>
      <w:r w:rsidRPr="006F22BF">
        <w:t>Aksit</w:t>
      </w:r>
      <w:proofErr w:type="spellEnd"/>
      <w:r w:rsidRPr="006F22BF">
        <w:t xml:space="preserve">, S. &amp; </w:t>
      </w:r>
      <w:proofErr w:type="spellStart"/>
      <w:r w:rsidRPr="006F22BF">
        <w:t>Schrufer</w:t>
      </w:r>
      <w:proofErr w:type="spellEnd"/>
      <w:r w:rsidRPr="006F22BF">
        <w:t xml:space="preserve">, G. (2016). Multicultural group work on field </w:t>
      </w:r>
    </w:p>
    <w:p w14:paraId="40BC5A26" w14:textId="1870207C" w:rsidR="00162B0C" w:rsidRDefault="00162B0C" w:rsidP="004C5113">
      <w:pPr>
        <w:spacing w:line="480" w:lineRule="auto"/>
        <w:ind w:left="720"/>
      </w:pPr>
      <w:r w:rsidRPr="006F22BF">
        <w:t>excursions to promote student teachers’ intercultural competence. J</w:t>
      </w:r>
      <w:r w:rsidRPr="006F22BF">
        <w:rPr>
          <w:i/>
          <w:iCs/>
        </w:rPr>
        <w:t>ournal of Geography in Higher Education</w:t>
      </w:r>
      <w:r w:rsidRPr="006F22BF">
        <w:t>. 40(2). 284-301. DOI: 10.1080/03098265.2016.1140731.</w:t>
      </w:r>
    </w:p>
    <w:p w14:paraId="669EF0A5" w14:textId="6E1BEF68" w:rsidR="007C034C" w:rsidRPr="005A2583" w:rsidRDefault="007C034C" w:rsidP="007C034C">
      <w:pPr>
        <w:spacing w:line="480" w:lineRule="auto"/>
      </w:pPr>
      <w:r w:rsidRPr="005A2583">
        <w:t xml:space="preserve">Byram, M. (1997). </w:t>
      </w:r>
      <w:r w:rsidRPr="005A2583">
        <w:rPr>
          <w:i/>
          <w:iCs/>
        </w:rPr>
        <w:t>Teaching and assessing intercultural communicative competence.</w:t>
      </w:r>
      <w:r w:rsidRPr="005A2583">
        <w:t xml:space="preserve"> Clevedon: </w:t>
      </w:r>
    </w:p>
    <w:p w14:paraId="7A82D0D1" w14:textId="77777777" w:rsidR="007C034C" w:rsidRPr="005A2583" w:rsidRDefault="007C034C" w:rsidP="007C034C">
      <w:pPr>
        <w:spacing w:line="480" w:lineRule="auto"/>
        <w:ind w:firstLine="720"/>
      </w:pPr>
      <w:r w:rsidRPr="005A2583">
        <w:t xml:space="preserve">Multilingual Matters. </w:t>
      </w:r>
    </w:p>
    <w:p w14:paraId="5C002DDD" w14:textId="77777777" w:rsidR="007C034C" w:rsidRPr="005A2583" w:rsidRDefault="007C034C" w:rsidP="007C034C">
      <w:pPr>
        <w:spacing w:line="480" w:lineRule="auto"/>
      </w:pPr>
      <w:r w:rsidRPr="005A2583">
        <w:t xml:space="preserve">Che, S.M., Spearman, M. &amp; </w:t>
      </w:r>
      <w:proofErr w:type="spellStart"/>
      <w:r w:rsidRPr="005A2583">
        <w:t>Manizade</w:t>
      </w:r>
      <w:proofErr w:type="spellEnd"/>
      <w:r w:rsidRPr="005A2583">
        <w:t xml:space="preserve">, A. (2009). Cognitive and emotional development through </w:t>
      </w:r>
    </w:p>
    <w:p w14:paraId="02B36DD7" w14:textId="77777777" w:rsidR="004C5113" w:rsidRDefault="007C034C" w:rsidP="004C5113">
      <w:pPr>
        <w:spacing w:line="480" w:lineRule="auto"/>
        <w:ind w:left="720"/>
      </w:pPr>
      <w:r w:rsidRPr="005A2583">
        <w:t xml:space="preserve">dissonant experiences in less familiar destinations. </w:t>
      </w:r>
      <w:r w:rsidRPr="005A2583">
        <w:rPr>
          <w:i/>
          <w:iCs/>
        </w:rPr>
        <w:t xml:space="preserve">The Handbook of Practice and Research in Study Abroad. </w:t>
      </w:r>
      <w:r w:rsidRPr="005A2583">
        <w:t>Ross Lewin, Ed. Routledge. 151-169.</w:t>
      </w:r>
    </w:p>
    <w:p w14:paraId="4274964F" w14:textId="71A9306B" w:rsidR="007C034C" w:rsidRPr="004C5113" w:rsidRDefault="007C034C" w:rsidP="004C5113">
      <w:pPr>
        <w:spacing w:line="480" w:lineRule="auto"/>
      </w:pPr>
      <w:r w:rsidRPr="005A2583">
        <w:t xml:space="preserve">Cushner, K. (2009). The role of study abroad in preparing globally responsible teachers. </w:t>
      </w:r>
      <w:r w:rsidRPr="005A2583">
        <w:rPr>
          <w:i/>
          <w:iCs/>
        </w:rPr>
        <w:t xml:space="preserve">The </w:t>
      </w:r>
    </w:p>
    <w:p w14:paraId="0DB7270C" w14:textId="77777777" w:rsidR="007C034C" w:rsidRDefault="007C034C" w:rsidP="007C034C">
      <w:pPr>
        <w:pStyle w:val="font8"/>
        <w:spacing w:line="480" w:lineRule="auto"/>
        <w:ind w:left="720"/>
        <w:contextualSpacing/>
      </w:pPr>
      <w:r w:rsidRPr="005A2583">
        <w:rPr>
          <w:i/>
          <w:iCs/>
        </w:rPr>
        <w:t>Handbook of Practice and Research in Study Abroad</w:t>
      </w:r>
      <w:r w:rsidRPr="005A2583">
        <w:t>. Ross Lewin, Ed. Routledge. 151-169.</w:t>
      </w:r>
    </w:p>
    <w:p w14:paraId="4661C2BD" w14:textId="77777777" w:rsidR="007C034C" w:rsidRDefault="007C034C" w:rsidP="007C034C">
      <w:pPr>
        <w:pStyle w:val="font8"/>
        <w:spacing w:line="480" w:lineRule="auto"/>
        <w:contextualSpacing/>
        <w:rPr>
          <w:color w:val="000000" w:themeColor="text1"/>
        </w:rPr>
      </w:pPr>
      <w:r w:rsidRPr="005A2583">
        <w:rPr>
          <w:color w:val="000000" w:themeColor="text1"/>
        </w:rPr>
        <w:lastRenderedPageBreak/>
        <w:t xml:space="preserve">Cushner. (2011). Intercultural Research in Teacher Education: An Essential Intersection in the </w:t>
      </w:r>
    </w:p>
    <w:p w14:paraId="2F789C29" w14:textId="77777777" w:rsidR="007C034C" w:rsidRPr="000C25FA" w:rsidRDefault="007C034C" w:rsidP="007C034C">
      <w:pPr>
        <w:pStyle w:val="font8"/>
        <w:spacing w:line="480" w:lineRule="auto"/>
        <w:ind w:left="720"/>
        <w:contextualSpacing/>
      </w:pPr>
      <w:r w:rsidRPr="005A2583">
        <w:rPr>
          <w:color w:val="000000" w:themeColor="text1"/>
        </w:rPr>
        <w:t xml:space="preserve">Preparation of Globally Competent Teachers. </w:t>
      </w:r>
      <w:r w:rsidRPr="005A2583">
        <w:rPr>
          <w:i/>
          <w:iCs/>
          <w:color w:val="000000" w:themeColor="text1"/>
        </w:rPr>
        <w:t>Action in Teacher Education</w:t>
      </w:r>
      <w:r w:rsidRPr="005A2583">
        <w:rPr>
          <w:color w:val="000000" w:themeColor="text1"/>
        </w:rPr>
        <w:t>. 33(5-6), 601–614. https://doi.org/10.1080/01626620.2011.627306</w:t>
      </w:r>
    </w:p>
    <w:p w14:paraId="410BA005" w14:textId="77777777" w:rsidR="007C034C" w:rsidRPr="005A2583" w:rsidRDefault="007C034C" w:rsidP="007C034C">
      <w:pPr>
        <w:pStyle w:val="font8"/>
        <w:spacing w:line="480" w:lineRule="auto"/>
        <w:contextualSpacing/>
      </w:pPr>
      <w:r w:rsidRPr="005A2583">
        <w:t xml:space="preserve">Cushner, K. (2012). Intercultural research in teacher education: An essential intersection in the </w:t>
      </w:r>
    </w:p>
    <w:p w14:paraId="7606B276" w14:textId="77777777" w:rsidR="007C034C" w:rsidRDefault="007C034C" w:rsidP="007C034C">
      <w:pPr>
        <w:pStyle w:val="font8"/>
        <w:spacing w:line="480" w:lineRule="auto"/>
        <w:ind w:left="720"/>
        <w:contextualSpacing/>
      </w:pPr>
      <w:r w:rsidRPr="005A2583">
        <w:t xml:space="preserve">preparation of globally competent teachers. </w:t>
      </w:r>
      <w:r w:rsidRPr="005A2583">
        <w:rPr>
          <w:i/>
          <w:iCs/>
        </w:rPr>
        <w:t>Action in Teacher Education</w:t>
      </w:r>
      <w:r w:rsidRPr="005A2583">
        <w:t xml:space="preserve">. 33(5-6). 601-614. </w:t>
      </w:r>
      <w:hyperlink r:id="rId8" w:history="1">
        <w:r w:rsidRPr="00567F74">
          <w:rPr>
            <w:rStyle w:val="Hyperlink"/>
          </w:rPr>
          <w:t>https://doi.org/10.1080/016266202011.627306</w:t>
        </w:r>
      </w:hyperlink>
    </w:p>
    <w:p w14:paraId="0E39C83C" w14:textId="77777777" w:rsidR="007C034C" w:rsidRPr="005A2583" w:rsidRDefault="007C034C" w:rsidP="007C034C">
      <w:pPr>
        <w:pStyle w:val="font8"/>
        <w:spacing w:line="480" w:lineRule="auto"/>
        <w:contextualSpacing/>
      </w:pPr>
      <w:r w:rsidRPr="005A2583">
        <w:t xml:space="preserve">Deardorff, D. (2006). Identification and assessment of intercultural competence as a student </w:t>
      </w:r>
    </w:p>
    <w:p w14:paraId="59C36915" w14:textId="77777777" w:rsidR="007C034C" w:rsidRDefault="007C034C" w:rsidP="007C034C">
      <w:pPr>
        <w:pStyle w:val="font8"/>
        <w:spacing w:line="480" w:lineRule="auto"/>
        <w:ind w:left="720"/>
        <w:contextualSpacing/>
        <w:rPr>
          <w:rStyle w:val="Hyperlink"/>
        </w:rPr>
      </w:pPr>
      <w:r w:rsidRPr="005A2583">
        <w:t xml:space="preserve">outcome of internationalization.  </w:t>
      </w:r>
      <w:r w:rsidRPr="005A2583">
        <w:rPr>
          <w:i/>
          <w:iCs/>
        </w:rPr>
        <w:t>Association for Studies in International Education.</w:t>
      </w:r>
      <w:r w:rsidRPr="005A2583">
        <w:t xml:space="preserve"> 10(3). 241-266. </w:t>
      </w:r>
      <w:hyperlink r:id="rId9" w:history="1">
        <w:r w:rsidRPr="005A2583">
          <w:rPr>
            <w:rStyle w:val="Hyperlink"/>
          </w:rPr>
          <w:t>https://doi.org/10.1177/1028315306287002</w:t>
        </w:r>
      </w:hyperlink>
    </w:p>
    <w:p w14:paraId="4954C4C0" w14:textId="77777777" w:rsidR="007C034C" w:rsidRDefault="007C034C" w:rsidP="007C034C">
      <w:pPr>
        <w:pStyle w:val="font8"/>
        <w:spacing w:line="480" w:lineRule="auto"/>
        <w:contextualSpacing/>
      </w:pPr>
      <w:proofErr w:type="spellStart"/>
      <w:r w:rsidRPr="005A2583">
        <w:t>DeJaeghere</w:t>
      </w:r>
      <w:proofErr w:type="spellEnd"/>
      <w:r w:rsidRPr="005A2583">
        <w:t xml:space="preserve">, J. &amp; Cao, Y. (2009). Developing U.S. teachers’ intercultural competence: Does </w:t>
      </w:r>
    </w:p>
    <w:p w14:paraId="540CDDB4" w14:textId="77777777" w:rsidR="007C034C" w:rsidRDefault="007C034C" w:rsidP="007C034C">
      <w:pPr>
        <w:pStyle w:val="font8"/>
        <w:spacing w:line="480" w:lineRule="auto"/>
        <w:ind w:left="720"/>
        <w:contextualSpacing/>
        <w:rPr>
          <w:rStyle w:val="Hyperlink"/>
        </w:rPr>
      </w:pPr>
      <w:r w:rsidRPr="005A2583">
        <w:t xml:space="preserve">professional development matter? </w:t>
      </w:r>
      <w:r w:rsidRPr="005A2583">
        <w:rPr>
          <w:i/>
          <w:iCs/>
        </w:rPr>
        <w:t>International Journal of Intercultural Relations</w:t>
      </w:r>
      <w:r w:rsidRPr="005A2583">
        <w:t xml:space="preserve">. 33, 437–447.  </w:t>
      </w:r>
      <w:hyperlink r:id="rId10" w:history="1">
        <w:r w:rsidRPr="005A2583">
          <w:rPr>
            <w:rStyle w:val="Hyperlink"/>
          </w:rPr>
          <w:t>https://doi.org/10.1016/j.ijintrel.2009.06.004</w:t>
        </w:r>
      </w:hyperlink>
    </w:p>
    <w:p w14:paraId="366EA0EC" w14:textId="77777777" w:rsidR="007C034C" w:rsidRPr="00280A63" w:rsidRDefault="007C034C" w:rsidP="007C034C">
      <w:pPr>
        <w:spacing w:line="480" w:lineRule="auto"/>
      </w:pPr>
      <w:r w:rsidRPr="00280A63">
        <w:t xml:space="preserve">Dunn, Dotson, E. K., Cross, S. B., Kesner, J., &amp; Lundahl, B. (2014). Reconsidering the Local </w:t>
      </w:r>
    </w:p>
    <w:p w14:paraId="4D2060CA" w14:textId="77777777" w:rsidR="007C034C" w:rsidRPr="00280A63" w:rsidRDefault="007C034C" w:rsidP="007C034C">
      <w:pPr>
        <w:spacing w:line="480" w:lineRule="auto"/>
        <w:ind w:left="720"/>
      </w:pPr>
      <w:r w:rsidRPr="00280A63">
        <w:t xml:space="preserve">After a Transformative Global Experience: A Comparison of Two Study Abroad Programs for Preservice Teachers. </w:t>
      </w:r>
      <w:r w:rsidRPr="00280A63">
        <w:rPr>
          <w:i/>
          <w:iCs/>
        </w:rPr>
        <w:t>Action in Teacher Education</w:t>
      </w:r>
      <w:r w:rsidRPr="00280A63">
        <w:t xml:space="preserve">. 36(4), 283–304. </w:t>
      </w:r>
      <w:hyperlink r:id="rId11" w:history="1">
        <w:r w:rsidRPr="00280A63">
          <w:rPr>
            <w:rStyle w:val="Hyperlink"/>
          </w:rPr>
          <w:t>https://doi.org/10.1080/01626620.2014.948227</w:t>
        </w:r>
      </w:hyperlink>
    </w:p>
    <w:p w14:paraId="0D568375" w14:textId="77777777" w:rsidR="00162B0C" w:rsidRDefault="00162B0C" w:rsidP="004C5113">
      <w:pPr>
        <w:pStyle w:val="font8"/>
        <w:spacing w:line="480" w:lineRule="auto"/>
        <w:contextualSpacing/>
      </w:pPr>
      <w:r>
        <w:t xml:space="preserve">Grant, A., Green, L., &amp; </w:t>
      </w:r>
      <w:proofErr w:type="spellStart"/>
      <w:r>
        <w:t>Rynsaardt</w:t>
      </w:r>
      <w:proofErr w:type="spellEnd"/>
      <w:r>
        <w:t xml:space="preserve">, J. (2010). Developmental coaching for high school teachers: </w:t>
      </w:r>
    </w:p>
    <w:p w14:paraId="4AFDE7F6" w14:textId="77777777" w:rsidR="00162B0C" w:rsidRDefault="00162B0C" w:rsidP="004C5113">
      <w:pPr>
        <w:pStyle w:val="font8"/>
        <w:spacing w:line="480" w:lineRule="auto"/>
        <w:ind w:left="720"/>
        <w:contextualSpacing/>
      </w:pPr>
      <w:r>
        <w:t xml:space="preserve">Executive coaching goes to school. </w:t>
      </w:r>
      <w:r w:rsidRPr="0003178C">
        <w:rPr>
          <w:i/>
          <w:iCs/>
        </w:rPr>
        <w:t>Consulting Psychology Journal: Practice and Research</w:t>
      </w:r>
      <w:r>
        <w:t>. 62(3). 151-168.  https://doi.org/10.1037/a0019212</w:t>
      </w:r>
    </w:p>
    <w:p w14:paraId="51DEAD30" w14:textId="77777777" w:rsidR="00162B0C" w:rsidRPr="006F22BF" w:rsidRDefault="00162B0C" w:rsidP="004C5113">
      <w:pPr>
        <w:pStyle w:val="font8"/>
        <w:spacing w:line="480" w:lineRule="auto"/>
        <w:contextualSpacing/>
      </w:pPr>
      <w:r w:rsidRPr="006F22BF">
        <w:t xml:space="preserve">Hammer, M.R., Bennett, M.J, &amp; Wiseman, R. (2003). Measuring intercultural sensitivity: The </w:t>
      </w:r>
    </w:p>
    <w:p w14:paraId="0425DC48" w14:textId="77777777" w:rsidR="004C5113" w:rsidRDefault="00162B0C" w:rsidP="004C5113">
      <w:pPr>
        <w:pStyle w:val="font8"/>
        <w:spacing w:line="480" w:lineRule="auto"/>
        <w:ind w:left="720"/>
        <w:contextualSpacing/>
      </w:pPr>
      <w:r w:rsidRPr="006F22BF">
        <w:t xml:space="preserve">intercultural development inventory. </w:t>
      </w:r>
      <w:r w:rsidRPr="006F22BF">
        <w:rPr>
          <w:i/>
          <w:iCs/>
        </w:rPr>
        <w:t>International Journal of Intercultural Relations</w:t>
      </w:r>
      <w:r w:rsidRPr="006F22BF">
        <w:t>. 27. 421-443.  DOI: 10.1016/S0147-1767(03)00032-4</w:t>
      </w:r>
    </w:p>
    <w:p w14:paraId="58551142" w14:textId="77777777" w:rsidR="004C5113" w:rsidRDefault="007C034C" w:rsidP="004C5113">
      <w:pPr>
        <w:pStyle w:val="font8"/>
        <w:spacing w:line="480" w:lineRule="auto"/>
        <w:contextualSpacing/>
      </w:pPr>
      <w:r w:rsidRPr="005A2583">
        <w:lastRenderedPageBreak/>
        <w:t xml:space="preserve">Kegan. (1994). </w:t>
      </w:r>
      <w:r w:rsidRPr="005A2583">
        <w:rPr>
          <w:i/>
          <w:iCs/>
        </w:rPr>
        <w:t xml:space="preserve">In over our </w:t>
      </w:r>
      <w:proofErr w:type="gramStart"/>
      <w:r w:rsidRPr="005A2583">
        <w:rPr>
          <w:i/>
          <w:iCs/>
        </w:rPr>
        <w:t>heads :</w:t>
      </w:r>
      <w:proofErr w:type="gramEnd"/>
      <w:r w:rsidRPr="005A2583">
        <w:rPr>
          <w:i/>
          <w:iCs/>
        </w:rPr>
        <w:t xml:space="preserve"> the mental demands of modern life</w:t>
      </w:r>
      <w:r w:rsidRPr="005A2583">
        <w:t>. Harvard University Press.</w:t>
      </w:r>
    </w:p>
    <w:p w14:paraId="7C7D6FD7" w14:textId="77777777" w:rsidR="004C5113" w:rsidRDefault="004C5113" w:rsidP="004C5113">
      <w:pPr>
        <w:pStyle w:val="font8"/>
        <w:spacing w:line="480" w:lineRule="auto"/>
        <w:contextualSpacing/>
      </w:pPr>
      <w:r w:rsidRPr="004C5113">
        <w:t xml:space="preserve">Major, J., Munday, J. &amp; Winslade, M. (2020). </w:t>
      </w:r>
      <w:r w:rsidR="004133D3" w:rsidRPr="004133D3">
        <w:t>Leading international teaching experiences</w:t>
      </w:r>
      <w:r>
        <w:t xml:space="preserve">. F. </w:t>
      </w:r>
    </w:p>
    <w:p w14:paraId="1D7F5D39" w14:textId="21D17B8C" w:rsidR="004C5113" w:rsidRDefault="004133D3" w:rsidP="004C5113">
      <w:pPr>
        <w:pStyle w:val="font8"/>
        <w:spacing w:line="480" w:lineRule="auto"/>
        <w:ind w:left="720"/>
        <w:contextualSpacing/>
      </w:pPr>
      <w:r>
        <w:t xml:space="preserve">Dervin, </w:t>
      </w:r>
      <w:r w:rsidR="004C5113">
        <w:t xml:space="preserve">R. </w:t>
      </w:r>
      <w:r>
        <w:t xml:space="preserve">Moloney, R., &amp; </w:t>
      </w:r>
      <w:r w:rsidR="004C5113">
        <w:t xml:space="preserve">A. </w:t>
      </w:r>
      <w:r>
        <w:t>Simpson, A. (</w:t>
      </w:r>
      <w:r w:rsidR="004C5113">
        <w:t>Eds</w:t>
      </w:r>
      <w:r>
        <w:t xml:space="preserve">). </w:t>
      </w:r>
      <w:r>
        <w:rPr>
          <w:i/>
          <w:iCs/>
        </w:rPr>
        <w:t>Intercultural Competence in the Work of Teachers: Confronting Ideologies and Practices</w:t>
      </w:r>
      <w:r>
        <w:t xml:space="preserve">. Taylor and Francis. </w:t>
      </w:r>
      <w:hyperlink r:id="rId12" w:history="1">
        <w:r w:rsidR="004C5113" w:rsidRPr="00A641FB">
          <w:rPr>
            <w:rStyle w:val="Hyperlink"/>
          </w:rPr>
          <w:t>https://doi.org/10.4324/9780429401022</w:t>
        </w:r>
      </w:hyperlink>
    </w:p>
    <w:p w14:paraId="59457E77" w14:textId="77777777" w:rsidR="004C5113" w:rsidRDefault="00140F8E" w:rsidP="004C5113">
      <w:pPr>
        <w:pStyle w:val="font8"/>
        <w:spacing w:line="480" w:lineRule="auto"/>
        <w:contextualSpacing/>
      </w:pPr>
      <w:r>
        <w:t xml:space="preserve">Mezirow. (2000). </w:t>
      </w:r>
      <w:r>
        <w:rPr>
          <w:i/>
          <w:iCs/>
        </w:rPr>
        <w:t xml:space="preserve">Learning as </w:t>
      </w:r>
      <w:proofErr w:type="gramStart"/>
      <w:r>
        <w:rPr>
          <w:i/>
          <w:iCs/>
        </w:rPr>
        <w:t>transformation :</w:t>
      </w:r>
      <w:proofErr w:type="gramEnd"/>
      <w:r>
        <w:rPr>
          <w:i/>
          <w:iCs/>
        </w:rPr>
        <w:t xml:space="preserve"> critical perspectives on a theory in progress</w:t>
      </w:r>
      <w:r>
        <w:t xml:space="preserve"> (1st </w:t>
      </w:r>
    </w:p>
    <w:p w14:paraId="76F6E644" w14:textId="73387DF8" w:rsidR="004C5113" w:rsidRDefault="00140F8E" w:rsidP="004C5113">
      <w:pPr>
        <w:pStyle w:val="font8"/>
        <w:spacing w:line="480" w:lineRule="auto"/>
        <w:ind w:firstLine="720"/>
        <w:contextualSpacing/>
      </w:pPr>
      <w:r>
        <w:t>ed.). Jossey-Bass.</w:t>
      </w:r>
    </w:p>
    <w:p w14:paraId="6C7431CF" w14:textId="77777777" w:rsidR="004C5113" w:rsidRDefault="001C2D29" w:rsidP="004C5113">
      <w:pPr>
        <w:pStyle w:val="font8"/>
        <w:spacing w:line="480" w:lineRule="auto"/>
        <w:contextualSpacing/>
      </w:pPr>
      <w:r>
        <w:t xml:space="preserve">Mitchell, &amp; Paras, A. (2018). When Difference Creates Dissonance: Understanding the “Engine” </w:t>
      </w:r>
    </w:p>
    <w:p w14:paraId="09E7B742" w14:textId="5A11804F" w:rsidR="004C5113" w:rsidRDefault="001C2D29" w:rsidP="004C5113">
      <w:pPr>
        <w:pStyle w:val="font8"/>
        <w:spacing w:line="480" w:lineRule="auto"/>
        <w:ind w:left="720"/>
        <w:contextualSpacing/>
      </w:pPr>
      <w:r>
        <w:t xml:space="preserve">of Intercultural Learning in Study Abroad. </w:t>
      </w:r>
      <w:r>
        <w:rPr>
          <w:i/>
          <w:iCs/>
        </w:rPr>
        <w:t>Intercultural Education (London, England)</w:t>
      </w:r>
      <w:r>
        <w:t xml:space="preserve">, </w:t>
      </w:r>
      <w:r>
        <w:rPr>
          <w:i/>
          <w:iCs/>
        </w:rPr>
        <w:t>29</w:t>
      </w:r>
      <w:r>
        <w:t xml:space="preserve">(3), 321–339. </w:t>
      </w:r>
      <w:hyperlink r:id="rId13" w:history="1">
        <w:r w:rsidR="004C5113" w:rsidRPr="00A641FB">
          <w:rPr>
            <w:rStyle w:val="Hyperlink"/>
          </w:rPr>
          <w:t>https://doi.org/10.1080/14675986.2018.1436361</w:t>
        </w:r>
      </w:hyperlink>
    </w:p>
    <w:p w14:paraId="3A7AE0D6" w14:textId="2C566830" w:rsidR="007C034C" w:rsidRDefault="007C034C" w:rsidP="007C034C">
      <w:pPr>
        <w:pStyle w:val="font8"/>
        <w:spacing w:line="480" w:lineRule="auto"/>
        <w:contextualSpacing/>
      </w:pPr>
      <w:r w:rsidRPr="00162B16">
        <w:t xml:space="preserve">Paras, </w:t>
      </w:r>
      <w:r>
        <w:t xml:space="preserve">A., </w:t>
      </w:r>
      <w:r w:rsidRPr="00162B16">
        <w:t xml:space="preserve">Carignan, M., Brenner, A., Hardy, J., Malmgren, J., &amp; Rathburn, M. (2019). </w:t>
      </w:r>
    </w:p>
    <w:p w14:paraId="1710430B" w14:textId="77777777" w:rsidR="007C034C" w:rsidRDefault="007C034C" w:rsidP="007C034C">
      <w:pPr>
        <w:pStyle w:val="font8"/>
        <w:spacing w:line="480" w:lineRule="auto"/>
        <w:ind w:left="720"/>
        <w:contextualSpacing/>
      </w:pPr>
      <w:r w:rsidRPr="00162B16">
        <w:t xml:space="preserve">Understanding How Program Factors Influence Intercultural Learning in Study Abroad: The Benefits of Mixed-Method Analysis. </w:t>
      </w:r>
      <w:r w:rsidRPr="00162B16">
        <w:rPr>
          <w:i/>
          <w:iCs/>
        </w:rPr>
        <w:t>Frontiers (Boston, Mass.)</w:t>
      </w:r>
      <w:r>
        <w:t>.</w:t>
      </w:r>
      <w:r w:rsidRPr="00162B16">
        <w:t xml:space="preserve"> 31(1), 22–45. </w:t>
      </w:r>
      <w:hyperlink r:id="rId14" w:history="1">
        <w:r w:rsidRPr="00567F74">
          <w:rPr>
            <w:rStyle w:val="Hyperlink"/>
          </w:rPr>
          <w:t>https://doi.org/10.36366/frontiers.v31i1.441</w:t>
        </w:r>
      </w:hyperlink>
    </w:p>
    <w:p w14:paraId="10797D0C" w14:textId="77777777" w:rsidR="00162B0C" w:rsidRPr="006F22BF" w:rsidRDefault="00162B0C" w:rsidP="004C5113">
      <w:pPr>
        <w:pStyle w:val="font8"/>
        <w:spacing w:line="480" w:lineRule="auto"/>
        <w:contextualSpacing/>
      </w:pPr>
      <w:r w:rsidRPr="006F22BF">
        <w:t xml:space="preserve">Parkhouse, H., Tichnor-Wagner, A., Cain, J.M. &amp; Glazier, J. (2016). “You don’t have to travel </w:t>
      </w:r>
    </w:p>
    <w:p w14:paraId="1FBEEAA3" w14:textId="77777777" w:rsidR="00162B0C" w:rsidRDefault="00162B0C" w:rsidP="004C5113">
      <w:pPr>
        <w:pStyle w:val="font8"/>
        <w:spacing w:line="480" w:lineRule="auto"/>
        <w:ind w:left="720"/>
        <w:contextualSpacing/>
      </w:pPr>
      <w:r w:rsidRPr="006F22BF">
        <w:t xml:space="preserve">the world”: accumulating experiences on the path toward globally competent teaching. </w:t>
      </w:r>
      <w:r w:rsidRPr="006F22BF">
        <w:rPr>
          <w:i/>
          <w:iCs/>
        </w:rPr>
        <w:t>Teaching Education</w:t>
      </w:r>
      <w:r w:rsidRPr="006F22BF">
        <w:t>. 27(3), 267-285.</w:t>
      </w:r>
    </w:p>
    <w:p w14:paraId="545E6665" w14:textId="24571200" w:rsidR="007C034C" w:rsidRDefault="007C034C" w:rsidP="007C034C">
      <w:pPr>
        <w:pStyle w:val="font8"/>
        <w:spacing w:line="480" w:lineRule="auto"/>
        <w:contextualSpacing/>
      </w:pPr>
      <w:r w:rsidRPr="005A2583">
        <w:t xml:space="preserve">Santoro, N. (2014). “If I’m going to teach about the world, I need to know the world”: </w:t>
      </w:r>
    </w:p>
    <w:p w14:paraId="448B0E47" w14:textId="77777777" w:rsidR="007C034C" w:rsidRDefault="007C034C" w:rsidP="007C034C">
      <w:pPr>
        <w:pStyle w:val="font8"/>
        <w:spacing w:line="480" w:lineRule="auto"/>
        <w:ind w:left="720"/>
        <w:contextualSpacing/>
      </w:pPr>
      <w:r w:rsidRPr="005A2583">
        <w:t xml:space="preserve">developing Australian pre-service teachers’ intercultural competence through international trips. </w:t>
      </w:r>
      <w:r w:rsidRPr="005A2583">
        <w:rPr>
          <w:i/>
        </w:rPr>
        <w:t>Race Ethnicity and Education</w:t>
      </w:r>
      <w:r w:rsidRPr="005A2583">
        <w:t xml:space="preserve">. 17(3), 429-444. </w:t>
      </w:r>
      <w:hyperlink r:id="rId15" w:history="1">
        <w:r w:rsidRPr="00567F74">
          <w:rPr>
            <w:rStyle w:val="Hyperlink"/>
          </w:rPr>
          <w:t>https://doi.org/10.1080/13613324.2013.832938</w:t>
        </w:r>
      </w:hyperlink>
    </w:p>
    <w:p w14:paraId="50454FC8" w14:textId="77777777" w:rsidR="007C034C" w:rsidRPr="005A2583" w:rsidRDefault="007C034C" w:rsidP="007C034C">
      <w:pPr>
        <w:autoSpaceDE w:val="0"/>
        <w:autoSpaceDN w:val="0"/>
        <w:adjustRightInd w:val="0"/>
        <w:spacing w:line="480" w:lineRule="auto"/>
        <w:rPr>
          <w:color w:val="000000" w:themeColor="text1"/>
        </w:rPr>
      </w:pPr>
      <w:r w:rsidRPr="005A2583">
        <w:rPr>
          <w:color w:val="000000"/>
        </w:rPr>
        <w:t>Sharma, S., Phillion, J</w:t>
      </w:r>
      <w:r w:rsidRPr="005A2583">
        <w:rPr>
          <w:color w:val="000000" w:themeColor="text1"/>
        </w:rPr>
        <w:t>., &amp; Malewski, E. (2011). Examining the practice of critical reflection for</w:t>
      </w:r>
    </w:p>
    <w:p w14:paraId="729B70DA" w14:textId="29A26724" w:rsidR="007C034C" w:rsidRPr="00B02996" w:rsidRDefault="007C034C" w:rsidP="00B02996">
      <w:pPr>
        <w:autoSpaceDE w:val="0"/>
        <w:autoSpaceDN w:val="0"/>
        <w:adjustRightInd w:val="0"/>
        <w:spacing w:line="480" w:lineRule="auto"/>
        <w:ind w:left="720"/>
        <w:rPr>
          <w:color w:val="000000" w:themeColor="text1"/>
        </w:rPr>
      </w:pPr>
      <w:r w:rsidRPr="005A2583">
        <w:rPr>
          <w:color w:val="000000" w:themeColor="text1"/>
        </w:rPr>
        <w:lastRenderedPageBreak/>
        <w:t xml:space="preserve">developing pre-service teachers’ multicultural competencies: Findings from a study abroad program in Honduras. </w:t>
      </w:r>
      <w:r w:rsidRPr="005A2583">
        <w:rPr>
          <w:i/>
          <w:iCs/>
          <w:color w:val="000000" w:themeColor="text1"/>
        </w:rPr>
        <w:t>Issues in Teacher Education</w:t>
      </w:r>
      <w:r w:rsidRPr="005A2583">
        <w:rPr>
          <w:color w:val="000000" w:themeColor="text1"/>
        </w:rPr>
        <w:t>. 20(2), 9–22. https://pdfs.semanticscholar.org/4656/fbb4ce08dedddc43226ed78e1ccdc62e114a.pdf</w:t>
      </w:r>
    </w:p>
    <w:p w14:paraId="001E5A66" w14:textId="18CFAFE4" w:rsidR="007C034C" w:rsidRPr="005A2583" w:rsidRDefault="007C034C" w:rsidP="007C034C">
      <w:pPr>
        <w:spacing w:line="480" w:lineRule="auto"/>
      </w:pPr>
      <w:proofErr w:type="spellStart"/>
      <w:r w:rsidRPr="005A2583">
        <w:t>Trilokekar</w:t>
      </w:r>
      <w:proofErr w:type="spellEnd"/>
      <w:r w:rsidRPr="005A2583">
        <w:t xml:space="preserve">, &amp; </w:t>
      </w:r>
      <w:proofErr w:type="spellStart"/>
      <w:r w:rsidRPr="005A2583">
        <w:t>Kukar</w:t>
      </w:r>
      <w:proofErr w:type="spellEnd"/>
      <w:r w:rsidRPr="005A2583">
        <w:t xml:space="preserve">, P. (2011). Disorienting experiences during study abroad: Reflections of </w:t>
      </w:r>
    </w:p>
    <w:p w14:paraId="277EB02E" w14:textId="77777777" w:rsidR="007C034C" w:rsidRPr="005A2583" w:rsidRDefault="007C034C" w:rsidP="007C034C">
      <w:pPr>
        <w:spacing w:line="480" w:lineRule="auto"/>
        <w:ind w:left="720"/>
      </w:pPr>
      <w:r w:rsidRPr="005A2583">
        <w:t xml:space="preserve">pre-service teacher candidates. </w:t>
      </w:r>
      <w:r w:rsidRPr="005A2583">
        <w:rPr>
          <w:i/>
          <w:iCs/>
        </w:rPr>
        <w:t>Teaching and Teacher Education</w:t>
      </w:r>
      <w:r w:rsidRPr="005A2583">
        <w:t xml:space="preserve">, </w:t>
      </w:r>
      <w:r w:rsidRPr="005A2583">
        <w:rPr>
          <w:i/>
          <w:iCs/>
        </w:rPr>
        <w:t>27</w:t>
      </w:r>
      <w:r w:rsidRPr="005A2583">
        <w:t xml:space="preserve">(7), 1141–1150. </w:t>
      </w:r>
      <w:hyperlink r:id="rId16" w:history="1">
        <w:r w:rsidRPr="005A2583">
          <w:rPr>
            <w:rStyle w:val="Hyperlink"/>
          </w:rPr>
          <w:t>https://doi.org/10.1016/j.tate.2011.06.002</w:t>
        </w:r>
      </w:hyperlink>
    </w:p>
    <w:p w14:paraId="33A42060" w14:textId="77777777" w:rsidR="007C034C" w:rsidRDefault="007C034C" w:rsidP="007B17FD"/>
    <w:sectPr w:rsidR="007C034C" w:rsidSect="002E1BD0">
      <w:headerReference w:type="even" r:id="rId17"/>
      <w:head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7F84" w14:textId="77777777" w:rsidR="005D3F95" w:rsidRDefault="005D3F95" w:rsidP="002E1BD0">
      <w:r>
        <w:separator/>
      </w:r>
    </w:p>
  </w:endnote>
  <w:endnote w:type="continuationSeparator" w:id="0">
    <w:p w14:paraId="0614B3B1" w14:textId="77777777" w:rsidR="005D3F95" w:rsidRDefault="005D3F95" w:rsidP="002E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3545" w14:textId="57754499" w:rsidR="00913A95" w:rsidRDefault="00913A95" w:rsidP="00913A95">
    <w:pPr>
      <w:pStyle w:val="Footer"/>
      <w:jc w:val="center"/>
    </w:pPr>
  </w:p>
  <w:p w14:paraId="56065524" w14:textId="77777777" w:rsidR="00913A95" w:rsidRDefault="0091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0362" w14:textId="77777777" w:rsidR="005D3F95" w:rsidRDefault="005D3F95" w:rsidP="002E1BD0">
      <w:r>
        <w:separator/>
      </w:r>
    </w:p>
  </w:footnote>
  <w:footnote w:type="continuationSeparator" w:id="0">
    <w:p w14:paraId="2F9216B6" w14:textId="77777777" w:rsidR="005D3F95" w:rsidRDefault="005D3F95" w:rsidP="002E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8429985"/>
      <w:docPartObj>
        <w:docPartGallery w:val="Page Numbers (Top of Page)"/>
        <w:docPartUnique/>
      </w:docPartObj>
    </w:sdtPr>
    <w:sdtContent>
      <w:p w14:paraId="41D96C36" w14:textId="5728D33F" w:rsidR="002E1BD0" w:rsidRDefault="002E1BD0" w:rsidP="00A641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B35539" w14:textId="77777777" w:rsidR="002E1BD0" w:rsidRDefault="002E1BD0" w:rsidP="002E1B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9178285"/>
      <w:docPartObj>
        <w:docPartGallery w:val="Page Numbers (Top of Page)"/>
        <w:docPartUnique/>
      </w:docPartObj>
    </w:sdtPr>
    <w:sdtContent>
      <w:p w14:paraId="45E6625E" w14:textId="0E1BF21B" w:rsidR="002E1BD0" w:rsidRDefault="002E1BD0" w:rsidP="00A641F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822586" w14:textId="77777777" w:rsidR="002E1BD0" w:rsidRDefault="002E1BD0" w:rsidP="002E1B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737"/>
    <w:multiLevelType w:val="hybridMultilevel"/>
    <w:tmpl w:val="3CAE598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E4982A32">
      <w:start w:val="1"/>
      <w:numFmt w:val="lowerRoman"/>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841B6"/>
    <w:multiLevelType w:val="hybridMultilevel"/>
    <w:tmpl w:val="3CAE598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DC1295"/>
    <w:multiLevelType w:val="hybridMultilevel"/>
    <w:tmpl w:val="5002F21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right"/>
      <w:pPr>
        <w:ind w:left="2160" w:hanging="180"/>
      </w:pPr>
      <w:rPr>
        <w:rFonts w:ascii="Times New Roman" w:eastAsia="Times New Roman"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E66CB3"/>
    <w:multiLevelType w:val="hybridMultilevel"/>
    <w:tmpl w:val="70BC360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459378">
    <w:abstractNumId w:val="0"/>
  </w:num>
  <w:num w:numId="2" w16cid:durableId="541407458">
    <w:abstractNumId w:val="3"/>
  </w:num>
  <w:num w:numId="3" w16cid:durableId="854418686">
    <w:abstractNumId w:val="2"/>
  </w:num>
  <w:num w:numId="4" w16cid:durableId="286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93"/>
    <w:rsid w:val="00040090"/>
    <w:rsid w:val="000A44D7"/>
    <w:rsid w:val="000B5EA2"/>
    <w:rsid w:val="00113D6C"/>
    <w:rsid w:val="00140F8E"/>
    <w:rsid w:val="00162B0C"/>
    <w:rsid w:val="001650AF"/>
    <w:rsid w:val="0017441F"/>
    <w:rsid w:val="001825F2"/>
    <w:rsid w:val="001B19EC"/>
    <w:rsid w:val="001C2121"/>
    <w:rsid w:val="001C2D29"/>
    <w:rsid w:val="001E0F2D"/>
    <w:rsid w:val="0021092C"/>
    <w:rsid w:val="00233B45"/>
    <w:rsid w:val="0026232D"/>
    <w:rsid w:val="00266043"/>
    <w:rsid w:val="00297DFB"/>
    <w:rsid w:val="002A1932"/>
    <w:rsid w:val="002E1BD0"/>
    <w:rsid w:val="002F5876"/>
    <w:rsid w:val="003065CA"/>
    <w:rsid w:val="00321458"/>
    <w:rsid w:val="00356CC6"/>
    <w:rsid w:val="0036519D"/>
    <w:rsid w:val="003B3FBA"/>
    <w:rsid w:val="0040136F"/>
    <w:rsid w:val="004133D3"/>
    <w:rsid w:val="00436A77"/>
    <w:rsid w:val="00461842"/>
    <w:rsid w:val="004674A5"/>
    <w:rsid w:val="004C5113"/>
    <w:rsid w:val="004D1B78"/>
    <w:rsid w:val="00515C18"/>
    <w:rsid w:val="00574AF6"/>
    <w:rsid w:val="005A75F0"/>
    <w:rsid w:val="005D3F95"/>
    <w:rsid w:val="00615941"/>
    <w:rsid w:val="006219E7"/>
    <w:rsid w:val="006860DF"/>
    <w:rsid w:val="006C5DCC"/>
    <w:rsid w:val="006D5F33"/>
    <w:rsid w:val="006F0FF0"/>
    <w:rsid w:val="006F5C6C"/>
    <w:rsid w:val="00716EA1"/>
    <w:rsid w:val="00721C91"/>
    <w:rsid w:val="007A6393"/>
    <w:rsid w:val="007B17FD"/>
    <w:rsid w:val="007C034C"/>
    <w:rsid w:val="007C6F7A"/>
    <w:rsid w:val="007E45BD"/>
    <w:rsid w:val="007F09EE"/>
    <w:rsid w:val="007F2422"/>
    <w:rsid w:val="008125DA"/>
    <w:rsid w:val="00817003"/>
    <w:rsid w:val="00833643"/>
    <w:rsid w:val="008825F4"/>
    <w:rsid w:val="008B622B"/>
    <w:rsid w:val="008D18D0"/>
    <w:rsid w:val="008F7B8A"/>
    <w:rsid w:val="00913A95"/>
    <w:rsid w:val="00980DE2"/>
    <w:rsid w:val="00983C37"/>
    <w:rsid w:val="009A2933"/>
    <w:rsid w:val="009E6BAD"/>
    <w:rsid w:val="00A07F54"/>
    <w:rsid w:val="00A32680"/>
    <w:rsid w:val="00B02247"/>
    <w:rsid w:val="00B02996"/>
    <w:rsid w:val="00B07BFB"/>
    <w:rsid w:val="00B34E99"/>
    <w:rsid w:val="00BF4195"/>
    <w:rsid w:val="00C240AA"/>
    <w:rsid w:val="00C25095"/>
    <w:rsid w:val="00C3596F"/>
    <w:rsid w:val="00C773BC"/>
    <w:rsid w:val="00D04836"/>
    <w:rsid w:val="00D16C86"/>
    <w:rsid w:val="00D3397E"/>
    <w:rsid w:val="00D76ECC"/>
    <w:rsid w:val="00D827B3"/>
    <w:rsid w:val="00D900F0"/>
    <w:rsid w:val="00D9363E"/>
    <w:rsid w:val="00DA2A97"/>
    <w:rsid w:val="00F16BCF"/>
    <w:rsid w:val="00F839BA"/>
    <w:rsid w:val="00FC32FB"/>
    <w:rsid w:val="00FC5D35"/>
    <w:rsid w:val="00FE1E8C"/>
    <w:rsid w:val="00FE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8A5A"/>
  <w15:chartTrackingRefBased/>
  <w15:docId w15:val="{47A9BBA7-E37E-D944-9172-D24B655D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1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7FD"/>
    <w:pPr>
      <w:autoSpaceDE w:val="0"/>
      <w:autoSpaceDN w:val="0"/>
      <w:adjustRightInd w:val="0"/>
    </w:pPr>
    <w:rPr>
      <w:rFonts w:ascii="Quattrocento Sans" w:hAnsi="Quattrocento Sans" w:cs="Quattrocento Sans"/>
      <w:color w:val="000000"/>
    </w:rPr>
  </w:style>
  <w:style w:type="paragraph" w:styleId="ListParagraph">
    <w:name w:val="List Paragraph"/>
    <w:basedOn w:val="Normal"/>
    <w:uiPriority w:val="34"/>
    <w:qFormat/>
    <w:rsid w:val="006F5C6C"/>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833643"/>
    <w:pPr>
      <w:spacing w:before="100" w:beforeAutospacing="1" w:after="100" w:afterAutospacing="1"/>
    </w:pPr>
  </w:style>
  <w:style w:type="character" w:styleId="Hyperlink">
    <w:name w:val="Hyperlink"/>
    <w:basedOn w:val="DefaultParagraphFont"/>
    <w:uiPriority w:val="99"/>
    <w:unhideWhenUsed/>
    <w:rsid w:val="007C034C"/>
    <w:rPr>
      <w:color w:val="0563C1" w:themeColor="hyperlink"/>
      <w:u w:val="single"/>
    </w:rPr>
  </w:style>
  <w:style w:type="character" w:styleId="UnresolvedMention">
    <w:name w:val="Unresolved Mention"/>
    <w:basedOn w:val="DefaultParagraphFont"/>
    <w:uiPriority w:val="99"/>
    <w:semiHidden/>
    <w:unhideWhenUsed/>
    <w:rsid w:val="007C034C"/>
    <w:rPr>
      <w:color w:val="605E5C"/>
      <w:shd w:val="clear" w:color="auto" w:fill="E1DFDD"/>
    </w:rPr>
  </w:style>
  <w:style w:type="character" w:styleId="Emphasis">
    <w:name w:val="Emphasis"/>
    <w:basedOn w:val="DefaultParagraphFont"/>
    <w:uiPriority w:val="20"/>
    <w:qFormat/>
    <w:rsid w:val="007C034C"/>
    <w:rPr>
      <w:i/>
      <w:iCs/>
    </w:rPr>
  </w:style>
  <w:style w:type="paragraph" w:customStyle="1" w:styleId="font8">
    <w:name w:val="font_8"/>
    <w:basedOn w:val="Normal"/>
    <w:rsid w:val="007C034C"/>
    <w:pPr>
      <w:spacing w:before="100" w:beforeAutospacing="1" w:after="100" w:afterAutospacing="1"/>
    </w:pPr>
  </w:style>
  <w:style w:type="character" w:styleId="FollowedHyperlink">
    <w:name w:val="FollowedHyperlink"/>
    <w:basedOn w:val="DefaultParagraphFont"/>
    <w:uiPriority w:val="99"/>
    <w:semiHidden/>
    <w:unhideWhenUsed/>
    <w:rsid w:val="007C034C"/>
    <w:rPr>
      <w:color w:val="954F72" w:themeColor="followedHyperlink"/>
      <w:u w:val="single"/>
    </w:rPr>
  </w:style>
  <w:style w:type="paragraph" w:styleId="Header">
    <w:name w:val="header"/>
    <w:basedOn w:val="Normal"/>
    <w:link w:val="HeaderChar"/>
    <w:uiPriority w:val="99"/>
    <w:unhideWhenUsed/>
    <w:rsid w:val="002E1BD0"/>
    <w:pPr>
      <w:tabs>
        <w:tab w:val="center" w:pos="4680"/>
        <w:tab w:val="right" w:pos="9360"/>
      </w:tabs>
    </w:pPr>
  </w:style>
  <w:style w:type="character" w:customStyle="1" w:styleId="HeaderChar">
    <w:name w:val="Header Char"/>
    <w:basedOn w:val="DefaultParagraphFont"/>
    <w:link w:val="Header"/>
    <w:uiPriority w:val="99"/>
    <w:rsid w:val="002E1BD0"/>
    <w:rPr>
      <w:rFonts w:ascii="Times New Roman" w:eastAsia="Times New Roman" w:hAnsi="Times New Roman" w:cs="Times New Roman"/>
    </w:rPr>
  </w:style>
  <w:style w:type="character" w:styleId="PageNumber">
    <w:name w:val="page number"/>
    <w:basedOn w:val="DefaultParagraphFont"/>
    <w:uiPriority w:val="99"/>
    <w:semiHidden/>
    <w:unhideWhenUsed/>
    <w:rsid w:val="002E1BD0"/>
  </w:style>
  <w:style w:type="paragraph" w:styleId="Footer">
    <w:name w:val="footer"/>
    <w:basedOn w:val="Normal"/>
    <w:link w:val="FooterChar"/>
    <w:uiPriority w:val="99"/>
    <w:unhideWhenUsed/>
    <w:rsid w:val="00913A95"/>
    <w:pPr>
      <w:tabs>
        <w:tab w:val="center" w:pos="4680"/>
        <w:tab w:val="right" w:pos="9360"/>
      </w:tabs>
    </w:pPr>
  </w:style>
  <w:style w:type="character" w:customStyle="1" w:styleId="FooterChar">
    <w:name w:val="Footer Char"/>
    <w:basedOn w:val="DefaultParagraphFont"/>
    <w:link w:val="Footer"/>
    <w:uiPriority w:val="99"/>
    <w:rsid w:val="00913A9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421">
      <w:bodyDiv w:val="1"/>
      <w:marLeft w:val="0"/>
      <w:marRight w:val="0"/>
      <w:marTop w:val="0"/>
      <w:marBottom w:val="0"/>
      <w:divBdr>
        <w:top w:val="none" w:sz="0" w:space="0" w:color="auto"/>
        <w:left w:val="none" w:sz="0" w:space="0" w:color="auto"/>
        <w:bottom w:val="none" w:sz="0" w:space="0" w:color="auto"/>
        <w:right w:val="none" w:sz="0" w:space="0" w:color="auto"/>
      </w:divBdr>
    </w:div>
    <w:div w:id="162624519">
      <w:bodyDiv w:val="1"/>
      <w:marLeft w:val="0"/>
      <w:marRight w:val="0"/>
      <w:marTop w:val="0"/>
      <w:marBottom w:val="0"/>
      <w:divBdr>
        <w:top w:val="none" w:sz="0" w:space="0" w:color="auto"/>
        <w:left w:val="none" w:sz="0" w:space="0" w:color="auto"/>
        <w:bottom w:val="none" w:sz="0" w:space="0" w:color="auto"/>
        <w:right w:val="none" w:sz="0" w:space="0" w:color="auto"/>
      </w:divBdr>
    </w:div>
    <w:div w:id="189997025">
      <w:bodyDiv w:val="1"/>
      <w:marLeft w:val="0"/>
      <w:marRight w:val="0"/>
      <w:marTop w:val="0"/>
      <w:marBottom w:val="0"/>
      <w:divBdr>
        <w:top w:val="none" w:sz="0" w:space="0" w:color="auto"/>
        <w:left w:val="none" w:sz="0" w:space="0" w:color="auto"/>
        <w:bottom w:val="none" w:sz="0" w:space="0" w:color="auto"/>
        <w:right w:val="none" w:sz="0" w:space="0" w:color="auto"/>
      </w:divBdr>
    </w:div>
    <w:div w:id="195433668">
      <w:bodyDiv w:val="1"/>
      <w:marLeft w:val="0"/>
      <w:marRight w:val="0"/>
      <w:marTop w:val="0"/>
      <w:marBottom w:val="0"/>
      <w:divBdr>
        <w:top w:val="none" w:sz="0" w:space="0" w:color="auto"/>
        <w:left w:val="none" w:sz="0" w:space="0" w:color="auto"/>
        <w:bottom w:val="none" w:sz="0" w:space="0" w:color="auto"/>
        <w:right w:val="none" w:sz="0" w:space="0" w:color="auto"/>
      </w:divBdr>
    </w:div>
    <w:div w:id="285046387">
      <w:bodyDiv w:val="1"/>
      <w:marLeft w:val="0"/>
      <w:marRight w:val="0"/>
      <w:marTop w:val="0"/>
      <w:marBottom w:val="0"/>
      <w:divBdr>
        <w:top w:val="none" w:sz="0" w:space="0" w:color="auto"/>
        <w:left w:val="none" w:sz="0" w:space="0" w:color="auto"/>
        <w:bottom w:val="none" w:sz="0" w:space="0" w:color="auto"/>
        <w:right w:val="none" w:sz="0" w:space="0" w:color="auto"/>
      </w:divBdr>
    </w:div>
    <w:div w:id="313341048">
      <w:bodyDiv w:val="1"/>
      <w:marLeft w:val="0"/>
      <w:marRight w:val="0"/>
      <w:marTop w:val="0"/>
      <w:marBottom w:val="0"/>
      <w:divBdr>
        <w:top w:val="none" w:sz="0" w:space="0" w:color="auto"/>
        <w:left w:val="none" w:sz="0" w:space="0" w:color="auto"/>
        <w:bottom w:val="none" w:sz="0" w:space="0" w:color="auto"/>
        <w:right w:val="none" w:sz="0" w:space="0" w:color="auto"/>
      </w:divBdr>
    </w:div>
    <w:div w:id="400374019">
      <w:bodyDiv w:val="1"/>
      <w:marLeft w:val="0"/>
      <w:marRight w:val="0"/>
      <w:marTop w:val="0"/>
      <w:marBottom w:val="0"/>
      <w:divBdr>
        <w:top w:val="none" w:sz="0" w:space="0" w:color="auto"/>
        <w:left w:val="none" w:sz="0" w:space="0" w:color="auto"/>
        <w:bottom w:val="none" w:sz="0" w:space="0" w:color="auto"/>
        <w:right w:val="none" w:sz="0" w:space="0" w:color="auto"/>
      </w:divBdr>
    </w:div>
    <w:div w:id="465005348">
      <w:bodyDiv w:val="1"/>
      <w:marLeft w:val="0"/>
      <w:marRight w:val="0"/>
      <w:marTop w:val="0"/>
      <w:marBottom w:val="0"/>
      <w:divBdr>
        <w:top w:val="none" w:sz="0" w:space="0" w:color="auto"/>
        <w:left w:val="none" w:sz="0" w:space="0" w:color="auto"/>
        <w:bottom w:val="none" w:sz="0" w:space="0" w:color="auto"/>
        <w:right w:val="none" w:sz="0" w:space="0" w:color="auto"/>
      </w:divBdr>
    </w:div>
    <w:div w:id="509757673">
      <w:bodyDiv w:val="1"/>
      <w:marLeft w:val="0"/>
      <w:marRight w:val="0"/>
      <w:marTop w:val="0"/>
      <w:marBottom w:val="0"/>
      <w:divBdr>
        <w:top w:val="none" w:sz="0" w:space="0" w:color="auto"/>
        <w:left w:val="none" w:sz="0" w:space="0" w:color="auto"/>
        <w:bottom w:val="none" w:sz="0" w:space="0" w:color="auto"/>
        <w:right w:val="none" w:sz="0" w:space="0" w:color="auto"/>
      </w:divBdr>
    </w:div>
    <w:div w:id="519585181">
      <w:bodyDiv w:val="1"/>
      <w:marLeft w:val="0"/>
      <w:marRight w:val="0"/>
      <w:marTop w:val="0"/>
      <w:marBottom w:val="0"/>
      <w:divBdr>
        <w:top w:val="none" w:sz="0" w:space="0" w:color="auto"/>
        <w:left w:val="none" w:sz="0" w:space="0" w:color="auto"/>
        <w:bottom w:val="none" w:sz="0" w:space="0" w:color="auto"/>
        <w:right w:val="none" w:sz="0" w:space="0" w:color="auto"/>
      </w:divBdr>
    </w:div>
    <w:div w:id="748039571">
      <w:bodyDiv w:val="1"/>
      <w:marLeft w:val="0"/>
      <w:marRight w:val="0"/>
      <w:marTop w:val="0"/>
      <w:marBottom w:val="0"/>
      <w:divBdr>
        <w:top w:val="none" w:sz="0" w:space="0" w:color="auto"/>
        <w:left w:val="none" w:sz="0" w:space="0" w:color="auto"/>
        <w:bottom w:val="none" w:sz="0" w:space="0" w:color="auto"/>
        <w:right w:val="none" w:sz="0" w:space="0" w:color="auto"/>
      </w:divBdr>
    </w:div>
    <w:div w:id="829446499">
      <w:bodyDiv w:val="1"/>
      <w:marLeft w:val="0"/>
      <w:marRight w:val="0"/>
      <w:marTop w:val="0"/>
      <w:marBottom w:val="0"/>
      <w:divBdr>
        <w:top w:val="none" w:sz="0" w:space="0" w:color="auto"/>
        <w:left w:val="none" w:sz="0" w:space="0" w:color="auto"/>
        <w:bottom w:val="none" w:sz="0" w:space="0" w:color="auto"/>
        <w:right w:val="none" w:sz="0" w:space="0" w:color="auto"/>
      </w:divBdr>
    </w:div>
    <w:div w:id="870144467">
      <w:bodyDiv w:val="1"/>
      <w:marLeft w:val="0"/>
      <w:marRight w:val="0"/>
      <w:marTop w:val="0"/>
      <w:marBottom w:val="0"/>
      <w:divBdr>
        <w:top w:val="none" w:sz="0" w:space="0" w:color="auto"/>
        <w:left w:val="none" w:sz="0" w:space="0" w:color="auto"/>
        <w:bottom w:val="none" w:sz="0" w:space="0" w:color="auto"/>
        <w:right w:val="none" w:sz="0" w:space="0" w:color="auto"/>
      </w:divBdr>
    </w:div>
    <w:div w:id="873424926">
      <w:bodyDiv w:val="1"/>
      <w:marLeft w:val="0"/>
      <w:marRight w:val="0"/>
      <w:marTop w:val="0"/>
      <w:marBottom w:val="0"/>
      <w:divBdr>
        <w:top w:val="none" w:sz="0" w:space="0" w:color="auto"/>
        <w:left w:val="none" w:sz="0" w:space="0" w:color="auto"/>
        <w:bottom w:val="none" w:sz="0" w:space="0" w:color="auto"/>
        <w:right w:val="none" w:sz="0" w:space="0" w:color="auto"/>
      </w:divBdr>
    </w:div>
    <w:div w:id="925924870">
      <w:bodyDiv w:val="1"/>
      <w:marLeft w:val="0"/>
      <w:marRight w:val="0"/>
      <w:marTop w:val="0"/>
      <w:marBottom w:val="0"/>
      <w:divBdr>
        <w:top w:val="none" w:sz="0" w:space="0" w:color="auto"/>
        <w:left w:val="none" w:sz="0" w:space="0" w:color="auto"/>
        <w:bottom w:val="none" w:sz="0" w:space="0" w:color="auto"/>
        <w:right w:val="none" w:sz="0" w:space="0" w:color="auto"/>
      </w:divBdr>
    </w:div>
    <w:div w:id="1041249753">
      <w:bodyDiv w:val="1"/>
      <w:marLeft w:val="0"/>
      <w:marRight w:val="0"/>
      <w:marTop w:val="0"/>
      <w:marBottom w:val="0"/>
      <w:divBdr>
        <w:top w:val="none" w:sz="0" w:space="0" w:color="auto"/>
        <w:left w:val="none" w:sz="0" w:space="0" w:color="auto"/>
        <w:bottom w:val="none" w:sz="0" w:space="0" w:color="auto"/>
        <w:right w:val="none" w:sz="0" w:space="0" w:color="auto"/>
      </w:divBdr>
    </w:div>
    <w:div w:id="1204756555">
      <w:bodyDiv w:val="1"/>
      <w:marLeft w:val="0"/>
      <w:marRight w:val="0"/>
      <w:marTop w:val="0"/>
      <w:marBottom w:val="0"/>
      <w:divBdr>
        <w:top w:val="none" w:sz="0" w:space="0" w:color="auto"/>
        <w:left w:val="none" w:sz="0" w:space="0" w:color="auto"/>
        <w:bottom w:val="none" w:sz="0" w:space="0" w:color="auto"/>
        <w:right w:val="none" w:sz="0" w:space="0" w:color="auto"/>
      </w:divBdr>
    </w:div>
    <w:div w:id="1296762692">
      <w:bodyDiv w:val="1"/>
      <w:marLeft w:val="0"/>
      <w:marRight w:val="0"/>
      <w:marTop w:val="0"/>
      <w:marBottom w:val="0"/>
      <w:divBdr>
        <w:top w:val="none" w:sz="0" w:space="0" w:color="auto"/>
        <w:left w:val="none" w:sz="0" w:space="0" w:color="auto"/>
        <w:bottom w:val="none" w:sz="0" w:space="0" w:color="auto"/>
        <w:right w:val="none" w:sz="0" w:space="0" w:color="auto"/>
      </w:divBdr>
    </w:div>
    <w:div w:id="1407800528">
      <w:bodyDiv w:val="1"/>
      <w:marLeft w:val="0"/>
      <w:marRight w:val="0"/>
      <w:marTop w:val="0"/>
      <w:marBottom w:val="0"/>
      <w:divBdr>
        <w:top w:val="none" w:sz="0" w:space="0" w:color="auto"/>
        <w:left w:val="none" w:sz="0" w:space="0" w:color="auto"/>
        <w:bottom w:val="none" w:sz="0" w:space="0" w:color="auto"/>
        <w:right w:val="none" w:sz="0" w:space="0" w:color="auto"/>
      </w:divBdr>
    </w:div>
    <w:div w:id="1439526975">
      <w:bodyDiv w:val="1"/>
      <w:marLeft w:val="0"/>
      <w:marRight w:val="0"/>
      <w:marTop w:val="0"/>
      <w:marBottom w:val="0"/>
      <w:divBdr>
        <w:top w:val="none" w:sz="0" w:space="0" w:color="auto"/>
        <w:left w:val="none" w:sz="0" w:space="0" w:color="auto"/>
        <w:bottom w:val="none" w:sz="0" w:space="0" w:color="auto"/>
        <w:right w:val="none" w:sz="0" w:space="0" w:color="auto"/>
      </w:divBdr>
    </w:div>
    <w:div w:id="1538740949">
      <w:bodyDiv w:val="1"/>
      <w:marLeft w:val="0"/>
      <w:marRight w:val="0"/>
      <w:marTop w:val="0"/>
      <w:marBottom w:val="0"/>
      <w:divBdr>
        <w:top w:val="none" w:sz="0" w:space="0" w:color="auto"/>
        <w:left w:val="none" w:sz="0" w:space="0" w:color="auto"/>
        <w:bottom w:val="none" w:sz="0" w:space="0" w:color="auto"/>
        <w:right w:val="none" w:sz="0" w:space="0" w:color="auto"/>
      </w:divBdr>
    </w:div>
    <w:div w:id="1585990023">
      <w:bodyDiv w:val="1"/>
      <w:marLeft w:val="0"/>
      <w:marRight w:val="0"/>
      <w:marTop w:val="0"/>
      <w:marBottom w:val="0"/>
      <w:divBdr>
        <w:top w:val="none" w:sz="0" w:space="0" w:color="auto"/>
        <w:left w:val="none" w:sz="0" w:space="0" w:color="auto"/>
        <w:bottom w:val="none" w:sz="0" w:space="0" w:color="auto"/>
        <w:right w:val="none" w:sz="0" w:space="0" w:color="auto"/>
      </w:divBdr>
    </w:div>
    <w:div w:id="1629503810">
      <w:bodyDiv w:val="1"/>
      <w:marLeft w:val="0"/>
      <w:marRight w:val="0"/>
      <w:marTop w:val="0"/>
      <w:marBottom w:val="0"/>
      <w:divBdr>
        <w:top w:val="none" w:sz="0" w:space="0" w:color="auto"/>
        <w:left w:val="none" w:sz="0" w:space="0" w:color="auto"/>
        <w:bottom w:val="none" w:sz="0" w:space="0" w:color="auto"/>
        <w:right w:val="none" w:sz="0" w:space="0" w:color="auto"/>
      </w:divBdr>
    </w:div>
    <w:div w:id="1636525768">
      <w:bodyDiv w:val="1"/>
      <w:marLeft w:val="0"/>
      <w:marRight w:val="0"/>
      <w:marTop w:val="0"/>
      <w:marBottom w:val="0"/>
      <w:divBdr>
        <w:top w:val="none" w:sz="0" w:space="0" w:color="auto"/>
        <w:left w:val="none" w:sz="0" w:space="0" w:color="auto"/>
        <w:bottom w:val="none" w:sz="0" w:space="0" w:color="auto"/>
        <w:right w:val="none" w:sz="0" w:space="0" w:color="auto"/>
      </w:divBdr>
    </w:div>
    <w:div w:id="1679966107">
      <w:bodyDiv w:val="1"/>
      <w:marLeft w:val="0"/>
      <w:marRight w:val="0"/>
      <w:marTop w:val="0"/>
      <w:marBottom w:val="0"/>
      <w:divBdr>
        <w:top w:val="none" w:sz="0" w:space="0" w:color="auto"/>
        <w:left w:val="none" w:sz="0" w:space="0" w:color="auto"/>
        <w:bottom w:val="none" w:sz="0" w:space="0" w:color="auto"/>
        <w:right w:val="none" w:sz="0" w:space="0" w:color="auto"/>
      </w:divBdr>
    </w:div>
    <w:div w:id="1803108797">
      <w:bodyDiv w:val="1"/>
      <w:marLeft w:val="0"/>
      <w:marRight w:val="0"/>
      <w:marTop w:val="0"/>
      <w:marBottom w:val="0"/>
      <w:divBdr>
        <w:top w:val="none" w:sz="0" w:space="0" w:color="auto"/>
        <w:left w:val="none" w:sz="0" w:space="0" w:color="auto"/>
        <w:bottom w:val="none" w:sz="0" w:space="0" w:color="auto"/>
        <w:right w:val="none" w:sz="0" w:space="0" w:color="auto"/>
      </w:divBdr>
    </w:div>
    <w:div w:id="1872574056">
      <w:bodyDiv w:val="1"/>
      <w:marLeft w:val="0"/>
      <w:marRight w:val="0"/>
      <w:marTop w:val="0"/>
      <w:marBottom w:val="0"/>
      <w:divBdr>
        <w:top w:val="none" w:sz="0" w:space="0" w:color="auto"/>
        <w:left w:val="none" w:sz="0" w:space="0" w:color="auto"/>
        <w:bottom w:val="none" w:sz="0" w:space="0" w:color="auto"/>
        <w:right w:val="none" w:sz="0" w:space="0" w:color="auto"/>
      </w:divBdr>
    </w:div>
    <w:div w:id="1919553297">
      <w:bodyDiv w:val="1"/>
      <w:marLeft w:val="0"/>
      <w:marRight w:val="0"/>
      <w:marTop w:val="0"/>
      <w:marBottom w:val="0"/>
      <w:divBdr>
        <w:top w:val="none" w:sz="0" w:space="0" w:color="auto"/>
        <w:left w:val="none" w:sz="0" w:space="0" w:color="auto"/>
        <w:bottom w:val="none" w:sz="0" w:space="0" w:color="auto"/>
        <w:right w:val="none" w:sz="0" w:space="0" w:color="auto"/>
      </w:divBdr>
    </w:div>
    <w:div w:id="1996566954">
      <w:bodyDiv w:val="1"/>
      <w:marLeft w:val="0"/>
      <w:marRight w:val="0"/>
      <w:marTop w:val="0"/>
      <w:marBottom w:val="0"/>
      <w:divBdr>
        <w:top w:val="none" w:sz="0" w:space="0" w:color="auto"/>
        <w:left w:val="none" w:sz="0" w:space="0" w:color="auto"/>
        <w:bottom w:val="none" w:sz="0" w:space="0" w:color="auto"/>
        <w:right w:val="none" w:sz="0" w:space="0" w:color="auto"/>
      </w:divBdr>
    </w:div>
    <w:div w:id="20383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6266202011.627306" TargetMode="External"/><Relationship Id="rId13" Type="http://schemas.openxmlformats.org/officeDocument/2006/relationships/hyperlink" Target="https://doi.org/10.1080/14675986.2018.143636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77/1475240903021005" TargetMode="External"/><Relationship Id="rId12" Type="http://schemas.openxmlformats.org/officeDocument/2006/relationships/hyperlink" Target="https://doi.org/10.4324/97804294010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tate.2011.06.0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626620.2014.948227" TargetMode="External"/><Relationship Id="rId5" Type="http://schemas.openxmlformats.org/officeDocument/2006/relationships/footnotes" Target="footnotes.xml"/><Relationship Id="rId15" Type="http://schemas.openxmlformats.org/officeDocument/2006/relationships/hyperlink" Target="https://doi.org/10.1080/13613324.2013.832938" TargetMode="External"/><Relationship Id="rId10" Type="http://schemas.openxmlformats.org/officeDocument/2006/relationships/hyperlink" Target="https://doi.org/10.1016/j.ijintrel.2009.06.00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77/1028315306287002" TargetMode="External"/><Relationship Id="rId14" Type="http://schemas.openxmlformats.org/officeDocument/2006/relationships/hyperlink" Target="https://doi.org/10.36366/frontiers.v31i1.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2026-01-21T02:12:00Z</dcterms:created>
  <dcterms:modified xsi:type="dcterms:W3CDTF">2026-01-21T02:12:00Z</dcterms:modified>
</cp:coreProperties>
</file>