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BF7B" w14:textId="5B5A7785" w:rsidR="002733A7" w:rsidRPr="002733A7" w:rsidRDefault="002733A7" w:rsidP="002733A7">
      <w:pPr>
        <w:jc w:val="right"/>
        <w:rPr>
          <w:bCs/>
        </w:rPr>
      </w:pPr>
      <w:r w:rsidRPr="002733A7">
        <w:rPr>
          <w:bCs/>
        </w:rPr>
        <w:t>Stephanie Mikulasek</w:t>
      </w:r>
    </w:p>
    <w:p w14:paraId="38A81FDB" w14:textId="42044AB3" w:rsidR="002733A7" w:rsidRPr="002733A7" w:rsidRDefault="002733A7" w:rsidP="002733A7">
      <w:pPr>
        <w:jc w:val="right"/>
        <w:rPr>
          <w:bCs/>
        </w:rPr>
      </w:pPr>
      <w:r w:rsidRPr="002733A7">
        <w:rPr>
          <w:bCs/>
        </w:rPr>
        <w:t>EDRS 812: Samaras</w:t>
      </w:r>
    </w:p>
    <w:p w14:paraId="39B27F0F" w14:textId="4A5D485E" w:rsidR="002733A7" w:rsidRPr="002733A7" w:rsidRDefault="002733A7" w:rsidP="002733A7">
      <w:pPr>
        <w:jc w:val="right"/>
        <w:rPr>
          <w:bCs/>
        </w:rPr>
      </w:pPr>
      <w:r w:rsidRPr="002733A7">
        <w:rPr>
          <w:bCs/>
        </w:rPr>
        <w:t>Fall 2021</w:t>
      </w:r>
    </w:p>
    <w:p w14:paraId="77AE2087" w14:textId="6CF89907" w:rsidR="002733A7" w:rsidRPr="002733A7" w:rsidRDefault="002733A7" w:rsidP="002733A7">
      <w:pPr>
        <w:jc w:val="right"/>
        <w:rPr>
          <w:bCs/>
        </w:rPr>
      </w:pPr>
      <w:r w:rsidRPr="002733A7">
        <w:rPr>
          <w:bCs/>
        </w:rPr>
        <w:t>Research Project</w:t>
      </w:r>
    </w:p>
    <w:p w14:paraId="3E32EF75" w14:textId="77777777" w:rsidR="002733A7" w:rsidRDefault="002733A7" w:rsidP="0011635C">
      <w:pPr>
        <w:rPr>
          <w:b/>
        </w:rPr>
      </w:pPr>
    </w:p>
    <w:p w14:paraId="42D23DE9" w14:textId="77777777" w:rsidR="002733A7" w:rsidRDefault="002733A7" w:rsidP="0011635C">
      <w:pPr>
        <w:rPr>
          <w:b/>
        </w:rPr>
      </w:pPr>
    </w:p>
    <w:p w14:paraId="50BF4FAA" w14:textId="77777777" w:rsidR="002733A7" w:rsidRDefault="002733A7" w:rsidP="002733A7">
      <w:pPr>
        <w:jc w:val="center"/>
        <w:rPr>
          <w:b/>
        </w:rPr>
      </w:pPr>
      <w:r>
        <w:rPr>
          <w:b/>
        </w:rPr>
        <w:t xml:space="preserve">Exploring Immersion Experiences and Effective Components for </w:t>
      </w:r>
    </w:p>
    <w:p w14:paraId="4541CD7C" w14:textId="33FECB05" w:rsidR="002733A7" w:rsidRDefault="002733A7" w:rsidP="002733A7">
      <w:pPr>
        <w:jc w:val="center"/>
        <w:rPr>
          <w:b/>
        </w:rPr>
      </w:pPr>
      <w:r>
        <w:rPr>
          <w:b/>
        </w:rPr>
        <w:t>Increasing Intercultural and Global Competencies</w:t>
      </w:r>
    </w:p>
    <w:p w14:paraId="7A373BD1" w14:textId="77777777" w:rsidR="002733A7" w:rsidRDefault="002733A7" w:rsidP="0011635C">
      <w:pPr>
        <w:rPr>
          <w:b/>
        </w:rPr>
      </w:pPr>
    </w:p>
    <w:p w14:paraId="443D823D" w14:textId="6EA1C90E" w:rsidR="0011635C" w:rsidRDefault="0011635C" w:rsidP="0011635C">
      <w:pPr>
        <w:rPr>
          <w:b/>
        </w:rPr>
      </w:pPr>
      <w:r>
        <w:rPr>
          <w:b/>
        </w:rPr>
        <w:t>Literature Review</w:t>
      </w:r>
      <w:r w:rsidR="002733A7">
        <w:rPr>
          <w:b/>
        </w:rPr>
        <w:t xml:space="preserve"> (</w:t>
      </w:r>
      <w:r w:rsidR="0058145C">
        <w:rPr>
          <w:b/>
        </w:rPr>
        <w:t>draft</w:t>
      </w:r>
      <w:r w:rsidR="002733A7">
        <w:rPr>
          <w:b/>
        </w:rPr>
        <w:t>)</w:t>
      </w:r>
    </w:p>
    <w:p w14:paraId="06BA2DF6" w14:textId="77777777" w:rsidR="0011635C" w:rsidRDefault="0011635C" w:rsidP="0011635C">
      <w:pPr>
        <w:rPr>
          <w:b/>
        </w:rPr>
      </w:pPr>
    </w:p>
    <w:p w14:paraId="2F81FB01" w14:textId="314531B3" w:rsidR="0011635C" w:rsidRDefault="0011635C" w:rsidP="0058145C">
      <w:pPr>
        <w:spacing w:line="360" w:lineRule="auto"/>
        <w:ind w:firstLine="720"/>
      </w:pPr>
      <w:r>
        <w:t>To develop intercultural and global competency, r</w:t>
      </w:r>
      <w:r w:rsidRPr="007345FC">
        <w:t xml:space="preserve">esearch has reiterated the importance of direct personal engagement with </w:t>
      </w:r>
      <w:r>
        <w:t xml:space="preserve">other peoples, cultures, and contexts </w:t>
      </w:r>
      <w:r w:rsidRPr="007345FC">
        <w:t xml:space="preserve">(Brendel, </w:t>
      </w:r>
      <w:proofErr w:type="spellStart"/>
      <w:r w:rsidRPr="007345FC">
        <w:t>Aksit</w:t>
      </w:r>
      <w:proofErr w:type="spellEnd"/>
      <w:r w:rsidRPr="007345FC">
        <w:t xml:space="preserve">, </w:t>
      </w:r>
      <w:proofErr w:type="spellStart"/>
      <w:r w:rsidRPr="007345FC">
        <w:t>Aksit</w:t>
      </w:r>
      <w:proofErr w:type="spellEnd"/>
      <w:r w:rsidRPr="007345FC">
        <w:t xml:space="preserve"> &amp; </w:t>
      </w:r>
      <w:proofErr w:type="spellStart"/>
      <w:r w:rsidRPr="007345FC">
        <w:t>Schrufer</w:t>
      </w:r>
      <w:proofErr w:type="spellEnd"/>
      <w:r w:rsidRPr="007345FC">
        <w:t xml:space="preserve">, 2016; </w:t>
      </w:r>
      <w:proofErr w:type="spellStart"/>
      <w:r w:rsidRPr="007345FC">
        <w:t>Cushner</w:t>
      </w:r>
      <w:proofErr w:type="spellEnd"/>
      <w:r w:rsidRPr="007345FC">
        <w:t>, 2009; Santoro, 2014).</w:t>
      </w:r>
      <w:r>
        <w:t xml:space="preserve">  </w:t>
      </w:r>
      <w:r w:rsidRPr="007345FC">
        <w:t xml:space="preserve">Further, the immersion program must be intentionally designed to develop intercultural competency (Crawford, Higgins &amp; Hilburn, 2020; </w:t>
      </w:r>
      <w:proofErr w:type="spellStart"/>
      <w:r w:rsidRPr="007345FC">
        <w:t>Cushner</w:t>
      </w:r>
      <w:proofErr w:type="spellEnd"/>
      <w:r w:rsidRPr="007345FC">
        <w:t xml:space="preserve">, 2009; </w:t>
      </w:r>
      <w:r>
        <w:t xml:space="preserve">Paras, Carignan, Brenner, Hardy, </w:t>
      </w:r>
      <w:proofErr w:type="spellStart"/>
      <w:r>
        <w:t>Malmgren</w:t>
      </w:r>
      <w:proofErr w:type="spellEnd"/>
      <w:r>
        <w:t xml:space="preserve">, and </w:t>
      </w:r>
      <w:proofErr w:type="spellStart"/>
      <w:r>
        <w:t>Rathburn</w:t>
      </w:r>
      <w:proofErr w:type="spellEnd"/>
      <w:r>
        <w:t xml:space="preserve">, 2019; </w:t>
      </w:r>
      <w:proofErr w:type="spellStart"/>
      <w:r w:rsidRPr="007345FC">
        <w:t>Polat</w:t>
      </w:r>
      <w:proofErr w:type="spellEnd"/>
      <w:r w:rsidRPr="007345FC">
        <w:t xml:space="preserve"> </w:t>
      </w:r>
      <w:r>
        <w:t>and</w:t>
      </w:r>
      <w:r w:rsidRPr="007345FC">
        <w:t xml:space="preserve"> </w:t>
      </w:r>
      <w:proofErr w:type="spellStart"/>
      <w:r w:rsidRPr="007345FC">
        <w:t>Barka</w:t>
      </w:r>
      <w:proofErr w:type="spellEnd"/>
      <w:r w:rsidRPr="007345FC">
        <w:t xml:space="preserve">, 2014; Salmon, </w:t>
      </w:r>
      <w:proofErr w:type="spellStart"/>
      <w:r w:rsidRPr="007345FC">
        <w:t>Gangotena</w:t>
      </w:r>
      <w:proofErr w:type="spellEnd"/>
      <w:r w:rsidRPr="007345FC">
        <w:t xml:space="preserve"> </w:t>
      </w:r>
      <w:r>
        <w:t>and</w:t>
      </w:r>
      <w:r w:rsidRPr="007345FC">
        <w:t xml:space="preserve"> </w:t>
      </w:r>
      <w:proofErr w:type="spellStart"/>
      <w:r w:rsidRPr="007345FC">
        <w:t>Melliou</w:t>
      </w:r>
      <w:proofErr w:type="spellEnd"/>
      <w:r w:rsidRPr="007345FC">
        <w:t xml:space="preserve">, 2017) and is a continual process involving multiple intercultural experiences leading to an evolving transformation in worldview structure and perspective (Brendel, </w:t>
      </w:r>
      <w:proofErr w:type="spellStart"/>
      <w:r w:rsidRPr="007345FC">
        <w:t>Aksit</w:t>
      </w:r>
      <w:proofErr w:type="spellEnd"/>
      <w:r w:rsidRPr="007345FC">
        <w:t xml:space="preserve">, </w:t>
      </w:r>
      <w:proofErr w:type="spellStart"/>
      <w:r w:rsidRPr="007345FC">
        <w:t>Aksit</w:t>
      </w:r>
      <w:proofErr w:type="spellEnd"/>
      <w:r w:rsidRPr="007345FC">
        <w:t xml:space="preserve">, </w:t>
      </w:r>
      <w:r>
        <w:t>and</w:t>
      </w:r>
      <w:r w:rsidRPr="007345FC">
        <w:t xml:space="preserve"> </w:t>
      </w:r>
      <w:proofErr w:type="spellStart"/>
      <w:r w:rsidRPr="007345FC">
        <w:t>Schrufer</w:t>
      </w:r>
      <w:proofErr w:type="spellEnd"/>
      <w:r w:rsidRPr="007345FC">
        <w:t xml:space="preserve">, 2016; Deardorff, 2006; Hammer, Bennett </w:t>
      </w:r>
      <w:r>
        <w:t>and</w:t>
      </w:r>
      <w:r w:rsidRPr="007345FC">
        <w:t xml:space="preserve"> Wiseman, 2003; </w:t>
      </w:r>
      <w:r>
        <w:t xml:space="preserve">Jones, Niehaus, Rowan-Kenyon, </w:t>
      </w:r>
      <w:proofErr w:type="spellStart"/>
      <w:r>
        <w:t>Skendall</w:t>
      </w:r>
      <w:proofErr w:type="spellEnd"/>
      <w:r>
        <w:t xml:space="preserve"> and Ireland, 2012; </w:t>
      </w:r>
      <w:r w:rsidRPr="007345FC">
        <w:t xml:space="preserve">Parkhouse, </w:t>
      </w:r>
      <w:proofErr w:type="spellStart"/>
      <w:r w:rsidRPr="007345FC">
        <w:t>Tichnor</w:t>
      </w:r>
      <w:proofErr w:type="spellEnd"/>
      <w:r w:rsidRPr="007345FC">
        <w:t xml:space="preserve">-Wagner, Cain </w:t>
      </w:r>
      <w:r>
        <w:t>and</w:t>
      </w:r>
      <w:r w:rsidRPr="007345FC">
        <w:t xml:space="preserve"> Glazier, 2016; ).  Coursework alone will not develop intercultural competency (</w:t>
      </w:r>
      <w:proofErr w:type="spellStart"/>
      <w:r w:rsidRPr="007345FC">
        <w:t>Cushner</w:t>
      </w:r>
      <w:proofErr w:type="spellEnd"/>
      <w:r w:rsidRPr="007345FC">
        <w:t>, 2009</w:t>
      </w:r>
      <w:r>
        <w:t>; Jones, et al, 2012</w:t>
      </w:r>
      <w:r w:rsidRPr="007345FC">
        <w:t>).</w:t>
      </w:r>
      <w:r>
        <w:t xml:space="preserve">  </w:t>
      </w:r>
      <w:proofErr w:type="spellStart"/>
      <w:r w:rsidR="0058145C" w:rsidRPr="007345FC">
        <w:t>Yershova</w:t>
      </w:r>
      <w:proofErr w:type="spellEnd"/>
      <w:r w:rsidR="0058145C" w:rsidRPr="007345FC">
        <w:t xml:space="preserve">, Y., </w:t>
      </w:r>
      <w:proofErr w:type="spellStart"/>
      <w:r w:rsidR="0058145C" w:rsidRPr="007345FC">
        <w:t>DeJaeghere</w:t>
      </w:r>
      <w:proofErr w:type="spellEnd"/>
      <w:r w:rsidR="0058145C" w:rsidRPr="007345FC">
        <w:t xml:space="preserve">, J., &amp; </w:t>
      </w:r>
      <w:proofErr w:type="spellStart"/>
      <w:r w:rsidR="0058145C" w:rsidRPr="007345FC">
        <w:t>Mestenhauser</w:t>
      </w:r>
      <w:proofErr w:type="spellEnd"/>
      <w:r w:rsidR="0058145C" w:rsidRPr="007345FC">
        <w:t>, J. (2000) affirmed that intercultural competence; critical thinking; and comparative thinking are not learned automatically in traditional disciplines or by osmosis, and that they are influenced by the cultures in which they are practiced and taught (</w:t>
      </w:r>
      <w:r w:rsidR="0058145C">
        <w:t>a</w:t>
      </w:r>
      <w:r w:rsidR="0058145C" w:rsidRPr="007345FC">
        <w:t xml:space="preserve">lso see Ari &amp; </w:t>
      </w:r>
      <w:proofErr w:type="spellStart"/>
      <w:r w:rsidR="0058145C" w:rsidRPr="007345FC">
        <w:t>Mula</w:t>
      </w:r>
      <w:proofErr w:type="spellEnd"/>
      <w:r w:rsidR="0058145C" w:rsidRPr="007345FC">
        <w:t xml:space="preserve">, 2017). </w:t>
      </w:r>
      <w:r w:rsidR="0058145C">
        <w:t xml:space="preserve"> </w:t>
      </w:r>
    </w:p>
    <w:p w14:paraId="28871787" w14:textId="3DACBFC1" w:rsidR="0011635C" w:rsidRDefault="0011635C" w:rsidP="002733A7">
      <w:pPr>
        <w:spacing w:line="360" w:lineRule="auto"/>
        <w:ind w:firstLine="720"/>
      </w:pPr>
      <w:r w:rsidRPr="007345FC">
        <w:t>Santoro (2014) emphasize</w:t>
      </w:r>
      <w:r>
        <w:t>s</w:t>
      </w:r>
      <w:r w:rsidRPr="007345FC">
        <w:t xml:space="preserve"> the need to intentionally design immersion experiences with built in time for reflection; immersion programs must be intentional, well-planned, and structured specifically to build intercultural and global competency.  </w:t>
      </w:r>
      <w:r w:rsidR="002733A7">
        <w:t xml:space="preserve">The imperative or reflection was revealed by its absence in a research study </w:t>
      </w:r>
      <w:r w:rsidR="002733A7">
        <w:t xml:space="preserve">by </w:t>
      </w:r>
      <w:proofErr w:type="spellStart"/>
      <w:r w:rsidR="002733A7">
        <w:t>Lokkesmoe</w:t>
      </w:r>
      <w:proofErr w:type="spellEnd"/>
      <w:r w:rsidR="002733A7">
        <w:t xml:space="preserve">, </w:t>
      </w:r>
      <w:proofErr w:type="spellStart"/>
      <w:r w:rsidR="002733A7">
        <w:t>Kuchinke</w:t>
      </w:r>
      <w:proofErr w:type="spellEnd"/>
      <w:r w:rsidR="002733A7">
        <w:t xml:space="preserve"> and </w:t>
      </w:r>
      <w:proofErr w:type="spellStart"/>
      <w:r w:rsidR="002733A7">
        <w:t>Ardichvili</w:t>
      </w:r>
      <w:proofErr w:type="spellEnd"/>
      <w:r w:rsidR="002733A7">
        <w:t xml:space="preserve"> (2016)</w:t>
      </w:r>
      <w:r w:rsidR="002733A7">
        <w:t xml:space="preserve">, who examined four </w:t>
      </w:r>
      <w:r w:rsidR="0058145C">
        <w:t>immersion programs in the U.S. and Brazil</w:t>
      </w:r>
      <w:r w:rsidR="002733A7">
        <w:t>.</w:t>
      </w:r>
      <w:r w:rsidR="0058145C">
        <w:t xml:space="preserve">  All four programs lacked</w:t>
      </w:r>
      <w:r w:rsidR="002733A7">
        <w:t xml:space="preserve"> intentional reflection, often </w:t>
      </w:r>
      <w:r w:rsidR="0058145C">
        <w:t>revealed</w:t>
      </w:r>
      <w:r w:rsidR="002733A7">
        <w:t xml:space="preserve"> in </w:t>
      </w:r>
      <w:r w:rsidR="0058145C">
        <w:t xml:space="preserve">directed and consistent </w:t>
      </w:r>
      <w:r w:rsidR="002733A7">
        <w:t xml:space="preserve">journaling </w:t>
      </w:r>
      <w:r w:rsidR="0058145C">
        <w:t>and/</w:t>
      </w:r>
      <w:r w:rsidR="002733A7">
        <w:t xml:space="preserve">or reflection discussions (weekly or daily) with </w:t>
      </w:r>
      <w:r w:rsidR="0058145C">
        <w:t>an</w:t>
      </w:r>
      <w:r w:rsidR="002733A7">
        <w:t xml:space="preserve"> instructional leader, </w:t>
      </w:r>
      <w:r w:rsidR="0058145C">
        <w:t xml:space="preserve">which led to </w:t>
      </w:r>
      <w:r w:rsidR="002733A7">
        <w:t>some participant scores on Hammer’s Intercultural Development Index (2009) decreas</w:t>
      </w:r>
      <w:r w:rsidR="0058145C">
        <w:t>ing</w:t>
      </w:r>
      <w:r w:rsidR="002733A7">
        <w:t xml:space="preserve"> following </w:t>
      </w:r>
      <w:r w:rsidR="0058145C">
        <w:t>their</w:t>
      </w:r>
      <w:r w:rsidR="002733A7">
        <w:t xml:space="preserve"> immersion</w:t>
      </w:r>
      <w:r w:rsidR="0058145C">
        <w:t xml:space="preserve"> experience</w:t>
      </w:r>
      <w:r w:rsidR="002733A7">
        <w:t>.</w:t>
      </w:r>
      <w:r w:rsidR="002733A7">
        <w:t xml:space="preserve"> </w:t>
      </w:r>
    </w:p>
    <w:p w14:paraId="69092FBE" w14:textId="0D2B1097" w:rsidR="0011635C" w:rsidRDefault="0011635C" w:rsidP="0011635C">
      <w:pPr>
        <w:spacing w:line="360" w:lineRule="auto"/>
        <w:ind w:firstLine="720"/>
      </w:pPr>
      <w:r>
        <w:lastRenderedPageBreak/>
        <w:t>Components of effective immersion programs as measured by increases in intercultural competency have focused on two key areas: pre-departure intercultural training and a service-learning activity (Jones, et al, 2012; Paras, et al, 2019</w:t>
      </w:r>
      <w:r w:rsidR="0058145C">
        <w:t xml:space="preserve">; </w:t>
      </w:r>
      <w:r w:rsidR="0058145C">
        <w:t xml:space="preserve">Woods, </w:t>
      </w:r>
      <w:proofErr w:type="spellStart"/>
      <w:r w:rsidR="0058145C">
        <w:t>Sipple</w:t>
      </w:r>
      <w:proofErr w:type="spellEnd"/>
      <w:r w:rsidR="0058145C">
        <w:t xml:space="preserve">, Otten and </w:t>
      </w:r>
      <w:proofErr w:type="spellStart"/>
      <w:r w:rsidR="0058145C">
        <w:t>Roos</w:t>
      </w:r>
      <w:proofErr w:type="spellEnd"/>
      <w:r w:rsidR="0058145C">
        <w:t>, 2016</w:t>
      </w:r>
      <w:r>
        <w:t xml:space="preserve">).  </w:t>
      </w:r>
      <w:r w:rsidR="0058145C">
        <w:t>This predeparture training should be tailored to the participants (</w:t>
      </w:r>
      <w:proofErr w:type="spellStart"/>
      <w:r w:rsidR="0058145C">
        <w:t>Lokkesmoe</w:t>
      </w:r>
      <w:proofErr w:type="spellEnd"/>
      <w:r w:rsidR="0058145C">
        <w:t xml:space="preserve">, et al, 2016).  </w:t>
      </w:r>
      <w:r>
        <w:t xml:space="preserve">Additionally, attending to the group dynamics, including peer learning, have also been shown to have direct effect on the students experience and intercultural competency development (Jessup-Anger and </w:t>
      </w:r>
      <w:proofErr w:type="spellStart"/>
      <w:r>
        <w:t>Aragones</w:t>
      </w:r>
      <w:proofErr w:type="spellEnd"/>
      <w:r>
        <w:t>, 2013; Jones, et al, 2012, Paras, et al, 2019</w:t>
      </w:r>
      <w:r w:rsidR="002733A7">
        <w:t xml:space="preserve">; Woods, </w:t>
      </w:r>
      <w:r w:rsidR="0058145C">
        <w:t>et al,</w:t>
      </w:r>
      <w:r w:rsidR="002733A7">
        <w:t xml:space="preserve"> 2016</w:t>
      </w:r>
      <w:r>
        <w:t xml:space="preserve">).  </w:t>
      </w:r>
    </w:p>
    <w:p w14:paraId="619E586D" w14:textId="15432A09" w:rsidR="0011635C" w:rsidRDefault="0011635C" w:rsidP="0011635C">
      <w:pPr>
        <w:spacing w:line="360" w:lineRule="auto"/>
        <w:ind w:firstLine="720"/>
      </w:pPr>
      <w:r w:rsidRPr="007345FC">
        <w:t>Further, the teaching of intercultural competenc</w:t>
      </w:r>
      <w:r>
        <w:t>y</w:t>
      </w:r>
      <w:r w:rsidRPr="007345FC">
        <w:t xml:space="preserve"> </w:t>
      </w:r>
      <w:r>
        <w:t>is</w:t>
      </w:r>
      <w:r w:rsidRPr="007345FC">
        <w:t xml:space="preserve"> dominated by the "fix the problem" paradigm, which considers cultural differences an obstacle to be over</w:t>
      </w:r>
      <w:r>
        <w:t>-</w:t>
      </w:r>
      <w:r w:rsidRPr="007345FC">
        <w:t xml:space="preserve">come. </w:t>
      </w:r>
      <w:r>
        <w:t xml:space="preserve"> Affirming this research, </w:t>
      </w:r>
      <w:proofErr w:type="spellStart"/>
      <w:r w:rsidRPr="007345FC">
        <w:t>Polat</w:t>
      </w:r>
      <w:proofErr w:type="spellEnd"/>
      <w:r w:rsidRPr="007345FC">
        <w:t xml:space="preserve"> and </w:t>
      </w:r>
      <w:proofErr w:type="spellStart"/>
      <w:r w:rsidRPr="007345FC">
        <w:t>Barka</w:t>
      </w:r>
      <w:proofErr w:type="spellEnd"/>
      <w:r w:rsidRPr="007345FC">
        <w:t xml:space="preserve"> (2014) </w:t>
      </w:r>
      <w:r>
        <w:t>state</w:t>
      </w:r>
      <w:r w:rsidRPr="007345FC">
        <w:t xml:space="preserve"> that teacher training institutions must intentionally include intercultural coursework to develop interculturally competent teachers.  The challenge is moving from theory to practice, as cited </w:t>
      </w:r>
      <w:r>
        <w:t xml:space="preserve">by </w:t>
      </w:r>
      <w:proofErr w:type="spellStart"/>
      <w:r w:rsidRPr="007345FC">
        <w:t>Kerkhoff</w:t>
      </w:r>
      <w:proofErr w:type="spellEnd"/>
      <w:r w:rsidRPr="007345FC">
        <w:t xml:space="preserve"> and Cloud (2020); their study reiterated the need to educate teachers on </w:t>
      </w:r>
      <w:r w:rsidRPr="007345FC">
        <w:rPr>
          <w:i/>
          <w:iCs/>
        </w:rPr>
        <w:t>how</w:t>
      </w:r>
      <w:r w:rsidRPr="007345FC">
        <w:t xml:space="preserve"> to embed global competency, and to model consciousness to intercultural and global competency.</w:t>
      </w:r>
      <w:r w:rsidR="004F1104">
        <w:t xml:space="preserve">  This focus on process over outcomes was reiterated by Paras, et al, (2019), who also confirmed the importance of the instructional leader in ensuring the process and processing of the group dynamics and intercultural challenges</w:t>
      </w:r>
      <w:r w:rsidR="00B453F5">
        <w:t>.  Indeed,</w:t>
      </w:r>
      <w:r>
        <w:t xml:space="preserve"> s</w:t>
      </w:r>
      <w:r w:rsidRPr="007345FC">
        <w:t xml:space="preserve">cholars have not concluded how best to develop and sustain intercultural competency, and, more particularly, what specific approach should be implemented in an immersion program to maximize the impact of building intercultural competency (Deardorff, 2006; Knight, 2004).  </w:t>
      </w:r>
      <w:r>
        <w:t xml:space="preserve"> </w:t>
      </w:r>
    </w:p>
    <w:p w14:paraId="12B34B41" w14:textId="45DF2236" w:rsidR="0011635C" w:rsidRDefault="0011635C" w:rsidP="0011635C">
      <w:pPr>
        <w:spacing w:line="360" w:lineRule="auto"/>
        <w:ind w:firstLine="720"/>
      </w:pPr>
      <w:r>
        <w:t xml:space="preserve">My </w:t>
      </w:r>
      <w:r w:rsidR="004F1104">
        <w:t xml:space="preserve">research </w:t>
      </w:r>
      <w:r>
        <w:t xml:space="preserve">study </w:t>
      </w:r>
      <w:r w:rsidR="004F1104">
        <w:t>explores the question</w:t>
      </w:r>
      <w:r w:rsidR="004F1104" w:rsidRPr="00B453F5">
        <w:t xml:space="preserve">, </w:t>
      </w:r>
      <w:r w:rsidR="00B453F5">
        <w:rPr>
          <w:i/>
          <w:iCs/>
        </w:rPr>
        <w:t>h</w:t>
      </w:r>
      <w:r w:rsidR="00DB10CC" w:rsidRPr="00B453F5">
        <w:rPr>
          <w:i/>
          <w:iCs/>
        </w:rPr>
        <w:t xml:space="preserve">ow do </w:t>
      </w:r>
      <w:r w:rsidR="0058145C">
        <w:rPr>
          <w:i/>
          <w:iCs/>
        </w:rPr>
        <w:t xml:space="preserve">participating </w:t>
      </w:r>
      <w:r w:rsidR="00DB10CC" w:rsidRPr="00B453F5">
        <w:rPr>
          <w:i/>
          <w:iCs/>
        </w:rPr>
        <w:t>students describe their experience of developing intercultural and global competencies following an international immersion program</w:t>
      </w:r>
      <w:r w:rsidR="0058145C">
        <w:rPr>
          <w:i/>
          <w:iCs/>
        </w:rPr>
        <w:t>.</w:t>
      </w:r>
      <w:r w:rsidR="00DB10CC" w:rsidRPr="00B453F5">
        <w:t xml:space="preserve"> </w:t>
      </w:r>
      <w:r w:rsidR="00B453F5">
        <w:t xml:space="preserve">I focus on </w:t>
      </w:r>
      <w:r>
        <w:t xml:space="preserve">the </w:t>
      </w:r>
      <w:r w:rsidR="004F1104">
        <w:t xml:space="preserve">experiences of five students who participated in different types of immersion programs during high school or university.  </w:t>
      </w:r>
      <w:r w:rsidR="00B453F5">
        <w:t>Using a semi-structured interview, I</w:t>
      </w:r>
      <w:r w:rsidR="0058145C">
        <w:t xml:space="preserve"> </w:t>
      </w:r>
      <w:r w:rsidR="00B453F5">
        <w:t xml:space="preserve">am interested in teasing out the </w:t>
      </w:r>
      <w:r>
        <w:t>components of an</w:t>
      </w:r>
      <w:r w:rsidR="00B453F5">
        <w:t xml:space="preserve"> </w:t>
      </w:r>
      <w:r>
        <w:t xml:space="preserve">immersion program </w:t>
      </w:r>
      <w:r w:rsidR="00B453F5">
        <w:t xml:space="preserve">that a participant found to be most influential in developing their </w:t>
      </w:r>
      <w:r>
        <w:t xml:space="preserve">intercultural and global competencies.  </w:t>
      </w:r>
      <w:r w:rsidRPr="00441DB3">
        <w:t xml:space="preserve">Understanding </w:t>
      </w:r>
      <w:r>
        <w:t xml:space="preserve">and applying </w:t>
      </w:r>
      <w:r w:rsidRPr="00441DB3">
        <w:t xml:space="preserve">the necessary core components of an immersion program will help maximize the development of intercultural and global competencies among </w:t>
      </w:r>
      <w:r w:rsidR="0058145C">
        <w:t>future</w:t>
      </w:r>
      <w:r w:rsidRPr="00441DB3">
        <w:t xml:space="preserve"> participants</w:t>
      </w:r>
      <w:r>
        <w:t xml:space="preserve">.  </w:t>
      </w:r>
    </w:p>
    <w:p w14:paraId="1006B84D" w14:textId="6CD92E06" w:rsidR="00B453F5" w:rsidRDefault="00B453F5" w:rsidP="0011635C">
      <w:pPr>
        <w:spacing w:line="360" w:lineRule="auto"/>
        <w:ind w:firstLine="720"/>
      </w:pPr>
    </w:p>
    <w:p w14:paraId="62C78407" w14:textId="1B20F775" w:rsidR="00B453F5" w:rsidRDefault="00B453F5" w:rsidP="0011635C">
      <w:pPr>
        <w:spacing w:line="360" w:lineRule="auto"/>
        <w:ind w:firstLine="720"/>
      </w:pPr>
    </w:p>
    <w:p w14:paraId="5AC20118" w14:textId="5FB0DB65" w:rsidR="00B453F5" w:rsidRDefault="00B453F5" w:rsidP="0011635C">
      <w:pPr>
        <w:spacing w:line="360" w:lineRule="auto"/>
        <w:ind w:firstLine="720"/>
      </w:pPr>
    </w:p>
    <w:p w14:paraId="16998A57" w14:textId="1B5CEC1F" w:rsidR="00B453F5" w:rsidRDefault="00B453F5" w:rsidP="0058145C">
      <w:pPr>
        <w:spacing w:line="360" w:lineRule="auto"/>
      </w:pPr>
    </w:p>
    <w:p w14:paraId="5AD87DCD" w14:textId="77777777" w:rsidR="002733A7" w:rsidRDefault="00B453F5" w:rsidP="002733A7">
      <w:pPr>
        <w:jc w:val="center"/>
        <w:rPr>
          <w:b/>
          <w:bCs/>
          <w:sz w:val="22"/>
          <w:szCs w:val="22"/>
        </w:rPr>
      </w:pPr>
      <w:r w:rsidRPr="00B36059">
        <w:rPr>
          <w:b/>
          <w:bCs/>
          <w:sz w:val="22"/>
          <w:szCs w:val="22"/>
        </w:rPr>
        <w:lastRenderedPageBreak/>
        <w:t>References</w:t>
      </w:r>
      <w:r w:rsidR="002733A7">
        <w:rPr>
          <w:b/>
          <w:bCs/>
          <w:sz w:val="22"/>
          <w:szCs w:val="22"/>
        </w:rPr>
        <w:t xml:space="preserve"> </w:t>
      </w:r>
    </w:p>
    <w:p w14:paraId="7D23404A" w14:textId="3491DD03" w:rsidR="002733A7" w:rsidRPr="002733A7" w:rsidRDefault="002733A7" w:rsidP="002733A7">
      <w:pPr>
        <w:jc w:val="center"/>
        <w:rPr>
          <w:i/>
          <w:iCs/>
          <w:sz w:val="22"/>
          <w:szCs w:val="22"/>
        </w:rPr>
      </w:pPr>
      <w:r w:rsidRPr="002733A7">
        <w:rPr>
          <w:i/>
          <w:iCs/>
          <w:sz w:val="22"/>
          <w:szCs w:val="22"/>
        </w:rPr>
        <w:t>(</w:t>
      </w:r>
      <w:proofErr w:type="gramStart"/>
      <w:r w:rsidRPr="002733A7">
        <w:rPr>
          <w:i/>
          <w:iCs/>
          <w:sz w:val="22"/>
          <w:szCs w:val="22"/>
        </w:rPr>
        <w:t>partial</w:t>
      </w:r>
      <w:proofErr w:type="gramEnd"/>
      <w:r w:rsidRPr="002733A7">
        <w:rPr>
          <w:i/>
          <w:iCs/>
          <w:sz w:val="22"/>
          <w:szCs w:val="22"/>
        </w:rPr>
        <w:t xml:space="preserve"> list for research paper)</w:t>
      </w:r>
    </w:p>
    <w:p w14:paraId="0573824C" w14:textId="77777777" w:rsidR="00B453F5" w:rsidRPr="00B36059" w:rsidRDefault="00B453F5" w:rsidP="00B453F5">
      <w:pPr>
        <w:rPr>
          <w:sz w:val="22"/>
          <w:szCs w:val="22"/>
        </w:rPr>
      </w:pPr>
    </w:p>
    <w:p w14:paraId="5E93C9F2" w14:textId="77777777" w:rsidR="002733A7" w:rsidRDefault="002733A7" w:rsidP="00B453F5">
      <w:pPr>
        <w:rPr>
          <w:sz w:val="22"/>
          <w:szCs w:val="22"/>
        </w:rPr>
      </w:pPr>
    </w:p>
    <w:p w14:paraId="3B5A440C" w14:textId="3E5F06C7" w:rsidR="00B453F5" w:rsidRPr="00B36059" w:rsidRDefault="00B453F5" w:rsidP="00B453F5">
      <w:pPr>
        <w:rPr>
          <w:sz w:val="22"/>
          <w:szCs w:val="22"/>
        </w:rPr>
      </w:pPr>
      <w:r w:rsidRPr="00B36059">
        <w:rPr>
          <w:sz w:val="22"/>
          <w:szCs w:val="22"/>
        </w:rPr>
        <w:t xml:space="preserve">Ari, L. &amp; </w:t>
      </w:r>
      <w:proofErr w:type="spellStart"/>
      <w:r w:rsidRPr="00B36059">
        <w:rPr>
          <w:sz w:val="22"/>
          <w:szCs w:val="22"/>
        </w:rPr>
        <w:t>Mula</w:t>
      </w:r>
      <w:proofErr w:type="spellEnd"/>
      <w:r w:rsidRPr="00B36059">
        <w:rPr>
          <w:sz w:val="22"/>
          <w:szCs w:val="22"/>
        </w:rPr>
        <w:t xml:space="preserve">, W. (2017). “Us and them”: towards intercultural competence among Jewish and </w:t>
      </w:r>
    </w:p>
    <w:p w14:paraId="10F1612C" w14:textId="77777777" w:rsidR="00B453F5" w:rsidRPr="00B36059" w:rsidRDefault="00B453F5" w:rsidP="00B453F5">
      <w:pPr>
        <w:ind w:left="720"/>
        <w:rPr>
          <w:sz w:val="22"/>
          <w:szCs w:val="22"/>
        </w:rPr>
      </w:pPr>
      <w:r w:rsidRPr="00B36059">
        <w:rPr>
          <w:sz w:val="22"/>
          <w:szCs w:val="22"/>
        </w:rPr>
        <w:t xml:space="preserve">Arab graduate students at Israeli colleges of education. </w:t>
      </w:r>
      <w:r w:rsidRPr="00B36059">
        <w:rPr>
          <w:i/>
          <w:iCs/>
          <w:sz w:val="22"/>
          <w:szCs w:val="22"/>
        </w:rPr>
        <w:t>Higher Education</w:t>
      </w:r>
      <w:r w:rsidRPr="00B36059">
        <w:rPr>
          <w:sz w:val="22"/>
          <w:szCs w:val="22"/>
        </w:rPr>
        <w:t xml:space="preserve">, </w:t>
      </w:r>
      <w:r w:rsidRPr="00B36059">
        <w:rPr>
          <w:i/>
          <w:iCs/>
          <w:sz w:val="22"/>
          <w:szCs w:val="22"/>
        </w:rPr>
        <w:t>74</w:t>
      </w:r>
      <w:r w:rsidRPr="00B36059">
        <w:rPr>
          <w:sz w:val="22"/>
          <w:szCs w:val="22"/>
        </w:rPr>
        <w:t>(6), 979–996. https://doi.org/10.1007/s10734-016-0088-7</w:t>
      </w:r>
    </w:p>
    <w:p w14:paraId="17297C2D" w14:textId="77777777" w:rsidR="00B453F5" w:rsidRPr="00B36059" w:rsidRDefault="00B453F5" w:rsidP="00B453F5">
      <w:pPr>
        <w:pStyle w:val="NoSpacing"/>
        <w:rPr>
          <w:rFonts w:ascii="Times New Roman" w:hAnsi="Times New Roman" w:cs="Times New Roman"/>
          <w:sz w:val="22"/>
          <w:szCs w:val="22"/>
        </w:rPr>
      </w:pPr>
    </w:p>
    <w:p w14:paraId="2D8D7DC0" w14:textId="77777777" w:rsidR="00B453F5" w:rsidRPr="00046A2E" w:rsidRDefault="00B453F5" w:rsidP="00B453F5">
      <w:pPr>
        <w:rPr>
          <w:sz w:val="22"/>
          <w:szCs w:val="22"/>
        </w:rPr>
      </w:pPr>
      <w:r w:rsidRPr="00046A2E">
        <w:rPr>
          <w:sz w:val="22"/>
          <w:szCs w:val="22"/>
        </w:rPr>
        <w:t xml:space="preserve">Bastos, M. &amp; Araujo e Sa, H. (2014). Pathways to teacher education for intercultural </w:t>
      </w:r>
    </w:p>
    <w:p w14:paraId="281DF975" w14:textId="77777777" w:rsidR="00B453F5" w:rsidRPr="00B36059" w:rsidRDefault="00B453F5" w:rsidP="00B453F5">
      <w:pPr>
        <w:ind w:left="720"/>
        <w:rPr>
          <w:sz w:val="22"/>
          <w:szCs w:val="22"/>
        </w:rPr>
      </w:pPr>
      <w:r w:rsidRPr="00046A2E">
        <w:rPr>
          <w:sz w:val="22"/>
          <w:szCs w:val="22"/>
        </w:rPr>
        <w:t xml:space="preserve">communicate competence: teachers’ perceptions. </w:t>
      </w:r>
      <w:r w:rsidRPr="00046A2E">
        <w:rPr>
          <w:i/>
          <w:iCs/>
          <w:sz w:val="22"/>
          <w:szCs w:val="22"/>
        </w:rPr>
        <w:t>The Language Learning Journal</w:t>
      </w:r>
      <w:r w:rsidRPr="00046A2E">
        <w:rPr>
          <w:sz w:val="22"/>
          <w:szCs w:val="22"/>
        </w:rPr>
        <w:t>. 43(2). 131-147. DOI: 10.1080/09571736.2013.869940</w:t>
      </w:r>
    </w:p>
    <w:p w14:paraId="20F7B4A7" w14:textId="77777777" w:rsidR="00B453F5" w:rsidRPr="00B36059" w:rsidRDefault="00B453F5" w:rsidP="00B453F5">
      <w:pPr>
        <w:rPr>
          <w:sz w:val="22"/>
          <w:szCs w:val="22"/>
        </w:rPr>
      </w:pPr>
    </w:p>
    <w:p w14:paraId="59DA3884" w14:textId="77777777" w:rsidR="00B453F5" w:rsidRPr="00B36059" w:rsidRDefault="00B453F5" w:rsidP="00B453F5">
      <w:pPr>
        <w:rPr>
          <w:sz w:val="22"/>
          <w:szCs w:val="22"/>
        </w:rPr>
      </w:pPr>
      <w:r w:rsidRPr="00B36059">
        <w:rPr>
          <w:sz w:val="22"/>
          <w:szCs w:val="22"/>
        </w:rPr>
        <w:t xml:space="preserve">Bennett, M. J. (1993). Towards </w:t>
      </w:r>
      <w:proofErr w:type="spellStart"/>
      <w:r w:rsidRPr="00B36059">
        <w:rPr>
          <w:sz w:val="22"/>
          <w:szCs w:val="22"/>
        </w:rPr>
        <w:t>ethnorelativism</w:t>
      </w:r>
      <w:proofErr w:type="spellEnd"/>
      <w:r w:rsidRPr="00B36059">
        <w:rPr>
          <w:sz w:val="22"/>
          <w:szCs w:val="22"/>
        </w:rPr>
        <w:t xml:space="preserve">: A developmental model of intercultural </w:t>
      </w:r>
    </w:p>
    <w:p w14:paraId="23B71598" w14:textId="77777777" w:rsidR="00B453F5" w:rsidRPr="00B36059" w:rsidRDefault="00B453F5" w:rsidP="00B453F5">
      <w:pPr>
        <w:ind w:left="720"/>
        <w:rPr>
          <w:sz w:val="22"/>
          <w:szCs w:val="22"/>
        </w:rPr>
      </w:pPr>
      <w:r w:rsidRPr="00B36059">
        <w:rPr>
          <w:sz w:val="22"/>
          <w:szCs w:val="22"/>
        </w:rPr>
        <w:t xml:space="preserve">sensitivity. R. Paige (Ed.). </w:t>
      </w:r>
      <w:r w:rsidRPr="00B36059">
        <w:rPr>
          <w:rStyle w:val="Emphasis"/>
          <w:sz w:val="22"/>
          <w:szCs w:val="22"/>
        </w:rPr>
        <w:t xml:space="preserve">Education for the intercultural experience. </w:t>
      </w:r>
      <w:r w:rsidRPr="00B36059">
        <w:rPr>
          <w:sz w:val="22"/>
          <w:szCs w:val="22"/>
        </w:rPr>
        <w:t>21–71. Yarmouth: Intercultural Press.</w:t>
      </w:r>
    </w:p>
    <w:p w14:paraId="41C42270" w14:textId="77777777" w:rsidR="00B453F5" w:rsidRPr="00B36059" w:rsidRDefault="00B453F5" w:rsidP="00B453F5">
      <w:pPr>
        <w:rPr>
          <w:sz w:val="22"/>
          <w:szCs w:val="22"/>
        </w:rPr>
      </w:pPr>
    </w:p>
    <w:p w14:paraId="1C6A01B3" w14:textId="77777777" w:rsidR="00B453F5" w:rsidRPr="004A54DE" w:rsidRDefault="00B453F5" w:rsidP="00B453F5">
      <w:pPr>
        <w:rPr>
          <w:sz w:val="22"/>
          <w:szCs w:val="22"/>
        </w:rPr>
      </w:pPr>
      <w:proofErr w:type="spellStart"/>
      <w:r w:rsidRPr="004A54DE">
        <w:rPr>
          <w:sz w:val="22"/>
          <w:szCs w:val="22"/>
        </w:rPr>
        <w:t>Braskamp</w:t>
      </w:r>
      <w:proofErr w:type="spellEnd"/>
      <w:r w:rsidRPr="004A54DE">
        <w:rPr>
          <w:sz w:val="22"/>
          <w:szCs w:val="22"/>
        </w:rPr>
        <w:t xml:space="preserve">, L. A. (2009). Internationalization in higher education: Four issues to consider. </w:t>
      </w:r>
    </w:p>
    <w:p w14:paraId="29CFEFCB" w14:textId="77777777" w:rsidR="00B453F5" w:rsidRPr="004A54DE" w:rsidRDefault="00B453F5" w:rsidP="00B453F5">
      <w:pPr>
        <w:ind w:firstLine="720"/>
        <w:rPr>
          <w:i/>
          <w:iCs/>
          <w:sz w:val="22"/>
          <w:szCs w:val="22"/>
        </w:rPr>
      </w:pPr>
      <w:r w:rsidRPr="004A54DE">
        <w:rPr>
          <w:i/>
          <w:iCs/>
          <w:sz w:val="22"/>
          <w:szCs w:val="22"/>
        </w:rPr>
        <w:t>Journal of College and Character,</w:t>
      </w:r>
      <w:r w:rsidRPr="004A54DE">
        <w:rPr>
          <w:sz w:val="22"/>
          <w:szCs w:val="22"/>
        </w:rPr>
        <w:t xml:space="preserve"> 10(6), 1-7.</w:t>
      </w:r>
    </w:p>
    <w:p w14:paraId="292F0854" w14:textId="77777777" w:rsidR="00B453F5" w:rsidRPr="00B36059" w:rsidRDefault="00B453F5" w:rsidP="00B453F5">
      <w:pPr>
        <w:rPr>
          <w:sz w:val="22"/>
          <w:szCs w:val="22"/>
        </w:rPr>
      </w:pPr>
    </w:p>
    <w:p w14:paraId="0C5F403B" w14:textId="77777777" w:rsidR="00B453F5" w:rsidRPr="00B36059" w:rsidRDefault="00B453F5" w:rsidP="00B453F5">
      <w:pPr>
        <w:rPr>
          <w:sz w:val="22"/>
          <w:szCs w:val="22"/>
        </w:rPr>
      </w:pPr>
      <w:r w:rsidRPr="00B36059">
        <w:rPr>
          <w:sz w:val="22"/>
          <w:szCs w:val="22"/>
        </w:rPr>
        <w:t xml:space="preserve">Brendel, N., </w:t>
      </w:r>
      <w:proofErr w:type="spellStart"/>
      <w:r w:rsidRPr="00B36059">
        <w:rPr>
          <w:sz w:val="22"/>
          <w:szCs w:val="22"/>
        </w:rPr>
        <w:t>Aksit</w:t>
      </w:r>
      <w:proofErr w:type="spellEnd"/>
      <w:r w:rsidRPr="00B36059">
        <w:rPr>
          <w:sz w:val="22"/>
          <w:szCs w:val="22"/>
        </w:rPr>
        <w:t xml:space="preserve">, F., </w:t>
      </w:r>
      <w:proofErr w:type="spellStart"/>
      <w:r w:rsidRPr="00B36059">
        <w:rPr>
          <w:sz w:val="22"/>
          <w:szCs w:val="22"/>
        </w:rPr>
        <w:t>Aksit</w:t>
      </w:r>
      <w:proofErr w:type="spellEnd"/>
      <w:r w:rsidRPr="00B36059">
        <w:rPr>
          <w:sz w:val="22"/>
          <w:szCs w:val="22"/>
        </w:rPr>
        <w:t xml:space="preserve">, S. &amp; </w:t>
      </w:r>
      <w:proofErr w:type="spellStart"/>
      <w:r w:rsidRPr="00B36059">
        <w:rPr>
          <w:sz w:val="22"/>
          <w:szCs w:val="22"/>
        </w:rPr>
        <w:t>Schrufer</w:t>
      </w:r>
      <w:proofErr w:type="spellEnd"/>
      <w:r w:rsidRPr="00B36059">
        <w:rPr>
          <w:sz w:val="22"/>
          <w:szCs w:val="22"/>
        </w:rPr>
        <w:t xml:space="preserve">, G. (2016). Multicultural group work on field </w:t>
      </w:r>
    </w:p>
    <w:p w14:paraId="3D2FD660" w14:textId="77777777" w:rsidR="00B453F5" w:rsidRPr="00B36059" w:rsidRDefault="00B453F5" w:rsidP="00B453F5">
      <w:pPr>
        <w:ind w:left="720"/>
        <w:rPr>
          <w:sz w:val="22"/>
          <w:szCs w:val="22"/>
        </w:rPr>
      </w:pPr>
      <w:r w:rsidRPr="00B36059">
        <w:rPr>
          <w:sz w:val="22"/>
          <w:szCs w:val="22"/>
        </w:rPr>
        <w:t>excursions to promote student teachers’ intercultural competence. J</w:t>
      </w:r>
      <w:r w:rsidRPr="00B36059">
        <w:rPr>
          <w:i/>
          <w:iCs/>
          <w:sz w:val="22"/>
          <w:szCs w:val="22"/>
        </w:rPr>
        <w:t>ournal of Geography in Higher Education</w:t>
      </w:r>
      <w:r w:rsidRPr="00B36059">
        <w:rPr>
          <w:sz w:val="22"/>
          <w:szCs w:val="22"/>
        </w:rPr>
        <w:t>. 40(2). 284-301. DOI: 10.1080/03098265.2016.1140731</w:t>
      </w:r>
    </w:p>
    <w:p w14:paraId="6F3FEA87" w14:textId="77777777" w:rsidR="00B453F5" w:rsidRPr="00B36059" w:rsidRDefault="00B453F5" w:rsidP="00B453F5">
      <w:pPr>
        <w:rPr>
          <w:sz w:val="22"/>
          <w:szCs w:val="22"/>
        </w:rPr>
      </w:pPr>
    </w:p>
    <w:p w14:paraId="02152C17" w14:textId="77777777" w:rsidR="00B453F5" w:rsidRPr="00B36059" w:rsidRDefault="00B453F5" w:rsidP="00B453F5">
      <w:pPr>
        <w:rPr>
          <w:sz w:val="22"/>
          <w:szCs w:val="22"/>
        </w:rPr>
      </w:pPr>
      <w:r w:rsidRPr="00B36059">
        <w:rPr>
          <w:sz w:val="22"/>
          <w:szCs w:val="22"/>
        </w:rPr>
        <w:t xml:space="preserve">Byram, M. (1997). </w:t>
      </w:r>
      <w:r w:rsidRPr="00B36059">
        <w:rPr>
          <w:i/>
          <w:iCs/>
          <w:sz w:val="22"/>
          <w:szCs w:val="22"/>
        </w:rPr>
        <w:t>Teaching and assessing intercultural communicative competence.</w:t>
      </w:r>
      <w:r w:rsidRPr="00B36059">
        <w:rPr>
          <w:sz w:val="22"/>
          <w:szCs w:val="22"/>
        </w:rPr>
        <w:t xml:space="preserve"> </w:t>
      </w:r>
      <w:proofErr w:type="spellStart"/>
      <w:r w:rsidRPr="00B36059">
        <w:rPr>
          <w:sz w:val="22"/>
          <w:szCs w:val="22"/>
        </w:rPr>
        <w:t>Clevedon</w:t>
      </w:r>
      <w:proofErr w:type="spellEnd"/>
      <w:r w:rsidRPr="00B36059">
        <w:rPr>
          <w:sz w:val="22"/>
          <w:szCs w:val="22"/>
        </w:rPr>
        <w:t xml:space="preserve">: </w:t>
      </w:r>
    </w:p>
    <w:p w14:paraId="01492954" w14:textId="77777777" w:rsidR="00B453F5" w:rsidRPr="00B36059" w:rsidRDefault="00B453F5" w:rsidP="00B453F5">
      <w:pPr>
        <w:ind w:firstLine="720"/>
        <w:rPr>
          <w:sz w:val="22"/>
          <w:szCs w:val="22"/>
        </w:rPr>
      </w:pPr>
      <w:r w:rsidRPr="00B36059">
        <w:rPr>
          <w:sz w:val="22"/>
          <w:szCs w:val="22"/>
        </w:rPr>
        <w:t xml:space="preserve">Multilingual Matters. </w:t>
      </w:r>
    </w:p>
    <w:p w14:paraId="6EC32D1E" w14:textId="77777777" w:rsidR="00B453F5" w:rsidRPr="00B36059" w:rsidRDefault="00B453F5" w:rsidP="00B453F5">
      <w:pPr>
        <w:rPr>
          <w:sz w:val="22"/>
          <w:szCs w:val="22"/>
        </w:rPr>
      </w:pPr>
    </w:p>
    <w:p w14:paraId="50A6D22D" w14:textId="77777777" w:rsidR="00B453F5" w:rsidRPr="00B36059" w:rsidRDefault="00B453F5" w:rsidP="00B453F5">
      <w:pPr>
        <w:rPr>
          <w:sz w:val="22"/>
          <w:szCs w:val="22"/>
        </w:rPr>
      </w:pPr>
      <w:r w:rsidRPr="00B36059">
        <w:rPr>
          <w:sz w:val="22"/>
          <w:szCs w:val="22"/>
        </w:rPr>
        <w:t xml:space="preserve">Che, S.M., Spearman, M. &amp; </w:t>
      </w:r>
      <w:proofErr w:type="spellStart"/>
      <w:r w:rsidRPr="00B36059">
        <w:rPr>
          <w:sz w:val="22"/>
          <w:szCs w:val="22"/>
        </w:rPr>
        <w:t>Manizade</w:t>
      </w:r>
      <w:proofErr w:type="spellEnd"/>
      <w:r w:rsidRPr="00B36059">
        <w:rPr>
          <w:sz w:val="22"/>
          <w:szCs w:val="22"/>
        </w:rPr>
        <w:t xml:space="preserve">, A. (2009). Cognitive and emotional development through </w:t>
      </w:r>
    </w:p>
    <w:p w14:paraId="2AD9DFF1" w14:textId="77777777" w:rsidR="00B453F5" w:rsidRPr="00B36059" w:rsidRDefault="00B453F5" w:rsidP="00B453F5">
      <w:pPr>
        <w:ind w:left="720"/>
        <w:rPr>
          <w:sz w:val="22"/>
          <w:szCs w:val="22"/>
        </w:rPr>
      </w:pPr>
      <w:r w:rsidRPr="00B36059">
        <w:rPr>
          <w:sz w:val="22"/>
          <w:szCs w:val="22"/>
        </w:rPr>
        <w:t xml:space="preserve">dissonant experiences in less familiar destinations. </w:t>
      </w:r>
      <w:r w:rsidRPr="00B36059">
        <w:rPr>
          <w:i/>
          <w:iCs/>
          <w:sz w:val="22"/>
          <w:szCs w:val="22"/>
        </w:rPr>
        <w:t xml:space="preserve">The Handbook of Practice and Research in Study Abroad. </w:t>
      </w:r>
      <w:r w:rsidRPr="00B36059">
        <w:rPr>
          <w:sz w:val="22"/>
          <w:szCs w:val="22"/>
        </w:rPr>
        <w:t>Ross Lewin, Ed. Routledge. 151-169.</w:t>
      </w:r>
    </w:p>
    <w:p w14:paraId="0370E0FE" w14:textId="77777777" w:rsidR="00B453F5" w:rsidRPr="00B36059" w:rsidRDefault="00B453F5" w:rsidP="00B453F5">
      <w:pPr>
        <w:pStyle w:val="font8"/>
        <w:contextualSpacing/>
        <w:rPr>
          <w:sz w:val="22"/>
          <w:szCs w:val="22"/>
        </w:rPr>
      </w:pPr>
      <w:r w:rsidRPr="00B36059">
        <w:rPr>
          <w:sz w:val="22"/>
          <w:szCs w:val="22"/>
        </w:rPr>
        <w:t xml:space="preserve">Crawford, E., Higgins, H. &amp; Hilburn, J. (2020). Using a global competency model in an </w:t>
      </w:r>
    </w:p>
    <w:p w14:paraId="1C742BD8" w14:textId="77777777" w:rsidR="00B453F5" w:rsidRPr="00B36059" w:rsidRDefault="00B453F5" w:rsidP="00B453F5">
      <w:pPr>
        <w:pStyle w:val="font8"/>
        <w:ind w:left="720"/>
        <w:contextualSpacing/>
        <w:rPr>
          <w:sz w:val="22"/>
          <w:szCs w:val="22"/>
        </w:rPr>
      </w:pPr>
      <w:r w:rsidRPr="00B36059">
        <w:rPr>
          <w:sz w:val="22"/>
          <w:szCs w:val="22"/>
        </w:rPr>
        <w:t xml:space="preserve">instructional design course before social studies methods: A developmental approach to global teacher education. </w:t>
      </w:r>
      <w:r w:rsidRPr="00B36059">
        <w:rPr>
          <w:i/>
          <w:iCs/>
          <w:sz w:val="22"/>
          <w:szCs w:val="22"/>
        </w:rPr>
        <w:t>The Journal of Social Studies Research.</w:t>
      </w:r>
      <w:r w:rsidRPr="00B36059">
        <w:rPr>
          <w:sz w:val="22"/>
          <w:szCs w:val="22"/>
        </w:rPr>
        <w:t xml:space="preserve"> 44, 367-381.</w:t>
      </w:r>
    </w:p>
    <w:p w14:paraId="2FC2C075" w14:textId="77777777" w:rsidR="00B453F5" w:rsidRPr="00B36059" w:rsidRDefault="00B453F5" w:rsidP="00B453F5">
      <w:pPr>
        <w:pStyle w:val="font8"/>
        <w:contextualSpacing/>
        <w:rPr>
          <w:sz w:val="22"/>
          <w:szCs w:val="22"/>
        </w:rPr>
      </w:pPr>
    </w:p>
    <w:p w14:paraId="5D5E0AD0" w14:textId="77777777" w:rsidR="00B453F5" w:rsidRPr="00B36059" w:rsidRDefault="00B453F5" w:rsidP="00B453F5">
      <w:pPr>
        <w:pStyle w:val="font8"/>
        <w:contextualSpacing/>
        <w:rPr>
          <w:i/>
          <w:iCs/>
          <w:sz w:val="22"/>
          <w:szCs w:val="22"/>
        </w:rPr>
      </w:pPr>
      <w:proofErr w:type="spellStart"/>
      <w:r w:rsidRPr="00B36059">
        <w:rPr>
          <w:sz w:val="22"/>
          <w:szCs w:val="22"/>
        </w:rPr>
        <w:t>Cushner</w:t>
      </w:r>
      <w:proofErr w:type="spellEnd"/>
      <w:r w:rsidRPr="00B36059">
        <w:rPr>
          <w:sz w:val="22"/>
          <w:szCs w:val="22"/>
        </w:rPr>
        <w:t xml:space="preserve">, K. (2009). The role of study abroad in preparing globally responsible teachers. </w:t>
      </w:r>
      <w:r w:rsidRPr="00B36059">
        <w:rPr>
          <w:i/>
          <w:iCs/>
          <w:sz w:val="22"/>
          <w:szCs w:val="22"/>
        </w:rPr>
        <w:t xml:space="preserve">The </w:t>
      </w:r>
    </w:p>
    <w:p w14:paraId="7BD1C43F" w14:textId="77777777" w:rsidR="00B453F5" w:rsidRPr="00B36059" w:rsidRDefault="00B453F5" w:rsidP="00B453F5">
      <w:pPr>
        <w:pStyle w:val="font8"/>
        <w:ind w:left="720"/>
        <w:contextualSpacing/>
        <w:rPr>
          <w:sz w:val="22"/>
          <w:szCs w:val="22"/>
        </w:rPr>
      </w:pPr>
      <w:r w:rsidRPr="00B36059">
        <w:rPr>
          <w:i/>
          <w:iCs/>
          <w:sz w:val="22"/>
          <w:szCs w:val="22"/>
        </w:rPr>
        <w:t>Handbook of Practice and Research in Study Abroad</w:t>
      </w:r>
      <w:r w:rsidRPr="00B36059">
        <w:rPr>
          <w:sz w:val="22"/>
          <w:szCs w:val="22"/>
        </w:rPr>
        <w:t>. Ross Lewin, Ed. Routledge. 151-169.</w:t>
      </w:r>
    </w:p>
    <w:p w14:paraId="39629A4D" w14:textId="77777777" w:rsidR="00B453F5" w:rsidRPr="00B36059" w:rsidRDefault="00B453F5" w:rsidP="00B453F5">
      <w:pPr>
        <w:pStyle w:val="font8"/>
        <w:contextualSpacing/>
        <w:rPr>
          <w:i/>
          <w:iCs/>
          <w:sz w:val="22"/>
          <w:szCs w:val="22"/>
        </w:rPr>
      </w:pPr>
    </w:p>
    <w:p w14:paraId="16C647BA" w14:textId="77777777" w:rsidR="00B453F5" w:rsidRPr="00EB3B84" w:rsidRDefault="00B453F5" w:rsidP="00B453F5">
      <w:pPr>
        <w:pStyle w:val="font8"/>
        <w:contextualSpacing/>
        <w:rPr>
          <w:sz w:val="22"/>
          <w:szCs w:val="22"/>
        </w:rPr>
      </w:pPr>
      <w:proofErr w:type="spellStart"/>
      <w:r w:rsidRPr="00EB3B84">
        <w:rPr>
          <w:sz w:val="22"/>
          <w:szCs w:val="22"/>
        </w:rPr>
        <w:t>Cushner</w:t>
      </w:r>
      <w:proofErr w:type="spellEnd"/>
      <w:r w:rsidRPr="00EB3B84">
        <w:rPr>
          <w:sz w:val="22"/>
          <w:szCs w:val="22"/>
        </w:rPr>
        <w:t xml:space="preserve">, K. (2012). Intercultural research in teacher education: An essential intersection in the </w:t>
      </w:r>
    </w:p>
    <w:p w14:paraId="4FBA768C" w14:textId="77777777" w:rsidR="00B453F5" w:rsidRPr="00EB3B84" w:rsidRDefault="00B453F5" w:rsidP="00B453F5">
      <w:pPr>
        <w:pStyle w:val="font8"/>
        <w:ind w:left="720"/>
        <w:contextualSpacing/>
        <w:rPr>
          <w:sz w:val="22"/>
          <w:szCs w:val="22"/>
        </w:rPr>
      </w:pPr>
      <w:r w:rsidRPr="00EB3B84">
        <w:rPr>
          <w:sz w:val="22"/>
          <w:szCs w:val="22"/>
        </w:rPr>
        <w:t xml:space="preserve">preparation of globally competent teachers. </w:t>
      </w:r>
      <w:r w:rsidRPr="00EB3B84">
        <w:rPr>
          <w:i/>
          <w:iCs/>
          <w:sz w:val="22"/>
          <w:szCs w:val="22"/>
        </w:rPr>
        <w:t>Action in Teacher Education</w:t>
      </w:r>
      <w:r w:rsidRPr="00EB3B84">
        <w:rPr>
          <w:sz w:val="22"/>
          <w:szCs w:val="22"/>
        </w:rPr>
        <w:t>. 33(5-6). 601-614. DOI: 10.1080/016266202011.627306</w:t>
      </w:r>
    </w:p>
    <w:p w14:paraId="3F62B9BE" w14:textId="77777777" w:rsidR="00B453F5" w:rsidRPr="00B36059" w:rsidRDefault="00B453F5" w:rsidP="00B453F5">
      <w:pPr>
        <w:pStyle w:val="font8"/>
        <w:contextualSpacing/>
        <w:rPr>
          <w:sz w:val="22"/>
          <w:szCs w:val="22"/>
        </w:rPr>
      </w:pPr>
    </w:p>
    <w:p w14:paraId="497C828B" w14:textId="77777777" w:rsidR="00B453F5" w:rsidRPr="00B36059" w:rsidRDefault="00B453F5" w:rsidP="00B453F5">
      <w:pPr>
        <w:pStyle w:val="font8"/>
        <w:contextualSpacing/>
        <w:rPr>
          <w:sz w:val="22"/>
          <w:szCs w:val="22"/>
        </w:rPr>
      </w:pPr>
      <w:r w:rsidRPr="00B36059">
        <w:rPr>
          <w:sz w:val="22"/>
          <w:szCs w:val="22"/>
        </w:rPr>
        <w:t xml:space="preserve">Deardorff, D. (2006). Identification and assessment of intercultural competence as a student </w:t>
      </w:r>
    </w:p>
    <w:p w14:paraId="48A8E424" w14:textId="77777777" w:rsidR="00B453F5" w:rsidRPr="00B36059" w:rsidRDefault="00B453F5" w:rsidP="00B453F5">
      <w:pPr>
        <w:pStyle w:val="font8"/>
        <w:ind w:left="720"/>
        <w:contextualSpacing/>
        <w:rPr>
          <w:sz w:val="22"/>
          <w:szCs w:val="22"/>
        </w:rPr>
      </w:pPr>
      <w:r w:rsidRPr="00B36059">
        <w:rPr>
          <w:sz w:val="22"/>
          <w:szCs w:val="22"/>
        </w:rPr>
        <w:t xml:space="preserve">outcome of internationalization.  </w:t>
      </w:r>
      <w:r w:rsidRPr="00B36059">
        <w:rPr>
          <w:i/>
          <w:iCs/>
          <w:sz w:val="22"/>
          <w:szCs w:val="22"/>
        </w:rPr>
        <w:t>Association for Studies in International Education.</w:t>
      </w:r>
      <w:r w:rsidRPr="00B36059">
        <w:rPr>
          <w:sz w:val="22"/>
          <w:szCs w:val="22"/>
        </w:rPr>
        <w:t xml:space="preserve"> 10(3). 241-266. DOI: 10.1177/1028315306287002</w:t>
      </w:r>
    </w:p>
    <w:p w14:paraId="12450429" w14:textId="77777777" w:rsidR="00B453F5" w:rsidRPr="00B36059" w:rsidRDefault="00B453F5" w:rsidP="00B453F5">
      <w:pPr>
        <w:rPr>
          <w:sz w:val="22"/>
          <w:szCs w:val="22"/>
        </w:rPr>
      </w:pPr>
      <w:proofErr w:type="spellStart"/>
      <w:r w:rsidRPr="00B36059">
        <w:rPr>
          <w:sz w:val="22"/>
          <w:szCs w:val="22"/>
        </w:rPr>
        <w:t>DeJaeghere</w:t>
      </w:r>
      <w:proofErr w:type="spellEnd"/>
      <w:r w:rsidRPr="00B36059">
        <w:rPr>
          <w:sz w:val="22"/>
          <w:szCs w:val="22"/>
        </w:rPr>
        <w:t xml:space="preserve">, J. &amp; Cao, Y. (2009). Developing U.S. teachers’ intercultural competence: Does </w:t>
      </w:r>
    </w:p>
    <w:p w14:paraId="7CBD4C84" w14:textId="77777777" w:rsidR="00B453F5" w:rsidRPr="00B36059" w:rsidRDefault="00B453F5" w:rsidP="00B453F5">
      <w:pPr>
        <w:ind w:left="720"/>
        <w:rPr>
          <w:sz w:val="22"/>
          <w:szCs w:val="22"/>
        </w:rPr>
      </w:pPr>
      <w:r w:rsidRPr="00B36059">
        <w:rPr>
          <w:sz w:val="22"/>
          <w:szCs w:val="22"/>
        </w:rPr>
        <w:t xml:space="preserve">professional development matter? </w:t>
      </w:r>
      <w:r w:rsidRPr="00B36059">
        <w:rPr>
          <w:i/>
          <w:iCs/>
          <w:sz w:val="22"/>
          <w:szCs w:val="22"/>
        </w:rPr>
        <w:t>International Journal of Intercultural Relations</w:t>
      </w:r>
      <w:r w:rsidRPr="00B36059">
        <w:rPr>
          <w:sz w:val="22"/>
          <w:szCs w:val="22"/>
        </w:rPr>
        <w:t>. 33, 437–447.</w:t>
      </w:r>
    </w:p>
    <w:p w14:paraId="1DEA9330" w14:textId="77777777" w:rsidR="002733A7" w:rsidRDefault="002733A7" w:rsidP="00B453F5">
      <w:pPr>
        <w:pStyle w:val="font8"/>
        <w:contextualSpacing/>
        <w:rPr>
          <w:sz w:val="22"/>
          <w:szCs w:val="22"/>
        </w:rPr>
      </w:pPr>
    </w:p>
    <w:p w14:paraId="41575AC1" w14:textId="77777777" w:rsidR="002733A7" w:rsidRDefault="002733A7" w:rsidP="00B453F5">
      <w:pPr>
        <w:pStyle w:val="font8"/>
        <w:contextualSpacing/>
        <w:rPr>
          <w:sz w:val="22"/>
          <w:szCs w:val="22"/>
        </w:rPr>
      </w:pPr>
    </w:p>
    <w:p w14:paraId="6973E780" w14:textId="4B1D6277" w:rsidR="00B453F5" w:rsidRDefault="00B453F5" w:rsidP="00B453F5">
      <w:pPr>
        <w:pStyle w:val="font8"/>
        <w:contextualSpacing/>
        <w:rPr>
          <w:sz w:val="22"/>
          <w:szCs w:val="22"/>
        </w:rPr>
      </w:pPr>
      <w:r>
        <w:rPr>
          <w:sz w:val="22"/>
          <w:szCs w:val="22"/>
        </w:rPr>
        <w:lastRenderedPageBreak/>
        <w:t xml:space="preserve">Hammer, M.R. (2009). The intercultural development inventory (IDI): An approach for assessing and </w:t>
      </w:r>
    </w:p>
    <w:p w14:paraId="1A78E3BB" w14:textId="3C0A127C" w:rsidR="00B453F5" w:rsidRDefault="00B453F5" w:rsidP="00B453F5">
      <w:pPr>
        <w:pStyle w:val="font8"/>
        <w:ind w:left="720"/>
        <w:contextualSpacing/>
        <w:rPr>
          <w:sz w:val="22"/>
          <w:szCs w:val="22"/>
        </w:rPr>
      </w:pPr>
      <w:r>
        <w:rPr>
          <w:sz w:val="22"/>
          <w:szCs w:val="22"/>
        </w:rPr>
        <w:t xml:space="preserve">building intercultural competence. </w:t>
      </w:r>
      <w:proofErr w:type="spellStart"/>
      <w:r>
        <w:rPr>
          <w:sz w:val="22"/>
          <w:szCs w:val="22"/>
        </w:rPr>
        <w:t>Moodian</w:t>
      </w:r>
      <w:proofErr w:type="spellEnd"/>
      <w:r>
        <w:rPr>
          <w:sz w:val="22"/>
          <w:szCs w:val="22"/>
        </w:rPr>
        <w:t xml:space="preserve">, M (Ed.). </w:t>
      </w:r>
      <w:r w:rsidRPr="00B453F5">
        <w:rPr>
          <w:i/>
          <w:iCs/>
          <w:sz w:val="22"/>
          <w:szCs w:val="22"/>
        </w:rPr>
        <w:t>Contemporary Leadership and Intercultural Competence: Understanding and Utilizing Cultural Diversity to Build Successful Organizations</w:t>
      </w:r>
      <w:r>
        <w:rPr>
          <w:sz w:val="22"/>
          <w:szCs w:val="22"/>
        </w:rPr>
        <w:t>.  Sage: Thousand Oaks, CA.</w:t>
      </w:r>
    </w:p>
    <w:p w14:paraId="6C997E63" w14:textId="77777777" w:rsidR="00B453F5" w:rsidRDefault="00B453F5" w:rsidP="00B453F5">
      <w:pPr>
        <w:pStyle w:val="font8"/>
        <w:contextualSpacing/>
        <w:rPr>
          <w:sz w:val="22"/>
          <w:szCs w:val="22"/>
        </w:rPr>
      </w:pPr>
    </w:p>
    <w:p w14:paraId="052D69EE" w14:textId="2AC5429E" w:rsidR="00B453F5" w:rsidRPr="00B36059" w:rsidRDefault="00B453F5" w:rsidP="00B453F5">
      <w:pPr>
        <w:pStyle w:val="font8"/>
        <w:contextualSpacing/>
        <w:rPr>
          <w:sz w:val="22"/>
          <w:szCs w:val="22"/>
        </w:rPr>
      </w:pPr>
      <w:r w:rsidRPr="00B36059">
        <w:rPr>
          <w:sz w:val="22"/>
          <w:szCs w:val="22"/>
        </w:rPr>
        <w:t xml:space="preserve">Hammer, M.R., Bennett, M.J, &amp; Wiseman, R. (2003). Measuring intercultural sensitivity: The </w:t>
      </w:r>
    </w:p>
    <w:p w14:paraId="3A457A3F" w14:textId="77777777" w:rsidR="00B453F5" w:rsidRPr="00B36059" w:rsidRDefault="00B453F5" w:rsidP="00B453F5">
      <w:pPr>
        <w:pStyle w:val="font8"/>
        <w:ind w:left="720"/>
        <w:contextualSpacing/>
        <w:rPr>
          <w:sz w:val="22"/>
          <w:szCs w:val="22"/>
        </w:rPr>
      </w:pPr>
      <w:r w:rsidRPr="00B36059">
        <w:rPr>
          <w:sz w:val="22"/>
          <w:szCs w:val="22"/>
        </w:rPr>
        <w:t xml:space="preserve">intercultural development inventory. </w:t>
      </w:r>
      <w:r w:rsidRPr="00B36059">
        <w:rPr>
          <w:i/>
          <w:iCs/>
          <w:sz w:val="22"/>
          <w:szCs w:val="22"/>
        </w:rPr>
        <w:t>International Journal of Intercultural Relations</w:t>
      </w:r>
      <w:r w:rsidRPr="00B36059">
        <w:rPr>
          <w:sz w:val="22"/>
          <w:szCs w:val="22"/>
        </w:rPr>
        <w:t>. 27</w:t>
      </w:r>
      <w:r>
        <w:rPr>
          <w:sz w:val="22"/>
          <w:szCs w:val="22"/>
        </w:rPr>
        <w:t>,</w:t>
      </w:r>
      <w:r w:rsidRPr="00B36059">
        <w:rPr>
          <w:sz w:val="22"/>
          <w:szCs w:val="22"/>
        </w:rPr>
        <w:t xml:space="preserve"> 421-443.  DOI: 10.1016/S0147-1767(03)00032-4</w:t>
      </w:r>
    </w:p>
    <w:p w14:paraId="4A05EE51" w14:textId="77777777" w:rsidR="00B453F5" w:rsidRDefault="00B453F5" w:rsidP="00B453F5">
      <w:pPr>
        <w:rPr>
          <w:sz w:val="22"/>
          <w:szCs w:val="22"/>
        </w:rPr>
      </w:pPr>
      <w:r>
        <w:rPr>
          <w:sz w:val="22"/>
          <w:szCs w:val="22"/>
        </w:rPr>
        <w:t xml:space="preserve">Jessup-Anger, J.E. &amp; </w:t>
      </w:r>
      <w:proofErr w:type="spellStart"/>
      <w:r>
        <w:rPr>
          <w:sz w:val="22"/>
          <w:szCs w:val="22"/>
        </w:rPr>
        <w:t>Aragones</w:t>
      </w:r>
      <w:proofErr w:type="spellEnd"/>
      <w:r>
        <w:rPr>
          <w:sz w:val="22"/>
          <w:szCs w:val="22"/>
        </w:rPr>
        <w:t xml:space="preserve">, A. (2013). Students peer interactions within a cohort and in host </w:t>
      </w:r>
    </w:p>
    <w:p w14:paraId="3B288AF3" w14:textId="0852229F" w:rsidR="00B453F5" w:rsidRDefault="00B453F5" w:rsidP="002733A7">
      <w:pPr>
        <w:ind w:left="720"/>
        <w:rPr>
          <w:sz w:val="22"/>
          <w:szCs w:val="22"/>
        </w:rPr>
      </w:pPr>
      <w:r>
        <w:rPr>
          <w:sz w:val="22"/>
          <w:szCs w:val="22"/>
        </w:rPr>
        <w:t xml:space="preserve">countries during a short-term study abroad. </w:t>
      </w:r>
      <w:r w:rsidRPr="00B453F5">
        <w:rPr>
          <w:i/>
          <w:iCs/>
          <w:sz w:val="22"/>
          <w:szCs w:val="22"/>
        </w:rPr>
        <w:t>Journal of Student Affairs Research</w:t>
      </w:r>
      <w:r>
        <w:rPr>
          <w:sz w:val="22"/>
          <w:szCs w:val="22"/>
        </w:rPr>
        <w:t>. 50(1), 21-36.</w:t>
      </w:r>
      <w:r w:rsidR="002733A7">
        <w:rPr>
          <w:sz w:val="22"/>
          <w:szCs w:val="22"/>
        </w:rPr>
        <w:t xml:space="preserve">  DOI: 10.1515/jsarp-2013-0002.</w:t>
      </w:r>
    </w:p>
    <w:p w14:paraId="22D68FC8" w14:textId="1C56C13A" w:rsidR="00B453F5" w:rsidRDefault="00B453F5" w:rsidP="00B453F5">
      <w:pPr>
        <w:rPr>
          <w:sz w:val="22"/>
          <w:szCs w:val="22"/>
        </w:rPr>
      </w:pPr>
    </w:p>
    <w:p w14:paraId="0D136B8C" w14:textId="77777777" w:rsidR="00B453F5" w:rsidRDefault="00B453F5" w:rsidP="00B453F5">
      <w:pPr>
        <w:rPr>
          <w:sz w:val="22"/>
          <w:szCs w:val="22"/>
        </w:rPr>
      </w:pPr>
      <w:r>
        <w:rPr>
          <w:sz w:val="22"/>
          <w:szCs w:val="22"/>
        </w:rPr>
        <w:t xml:space="preserve">Jones, S., Niehaus, E., Rowan-Kenyon, H., </w:t>
      </w:r>
      <w:proofErr w:type="spellStart"/>
      <w:r>
        <w:rPr>
          <w:sz w:val="22"/>
          <w:szCs w:val="22"/>
        </w:rPr>
        <w:t>Skendall</w:t>
      </w:r>
      <w:proofErr w:type="spellEnd"/>
      <w:r>
        <w:rPr>
          <w:sz w:val="22"/>
          <w:szCs w:val="22"/>
        </w:rPr>
        <w:t xml:space="preserve">, K. &amp; Ireland, S.M. (2012). The meaning students </w:t>
      </w:r>
    </w:p>
    <w:p w14:paraId="473F922E" w14:textId="69CD8926" w:rsidR="00B453F5" w:rsidRDefault="00B453F5" w:rsidP="00B453F5">
      <w:pPr>
        <w:ind w:left="720"/>
        <w:rPr>
          <w:sz w:val="22"/>
          <w:szCs w:val="22"/>
        </w:rPr>
      </w:pPr>
      <w:r>
        <w:rPr>
          <w:sz w:val="22"/>
          <w:szCs w:val="22"/>
        </w:rPr>
        <w:t xml:space="preserve">make as participants in short-term immersion programs. </w:t>
      </w:r>
      <w:r w:rsidRPr="00B453F5">
        <w:rPr>
          <w:i/>
          <w:iCs/>
          <w:sz w:val="22"/>
          <w:szCs w:val="22"/>
        </w:rPr>
        <w:t>Journal of College Student Development</w:t>
      </w:r>
      <w:r>
        <w:rPr>
          <w:sz w:val="22"/>
          <w:szCs w:val="22"/>
        </w:rPr>
        <w:t>. 53(2), 201-220.</w:t>
      </w:r>
    </w:p>
    <w:p w14:paraId="23B3F3D7" w14:textId="77777777" w:rsidR="00B453F5" w:rsidRDefault="00B453F5" w:rsidP="00B453F5">
      <w:pPr>
        <w:rPr>
          <w:sz w:val="22"/>
          <w:szCs w:val="22"/>
        </w:rPr>
      </w:pPr>
    </w:p>
    <w:p w14:paraId="166F91DD" w14:textId="1D676C56" w:rsidR="00B453F5" w:rsidRPr="00B36059" w:rsidRDefault="00B453F5" w:rsidP="00B453F5">
      <w:pPr>
        <w:rPr>
          <w:sz w:val="22"/>
          <w:szCs w:val="22"/>
        </w:rPr>
      </w:pPr>
      <w:proofErr w:type="spellStart"/>
      <w:r w:rsidRPr="00B36059">
        <w:rPr>
          <w:sz w:val="22"/>
          <w:szCs w:val="22"/>
        </w:rPr>
        <w:t>Kerkhoff</w:t>
      </w:r>
      <w:proofErr w:type="spellEnd"/>
      <w:r w:rsidRPr="00B36059">
        <w:rPr>
          <w:sz w:val="22"/>
          <w:szCs w:val="22"/>
        </w:rPr>
        <w:t xml:space="preserve">, S. &amp; Cloud, M. (2020). Equipping teachers with globally competent practices: A </w:t>
      </w:r>
    </w:p>
    <w:p w14:paraId="513B8FFE" w14:textId="77777777" w:rsidR="00B453F5" w:rsidRPr="00B36059" w:rsidRDefault="00B453F5" w:rsidP="00B453F5">
      <w:pPr>
        <w:ind w:left="720"/>
        <w:rPr>
          <w:sz w:val="22"/>
          <w:szCs w:val="22"/>
        </w:rPr>
      </w:pPr>
      <w:r w:rsidRPr="00B36059">
        <w:rPr>
          <w:sz w:val="22"/>
          <w:szCs w:val="22"/>
        </w:rPr>
        <w:t xml:space="preserve">mixed methods study on integrating global competence and teacher education. </w:t>
      </w:r>
      <w:r w:rsidRPr="00B36059">
        <w:rPr>
          <w:i/>
          <w:iCs/>
          <w:sz w:val="22"/>
          <w:szCs w:val="22"/>
        </w:rPr>
        <w:t>International Journal of Educational Research</w:t>
      </w:r>
      <w:r w:rsidRPr="00B36059">
        <w:rPr>
          <w:sz w:val="22"/>
          <w:szCs w:val="22"/>
        </w:rPr>
        <w:t>. 103.</w:t>
      </w:r>
    </w:p>
    <w:p w14:paraId="750FF2C4" w14:textId="77777777" w:rsidR="00B453F5" w:rsidRPr="00B36059" w:rsidRDefault="00B453F5" w:rsidP="00B453F5">
      <w:pPr>
        <w:pStyle w:val="NoSpacing"/>
        <w:rPr>
          <w:rFonts w:ascii="Times New Roman" w:hAnsi="Times New Roman" w:cs="Times New Roman"/>
          <w:sz w:val="22"/>
          <w:szCs w:val="22"/>
        </w:rPr>
      </w:pPr>
    </w:p>
    <w:p w14:paraId="7FE12DD4" w14:textId="77777777" w:rsidR="00B453F5" w:rsidRPr="00B36059" w:rsidRDefault="00B453F5" w:rsidP="00B453F5">
      <w:pPr>
        <w:rPr>
          <w:sz w:val="22"/>
          <w:szCs w:val="22"/>
        </w:rPr>
      </w:pPr>
      <w:r w:rsidRPr="00B36059">
        <w:rPr>
          <w:sz w:val="22"/>
          <w:szCs w:val="22"/>
        </w:rPr>
        <w:t xml:space="preserve">Knight, J. (2004). Internationalization remodeled: Definition, approaches, and rationales. </w:t>
      </w:r>
    </w:p>
    <w:p w14:paraId="7CA81C1E" w14:textId="77777777" w:rsidR="00B453F5" w:rsidRPr="00B36059" w:rsidRDefault="00B453F5" w:rsidP="00B453F5">
      <w:pPr>
        <w:ind w:left="720"/>
        <w:rPr>
          <w:sz w:val="22"/>
          <w:szCs w:val="22"/>
        </w:rPr>
      </w:pPr>
      <w:r w:rsidRPr="00B36059">
        <w:rPr>
          <w:sz w:val="22"/>
          <w:szCs w:val="22"/>
        </w:rPr>
        <w:t>Journal of Studies in International Education. 8(1), 5-31.  DOI: 10.1177/1028315303260832.</w:t>
      </w:r>
    </w:p>
    <w:p w14:paraId="584B9FB6" w14:textId="77777777" w:rsidR="00B453F5" w:rsidRPr="00B36059" w:rsidRDefault="00B453F5" w:rsidP="00B453F5">
      <w:pPr>
        <w:rPr>
          <w:sz w:val="22"/>
          <w:szCs w:val="22"/>
        </w:rPr>
      </w:pPr>
    </w:p>
    <w:p w14:paraId="65622E2C" w14:textId="77777777" w:rsidR="00B453F5" w:rsidRDefault="00B453F5" w:rsidP="00B453F5">
      <w:pPr>
        <w:rPr>
          <w:sz w:val="22"/>
          <w:szCs w:val="22"/>
        </w:rPr>
      </w:pPr>
      <w:proofErr w:type="spellStart"/>
      <w:r>
        <w:rPr>
          <w:sz w:val="22"/>
          <w:szCs w:val="22"/>
        </w:rPr>
        <w:t>Lokkesome</w:t>
      </w:r>
      <w:proofErr w:type="spellEnd"/>
      <w:r>
        <w:rPr>
          <w:sz w:val="22"/>
          <w:szCs w:val="22"/>
        </w:rPr>
        <w:t xml:space="preserve">, K, </w:t>
      </w:r>
      <w:proofErr w:type="spellStart"/>
      <w:r>
        <w:rPr>
          <w:sz w:val="22"/>
          <w:szCs w:val="22"/>
        </w:rPr>
        <w:t>Kuchinke</w:t>
      </w:r>
      <w:proofErr w:type="spellEnd"/>
      <w:r>
        <w:rPr>
          <w:sz w:val="22"/>
          <w:szCs w:val="22"/>
        </w:rPr>
        <w:t xml:space="preserve">, K.P., &amp; </w:t>
      </w:r>
      <w:proofErr w:type="spellStart"/>
      <w:r>
        <w:rPr>
          <w:sz w:val="22"/>
          <w:szCs w:val="22"/>
        </w:rPr>
        <w:t>Ardichvili</w:t>
      </w:r>
      <w:proofErr w:type="spellEnd"/>
      <w:r>
        <w:rPr>
          <w:sz w:val="22"/>
          <w:szCs w:val="22"/>
        </w:rPr>
        <w:t xml:space="preserve">, A. (2016). Developing cross-cultural awareness through </w:t>
      </w:r>
    </w:p>
    <w:p w14:paraId="712F9778" w14:textId="1FDAFF0A" w:rsidR="00B453F5" w:rsidRDefault="00B453F5" w:rsidP="00B453F5">
      <w:pPr>
        <w:ind w:left="720"/>
        <w:rPr>
          <w:sz w:val="22"/>
          <w:szCs w:val="22"/>
        </w:rPr>
      </w:pPr>
      <w:r>
        <w:rPr>
          <w:sz w:val="22"/>
          <w:szCs w:val="22"/>
        </w:rPr>
        <w:t xml:space="preserve">foreign immersion programs: Implications of university study abroad research for global competency development. </w:t>
      </w:r>
      <w:r w:rsidRPr="00B453F5">
        <w:rPr>
          <w:i/>
          <w:iCs/>
          <w:sz w:val="22"/>
          <w:szCs w:val="22"/>
        </w:rPr>
        <w:t>European Journal of Training and Development</w:t>
      </w:r>
      <w:r>
        <w:rPr>
          <w:sz w:val="22"/>
          <w:szCs w:val="22"/>
        </w:rPr>
        <w:t>. 40(3), 155-170.</w:t>
      </w:r>
      <w:r w:rsidR="002733A7">
        <w:rPr>
          <w:sz w:val="22"/>
          <w:szCs w:val="22"/>
        </w:rPr>
        <w:t xml:space="preserve">  DOI: 10.1108/EJTD-07-2014-0048.</w:t>
      </w:r>
    </w:p>
    <w:p w14:paraId="3542A76B" w14:textId="77777777" w:rsidR="00B453F5" w:rsidRDefault="00B453F5" w:rsidP="00B453F5">
      <w:pPr>
        <w:rPr>
          <w:sz w:val="22"/>
          <w:szCs w:val="22"/>
        </w:rPr>
      </w:pPr>
    </w:p>
    <w:p w14:paraId="683AE9D9" w14:textId="49D2C0FE" w:rsidR="00B453F5" w:rsidRPr="00046A2E" w:rsidRDefault="00B453F5" w:rsidP="00B453F5">
      <w:pPr>
        <w:rPr>
          <w:i/>
          <w:iCs/>
          <w:sz w:val="22"/>
          <w:szCs w:val="22"/>
        </w:rPr>
      </w:pPr>
      <w:r w:rsidRPr="00046A2E">
        <w:rPr>
          <w:sz w:val="22"/>
          <w:szCs w:val="22"/>
        </w:rPr>
        <w:t xml:space="preserve">Longview Foundation (2008). </w:t>
      </w:r>
      <w:r w:rsidRPr="00046A2E">
        <w:rPr>
          <w:i/>
          <w:iCs/>
          <w:sz w:val="22"/>
          <w:szCs w:val="22"/>
        </w:rPr>
        <w:t xml:space="preserve">Teacher preparation for the global age: The imperative for </w:t>
      </w:r>
    </w:p>
    <w:p w14:paraId="372A16C7" w14:textId="77777777" w:rsidR="00B453F5" w:rsidRPr="00B36059" w:rsidRDefault="00B453F5" w:rsidP="00B453F5">
      <w:pPr>
        <w:ind w:firstLine="720"/>
        <w:rPr>
          <w:sz w:val="22"/>
          <w:szCs w:val="22"/>
        </w:rPr>
      </w:pPr>
      <w:r w:rsidRPr="00046A2E">
        <w:rPr>
          <w:i/>
          <w:iCs/>
          <w:sz w:val="22"/>
          <w:szCs w:val="22"/>
        </w:rPr>
        <w:t>change</w:t>
      </w:r>
      <w:r w:rsidRPr="00046A2E">
        <w:rPr>
          <w:sz w:val="22"/>
          <w:szCs w:val="22"/>
        </w:rPr>
        <w:t>. Longview Foundation.</w:t>
      </w:r>
    </w:p>
    <w:p w14:paraId="64B8AE2D" w14:textId="77777777" w:rsidR="00B453F5" w:rsidRPr="00B36059" w:rsidRDefault="00B453F5" w:rsidP="00B453F5">
      <w:pPr>
        <w:rPr>
          <w:sz w:val="22"/>
          <w:szCs w:val="22"/>
        </w:rPr>
      </w:pPr>
    </w:p>
    <w:p w14:paraId="1BFEE50B" w14:textId="77777777" w:rsidR="00B453F5" w:rsidRPr="00046A2E" w:rsidRDefault="00B453F5" w:rsidP="00B453F5">
      <w:pPr>
        <w:rPr>
          <w:sz w:val="22"/>
          <w:szCs w:val="22"/>
        </w:rPr>
      </w:pPr>
      <w:r w:rsidRPr="00046A2E">
        <w:rPr>
          <w:sz w:val="22"/>
          <w:szCs w:val="22"/>
        </w:rPr>
        <w:t xml:space="preserve">Mahon, J. (2007). Under the invisibility cloak? Teacher understanding of cultural difference. </w:t>
      </w:r>
    </w:p>
    <w:p w14:paraId="1CA591AB" w14:textId="77777777" w:rsidR="00B453F5" w:rsidRPr="00046A2E" w:rsidRDefault="00B453F5" w:rsidP="00B453F5">
      <w:pPr>
        <w:ind w:firstLine="720"/>
        <w:rPr>
          <w:sz w:val="22"/>
          <w:szCs w:val="22"/>
        </w:rPr>
      </w:pPr>
      <w:r w:rsidRPr="00046A2E">
        <w:rPr>
          <w:i/>
          <w:iCs/>
          <w:sz w:val="22"/>
          <w:szCs w:val="22"/>
        </w:rPr>
        <w:t>Intercultural Education</w:t>
      </w:r>
      <w:r w:rsidRPr="00046A2E">
        <w:rPr>
          <w:sz w:val="22"/>
          <w:szCs w:val="22"/>
        </w:rPr>
        <w:t>. 17(4). 391-405. DOI: 10.1080/14675980600971426.</w:t>
      </w:r>
    </w:p>
    <w:p w14:paraId="16D20937" w14:textId="77777777" w:rsidR="00B453F5" w:rsidRPr="00B36059" w:rsidRDefault="00B453F5" w:rsidP="00B453F5">
      <w:pPr>
        <w:pStyle w:val="font8"/>
        <w:contextualSpacing/>
        <w:rPr>
          <w:sz w:val="22"/>
          <w:szCs w:val="22"/>
        </w:rPr>
      </w:pPr>
      <w:r w:rsidRPr="00B36059">
        <w:rPr>
          <w:sz w:val="22"/>
          <w:szCs w:val="22"/>
        </w:rPr>
        <w:t xml:space="preserve">Myers, J. &amp; Rivero, K. (2020). Challenging preservice teachers’ understandings of globalization: </w:t>
      </w:r>
    </w:p>
    <w:p w14:paraId="12B85062" w14:textId="77777777" w:rsidR="00B453F5" w:rsidRPr="00B36059" w:rsidRDefault="00B453F5" w:rsidP="00B453F5">
      <w:pPr>
        <w:pStyle w:val="font8"/>
        <w:ind w:left="720"/>
        <w:contextualSpacing/>
        <w:rPr>
          <w:sz w:val="22"/>
          <w:szCs w:val="22"/>
        </w:rPr>
      </w:pPr>
      <w:r w:rsidRPr="00B36059">
        <w:rPr>
          <w:sz w:val="22"/>
          <w:szCs w:val="22"/>
        </w:rPr>
        <w:t xml:space="preserve">Critical knowledge for global citizenship education. </w:t>
      </w:r>
      <w:r w:rsidRPr="00B36059">
        <w:rPr>
          <w:i/>
          <w:iCs/>
          <w:sz w:val="22"/>
          <w:szCs w:val="22"/>
        </w:rPr>
        <w:t>The Journal of Social Studies Research</w:t>
      </w:r>
      <w:r w:rsidRPr="00B36059">
        <w:rPr>
          <w:sz w:val="22"/>
          <w:szCs w:val="22"/>
        </w:rPr>
        <w:t>. 44, 383-396. DOI: 10.1016/j.jssr.2020.05.004</w:t>
      </w:r>
    </w:p>
    <w:p w14:paraId="43F08B6E" w14:textId="77777777" w:rsidR="00B453F5" w:rsidRPr="00F22EC2" w:rsidRDefault="00B453F5" w:rsidP="00B453F5">
      <w:pPr>
        <w:pStyle w:val="NoSpacing"/>
        <w:rPr>
          <w:rFonts w:ascii="Times New Roman" w:hAnsi="Times New Roman" w:cs="Times New Roman"/>
          <w:sz w:val="22"/>
          <w:szCs w:val="22"/>
        </w:rPr>
      </w:pPr>
      <w:r w:rsidRPr="00F22EC2">
        <w:rPr>
          <w:rFonts w:ascii="Times New Roman" w:hAnsi="Times New Roman" w:cs="Times New Roman"/>
          <w:sz w:val="22"/>
          <w:szCs w:val="22"/>
        </w:rPr>
        <w:t xml:space="preserve">Open Doors (n.d.) Retrieved on </w:t>
      </w:r>
      <w:r w:rsidRPr="00B36059">
        <w:rPr>
          <w:rFonts w:ascii="Times New Roman" w:hAnsi="Times New Roman" w:cs="Times New Roman"/>
          <w:sz w:val="22"/>
          <w:szCs w:val="22"/>
        </w:rPr>
        <w:t>7</w:t>
      </w:r>
      <w:r w:rsidRPr="00F22EC2">
        <w:rPr>
          <w:rFonts w:ascii="Times New Roman" w:hAnsi="Times New Roman" w:cs="Times New Roman"/>
          <w:sz w:val="22"/>
          <w:szCs w:val="22"/>
        </w:rPr>
        <w:t>/</w:t>
      </w:r>
      <w:r w:rsidRPr="00B36059">
        <w:rPr>
          <w:rFonts w:ascii="Times New Roman" w:hAnsi="Times New Roman" w:cs="Times New Roman"/>
          <w:sz w:val="22"/>
          <w:szCs w:val="22"/>
        </w:rPr>
        <w:t>24</w:t>
      </w:r>
      <w:r w:rsidRPr="00F22EC2">
        <w:rPr>
          <w:rFonts w:ascii="Times New Roman" w:hAnsi="Times New Roman" w:cs="Times New Roman"/>
          <w:sz w:val="22"/>
          <w:szCs w:val="22"/>
        </w:rPr>
        <w:t>/202</w:t>
      </w:r>
      <w:r w:rsidRPr="00B36059">
        <w:rPr>
          <w:rFonts w:ascii="Times New Roman" w:hAnsi="Times New Roman" w:cs="Times New Roman"/>
          <w:sz w:val="22"/>
          <w:szCs w:val="22"/>
        </w:rPr>
        <w:t>1</w:t>
      </w:r>
      <w:r w:rsidRPr="00F22EC2">
        <w:rPr>
          <w:rFonts w:ascii="Times New Roman" w:hAnsi="Times New Roman" w:cs="Times New Roman"/>
          <w:sz w:val="22"/>
          <w:szCs w:val="22"/>
        </w:rPr>
        <w:t xml:space="preserve"> at </w:t>
      </w:r>
      <w:hyperlink r:id="rId4" w:history="1">
        <w:r w:rsidRPr="00F22EC2">
          <w:rPr>
            <w:rStyle w:val="Hyperlink"/>
            <w:rFonts w:ascii="Times New Roman" w:hAnsi="Times New Roman" w:cs="Times New Roman"/>
            <w:sz w:val="22"/>
            <w:szCs w:val="22"/>
          </w:rPr>
          <w:t>https://opendoorsdata.org/data/us-study-abroad/</w:t>
        </w:r>
      </w:hyperlink>
    </w:p>
    <w:p w14:paraId="7E21CDE7" w14:textId="77777777" w:rsidR="00B453F5" w:rsidRPr="00B36059" w:rsidRDefault="00B453F5" w:rsidP="00B453F5">
      <w:pPr>
        <w:pStyle w:val="NoSpacing"/>
        <w:rPr>
          <w:rFonts w:ascii="Times New Roman" w:eastAsia="Times New Roman" w:hAnsi="Times New Roman" w:cs="Times New Roman"/>
          <w:sz w:val="22"/>
          <w:szCs w:val="22"/>
        </w:rPr>
      </w:pPr>
    </w:p>
    <w:p w14:paraId="669AAA1C" w14:textId="77777777" w:rsidR="002733A7" w:rsidRDefault="00B453F5" w:rsidP="00B453F5">
      <w:pPr>
        <w:pStyle w:val="No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Paras, A., Carignan, M., Brenner, A., Hardy, J., </w:t>
      </w:r>
      <w:proofErr w:type="spellStart"/>
      <w:r>
        <w:rPr>
          <w:rFonts w:ascii="Times New Roman" w:eastAsia="Times New Roman" w:hAnsi="Times New Roman" w:cs="Times New Roman"/>
          <w:sz w:val="22"/>
          <w:szCs w:val="22"/>
        </w:rPr>
        <w:t>Malmgren</w:t>
      </w:r>
      <w:proofErr w:type="spellEnd"/>
      <w:r>
        <w:rPr>
          <w:rFonts w:ascii="Times New Roman" w:eastAsia="Times New Roman" w:hAnsi="Times New Roman" w:cs="Times New Roman"/>
          <w:sz w:val="22"/>
          <w:szCs w:val="22"/>
        </w:rPr>
        <w:t xml:space="preserve">, J. &amp; </w:t>
      </w:r>
      <w:proofErr w:type="spellStart"/>
      <w:r>
        <w:rPr>
          <w:rFonts w:ascii="Times New Roman" w:eastAsia="Times New Roman" w:hAnsi="Times New Roman" w:cs="Times New Roman"/>
          <w:sz w:val="22"/>
          <w:szCs w:val="22"/>
        </w:rPr>
        <w:t>Rathburn</w:t>
      </w:r>
      <w:proofErr w:type="spellEnd"/>
      <w:r>
        <w:rPr>
          <w:rFonts w:ascii="Times New Roman" w:eastAsia="Times New Roman" w:hAnsi="Times New Roman" w:cs="Times New Roman"/>
          <w:sz w:val="22"/>
          <w:szCs w:val="22"/>
        </w:rPr>
        <w:t xml:space="preserve">, M. (2019). Understanding how </w:t>
      </w:r>
    </w:p>
    <w:p w14:paraId="3D398DE0" w14:textId="0ED6EEFA" w:rsidR="00B453F5" w:rsidRDefault="00B453F5" w:rsidP="002733A7">
      <w:pPr>
        <w:pStyle w:val="NoSpacing"/>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program factors influence intercultural learning in study abroad: The benefits of mixed-method analysis. </w:t>
      </w:r>
      <w:r w:rsidRPr="002733A7">
        <w:rPr>
          <w:rFonts w:ascii="Times New Roman" w:eastAsia="Times New Roman" w:hAnsi="Times New Roman" w:cs="Times New Roman"/>
          <w:i/>
          <w:iCs/>
          <w:sz w:val="22"/>
          <w:szCs w:val="22"/>
        </w:rPr>
        <w:t xml:space="preserve">Frontiers: The </w:t>
      </w:r>
      <w:r w:rsidR="002733A7" w:rsidRPr="002733A7">
        <w:rPr>
          <w:rFonts w:ascii="Times New Roman" w:eastAsia="Times New Roman" w:hAnsi="Times New Roman" w:cs="Times New Roman"/>
          <w:i/>
          <w:iCs/>
          <w:sz w:val="22"/>
          <w:szCs w:val="22"/>
        </w:rPr>
        <w:t>Interdisciplinary</w:t>
      </w:r>
      <w:r w:rsidRPr="002733A7">
        <w:rPr>
          <w:rFonts w:ascii="Times New Roman" w:eastAsia="Times New Roman" w:hAnsi="Times New Roman" w:cs="Times New Roman"/>
          <w:i/>
          <w:iCs/>
          <w:sz w:val="22"/>
          <w:szCs w:val="22"/>
        </w:rPr>
        <w:t xml:space="preserve"> Journal of Study Abroad</w:t>
      </w:r>
      <w:r>
        <w:rPr>
          <w:rFonts w:ascii="Times New Roman" w:eastAsia="Times New Roman" w:hAnsi="Times New Roman" w:cs="Times New Roman"/>
          <w:sz w:val="22"/>
          <w:szCs w:val="22"/>
        </w:rPr>
        <w:t>.</w:t>
      </w:r>
      <w:r w:rsidR="002733A7">
        <w:rPr>
          <w:rFonts w:ascii="Times New Roman" w:eastAsia="Times New Roman" w:hAnsi="Times New Roman" w:cs="Times New Roman"/>
          <w:sz w:val="22"/>
          <w:szCs w:val="22"/>
        </w:rPr>
        <w:t xml:space="preserve"> 31(1), 22-45.</w:t>
      </w:r>
    </w:p>
    <w:p w14:paraId="200E86D0" w14:textId="77777777" w:rsidR="00B453F5" w:rsidRDefault="00B453F5" w:rsidP="00B453F5">
      <w:pPr>
        <w:pStyle w:val="NoSpacing"/>
        <w:rPr>
          <w:rFonts w:ascii="Times New Roman" w:eastAsia="Times New Roman" w:hAnsi="Times New Roman" w:cs="Times New Roman"/>
          <w:sz w:val="22"/>
          <w:szCs w:val="22"/>
        </w:rPr>
      </w:pPr>
    </w:p>
    <w:p w14:paraId="71E51A0A" w14:textId="64049D2C" w:rsidR="00B453F5" w:rsidRPr="00B36059" w:rsidRDefault="00B453F5" w:rsidP="00B453F5">
      <w:pPr>
        <w:pStyle w:val="NoSpacing"/>
        <w:rPr>
          <w:rFonts w:ascii="Times New Roman" w:hAnsi="Times New Roman" w:cs="Times New Roman"/>
          <w:sz w:val="22"/>
          <w:szCs w:val="22"/>
        </w:rPr>
      </w:pPr>
      <w:r w:rsidRPr="00B36059">
        <w:rPr>
          <w:rFonts w:ascii="Times New Roman" w:eastAsia="Times New Roman" w:hAnsi="Times New Roman" w:cs="Times New Roman"/>
          <w:sz w:val="22"/>
          <w:szCs w:val="22"/>
        </w:rPr>
        <w:t xml:space="preserve">Parkhouse, H., </w:t>
      </w:r>
      <w:proofErr w:type="spellStart"/>
      <w:r w:rsidRPr="00B36059">
        <w:rPr>
          <w:rFonts w:ascii="Times New Roman" w:eastAsia="Times New Roman" w:hAnsi="Times New Roman" w:cs="Times New Roman"/>
          <w:sz w:val="22"/>
          <w:szCs w:val="22"/>
        </w:rPr>
        <w:t>Tichnor</w:t>
      </w:r>
      <w:proofErr w:type="spellEnd"/>
      <w:r w:rsidRPr="00B36059">
        <w:rPr>
          <w:rFonts w:ascii="Times New Roman" w:eastAsia="Times New Roman" w:hAnsi="Times New Roman" w:cs="Times New Roman"/>
          <w:sz w:val="22"/>
          <w:szCs w:val="22"/>
        </w:rPr>
        <w:t xml:space="preserve">-Wagner, A., Cain, J.M. &amp; Glazier, J. (2016). “You don’t have to travel </w:t>
      </w:r>
    </w:p>
    <w:p w14:paraId="7D24ED09" w14:textId="77777777" w:rsidR="00B453F5" w:rsidRPr="00B36059" w:rsidRDefault="00B453F5" w:rsidP="00B453F5">
      <w:pPr>
        <w:pStyle w:val="NoSpacing"/>
        <w:ind w:left="720"/>
        <w:rPr>
          <w:rFonts w:ascii="Times New Roman" w:hAnsi="Times New Roman" w:cs="Times New Roman"/>
          <w:sz w:val="22"/>
          <w:szCs w:val="22"/>
        </w:rPr>
      </w:pPr>
      <w:r w:rsidRPr="00B36059">
        <w:rPr>
          <w:rFonts w:ascii="Times New Roman" w:hAnsi="Times New Roman" w:cs="Times New Roman"/>
          <w:sz w:val="22"/>
          <w:szCs w:val="22"/>
        </w:rPr>
        <w:t xml:space="preserve">the world”: accumulating experiences on the path toward globally competent teaching. </w:t>
      </w:r>
      <w:r w:rsidRPr="00B36059">
        <w:rPr>
          <w:rFonts w:ascii="Times New Roman" w:hAnsi="Times New Roman" w:cs="Times New Roman"/>
          <w:i/>
          <w:iCs/>
          <w:sz w:val="22"/>
          <w:szCs w:val="22"/>
        </w:rPr>
        <w:t>Teaching Education</w:t>
      </w:r>
      <w:r w:rsidRPr="00B36059">
        <w:rPr>
          <w:rFonts w:ascii="Times New Roman" w:hAnsi="Times New Roman" w:cs="Times New Roman"/>
          <w:sz w:val="22"/>
          <w:szCs w:val="22"/>
        </w:rPr>
        <w:t>. 27(3), 267-285.</w:t>
      </w:r>
    </w:p>
    <w:p w14:paraId="1BA6D435" w14:textId="77777777" w:rsidR="002733A7" w:rsidRDefault="002733A7" w:rsidP="00B453F5">
      <w:pPr>
        <w:pStyle w:val="font8"/>
        <w:contextualSpacing/>
        <w:rPr>
          <w:sz w:val="22"/>
          <w:szCs w:val="22"/>
        </w:rPr>
      </w:pPr>
    </w:p>
    <w:p w14:paraId="0CA678C5" w14:textId="4F416AB0" w:rsidR="00B453F5" w:rsidRPr="00B36059" w:rsidRDefault="00B453F5" w:rsidP="00B453F5">
      <w:pPr>
        <w:pStyle w:val="font8"/>
        <w:contextualSpacing/>
        <w:rPr>
          <w:sz w:val="22"/>
          <w:szCs w:val="22"/>
        </w:rPr>
      </w:pPr>
      <w:proofErr w:type="spellStart"/>
      <w:r w:rsidRPr="00B36059">
        <w:rPr>
          <w:sz w:val="22"/>
          <w:szCs w:val="22"/>
        </w:rPr>
        <w:lastRenderedPageBreak/>
        <w:t>Polat</w:t>
      </w:r>
      <w:proofErr w:type="spellEnd"/>
      <w:r w:rsidRPr="00B36059">
        <w:rPr>
          <w:sz w:val="22"/>
          <w:szCs w:val="22"/>
        </w:rPr>
        <w:t xml:space="preserve">, S. &amp; </w:t>
      </w:r>
      <w:proofErr w:type="spellStart"/>
      <w:r w:rsidRPr="00B36059">
        <w:rPr>
          <w:sz w:val="22"/>
          <w:szCs w:val="22"/>
        </w:rPr>
        <w:t>Barka</w:t>
      </w:r>
      <w:proofErr w:type="spellEnd"/>
      <w:r w:rsidRPr="00B36059">
        <w:rPr>
          <w:sz w:val="22"/>
          <w:szCs w:val="22"/>
        </w:rPr>
        <w:t xml:space="preserve">, O. (2014). Preservice teachers’ intercultural competence: A comparative study </w:t>
      </w:r>
    </w:p>
    <w:p w14:paraId="6973D2D7" w14:textId="77777777" w:rsidR="00B453F5" w:rsidRPr="00B36059" w:rsidRDefault="00B453F5" w:rsidP="00B453F5">
      <w:pPr>
        <w:pStyle w:val="font8"/>
        <w:ind w:left="720"/>
        <w:contextualSpacing/>
        <w:rPr>
          <w:sz w:val="22"/>
          <w:szCs w:val="22"/>
        </w:rPr>
      </w:pPr>
      <w:r w:rsidRPr="00B36059">
        <w:rPr>
          <w:sz w:val="22"/>
          <w:szCs w:val="22"/>
        </w:rPr>
        <w:t xml:space="preserve">of teachers in Switzerland and Turkey.  </w:t>
      </w:r>
      <w:r w:rsidRPr="00B36059">
        <w:rPr>
          <w:i/>
          <w:iCs/>
          <w:sz w:val="22"/>
          <w:szCs w:val="22"/>
        </w:rPr>
        <w:t>Eurasian Journal of Educational Research</w:t>
      </w:r>
      <w:r w:rsidRPr="00B36059">
        <w:rPr>
          <w:sz w:val="22"/>
          <w:szCs w:val="22"/>
        </w:rPr>
        <w:t>. 54, 19-38.</w:t>
      </w:r>
    </w:p>
    <w:p w14:paraId="1B6C6191" w14:textId="77777777" w:rsidR="00B453F5" w:rsidRDefault="00B453F5" w:rsidP="00B453F5">
      <w:pPr>
        <w:pStyle w:val="font8"/>
        <w:contextualSpacing/>
        <w:rPr>
          <w:sz w:val="22"/>
          <w:szCs w:val="22"/>
        </w:rPr>
      </w:pPr>
    </w:p>
    <w:p w14:paraId="27E7BAE3" w14:textId="77777777" w:rsidR="00B453F5" w:rsidRPr="00046A2E" w:rsidRDefault="00B453F5" w:rsidP="00B453F5">
      <w:pPr>
        <w:pStyle w:val="font8"/>
        <w:contextualSpacing/>
        <w:rPr>
          <w:sz w:val="22"/>
          <w:szCs w:val="22"/>
        </w:rPr>
      </w:pPr>
      <w:proofErr w:type="spellStart"/>
      <w:r w:rsidRPr="00046A2E">
        <w:rPr>
          <w:sz w:val="22"/>
          <w:szCs w:val="22"/>
        </w:rPr>
        <w:t>Sadruddin</w:t>
      </w:r>
      <w:proofErr w:type="spellEnd"/>
      <w:r w:rsidRPr="00046A2E">
        <w:rPr>
          <w:sz w:val="22"/>
          <w:szCs w:val="22"/>
        </w:rPr>
        <w:t xml:space="preserve">, M. &amp; Wahab, Z. (2013). Are we preparing global competent teachers? - Evaluation </w:t>
      </w:r>
    </w:p>
    <w:p w14:paraId="7FF96DAE" w14:textId="77777777" w:rsidR="00B453F5" w:rsidRPr="00B36059" w:rsidRDefault="00B453F5" w:rsidP="00B453F5">
      <w:pPr>
        <w:pStyle w:val="font8"/>
        <w:ind w:left="720"/>
        <w:contextualSpacing/>
        <w:rPr>
          <w:sz w:val="22"/>
          <w:szCs w:val="22"/>
        </w:rPr>
      </w:pPr>
      <w:r w:rsidRPr="00046A2E">
        <w:rPr>
          <w:sz w:val="22"/>
          <w:szCs w:val="22"/>
        </w:rPr>
        <w:t>of the incorporation of global education perspectives in teacher education curriculum in Pakistan.</w:t>
      </w:r>
      <w:r w:rsidRPr="00046A2E">
        <w:rPr>
          <w:b/>
          <w:bCs/>
          <w:sz w:val="22"/>
          <w:szCs w:val="22"/>
        </w:rPr>
        <w:t xml:space="preserve"> </w:t>
      </w:r>
      <w:r w:rsidRPr="00046A2E">
        <w:rPr>
          <w:i/>
          <w:iCs/>
          <w:sz w:val="22"/>
          <w:szCs w:val="22"/>
        </w:rPr>
        <w:t>Bulletin of Education and Research.</w:t>
      </w:r>
      <w:r w:rsidRPr="00046A2E">
        <w:rPr>
          <w:sz w:val="22"/>
          <w:szCs w:val="22"/>
        </w:rPr>
        <w:t xml:space="preserve"> 35(1), 75-9</w:t>
      </w:r>
      <w:r w:rsidRPr="00B36059">
        <w:rPr>
          <w:sz w:val="22"/>
          <w:szCs w:val="22"/>
        </w:rPr>
        <w:t>4.</w:t>
      </w:r>
    </w:p>
    <w:p w14:paraId="1EF19689" w14:textId="77777777" w:rsidR="00B453F5" w:rsidRPr="00B36059" w:rsidRDefault="00B453F5" w:rsidP="00B453F5">
      <w:pPr>
        <w:pStyle w:val="font8"/>
        <w:contextualSpacing/>
        <w:rPr>
          <w:sz w:val="22"/>
          <w:szCs w:val="22"/>
        </w:rPr>
      </w:pPr>
    </w:p>
    <w:p w14:paraId="3528D605" w14:textId="77777777" w:rsidR="00B453F5" w:rsidRPr="00B36059" w:rsidRDefault="00B453F5" w:rsidP="00B453F5">
      <w:pPr>
        <w:pStyle w:val="font8"/>
        <w:contextualSpacing/>
        <w:rPr>
          <w:sz w:val="22"/>
          <w:szCs w:val="22"/>
        </w:rPr>
      </w:pPr>
      <w:r w:rsidRPr="00B36059">
        <w:rPr>
          <w:sz w:val="22"/>
          <w:szCs w:val="22"/>
        </w:rPr>
        <w:t xml:space="preserve">Salmon, A.K., </w:t>
      </w:r>
      <w:proofErr w:type="spellStart"/>
      <w:r w:rsidRPr="00B36059">
        <w:rPr>
          <w:sz w:val="22"/>
          <w:szCs w:val="22"/>
        </w:rPr>
        <w:t>Gangotena</w:t>
      </w:r>
      <w:proofErr w:type="spellEnd"/>
      <w:r w:rsidRPr="00B36059">
        <w:rPr>
          <w:sz w:val="22"/>
          <w:szCs w:val="22"/>
        </w:rPr>
        <w:t xml:space="preserve">, M.V. &amp; </w:t>
      </w:r>
      <w:proofErr w:type="spellStart"/>
      <w:r w:rsidRPr="00B36059">
        <w:rPr>
          <w:sz w:val="22"/>
          <w:szCs w:val="22"/>
        </w:rPr>
        <w:t>Melliou</w:t>
      </w:r>
      <w:proofErr w:type="spellEnd"/>
      <w:r w:rsidRPr="00B36059">
        <w:rPr>
          <w:sz w:val="22"/>
          <w:szCs w:val="22"/>
        </w:rPr>
        <w:t xml:space="preserve">, K. (2018). Becoming globally competent citizens: A </w:t>
      </w:r>
    </w:p>
    <w:p w14:paraId="7AA745E5" w14:textId="77777777" w:rsidR="00B453F5" w:rsidRPr="00B36059" w:rsidRDefault="00B453F5" w:rsidP="00B453F5">
      <w:pPr>
        <w:pStyle w:val="font8"/>
        <w:ind w:left="720"/>
        <w:contextualSpacing/>
        <w:rPr>
          <w:sz w:val="22"/>
          <w:szCs w:val="22"/>
        </w:rPr>
      </w:pPr>
      <w:r w:rsidRPr="00B36059">
        <w:rPr>
          <w:sz w:val="22"/>
          <w:szCs w:val="22"/>
        </w:rPr>
        <w:t xml:space="preserve">learning journey of two classrooms in an interconnected world. </w:t>
      </w:r>
      <w:r w:rsidRPr="00B36059">
        <w:rPr>
          <w:i/>
          <w:iCs/>
          <w:sz w:val="22"/>
          <w:szCs w:val="22"/>
        </w:rPr>
        <w:t>Early Childhood Education J.</w:t>
      </w:r>
      <w:r w:rsidRPr="00B36059">
        <w:rPr>
          <w:sz w:val="22"/>
          <w:szCs w:val="22"/>
        </w:rPr>
        <w:t xml:space="preserve"> 46. 301-312. DOI: 10.1007/s10643-017-0860-z.</w:t>
      </w:r>
    </w:p>
    <w:p w14:paraId="7E31585A" w14:textId="77777777" w:rsidR="00B453F5" w:rsidRPr="00B36059" w:rsidRDefault="00B453F5" w:rsidP="00B453F5">
      <w:pPr>
        <w:pStyle w:val="font8"/>
        <w:contextualSpacing/>
        <w:rPr>
          <w:sz w:val="22"/>
          <w:szCs w:val="22"/>
        </w:rPr>
      </w:pPr>
    </w:p>
    <w:p w14:paraId="46175FC5" w14:textId="77777777" w:rsidR="00B453F5" w:rsidRPr="00B36059" w:rsidRDefault="00B453F5" w:rsidP="00B453F5">
      <w:pPr>
        <w:pStyle w:val="font8"/>
        <w:contextualSpacing/>
        <w:rPr>
          <w:sz w:val="22"/>
          <w:szCs w:val="22"/>
        </w:rPr>
      </w:pPr>
      <w:r w:rsidRPr="00B36059">
        <w:rPr>
          <w:sz w:val="22"/>
          <w:szCs w:val="22"/>
        </w:rPr>
        <w:t xml:space="preserve">Santoro, N. (2014). “If I’m going to teach about the world, I need to know the world”: </w:t>
      </w:r>
    </w:p>
    <w:p w14:paraId="09C1D1C6" w14:textId="77777777" w:rsidR="00B453F5" w:rsidRPr="00B36059" w:rsidRDefault="00B453F5" w:rsidP="00B453F5">
      <w:pPr>
        <w:pStyle w:val="font8"/>
        <w:ind w:left="720"/>
        <w:contextualSpacing/>
        <w:rPr>
          <w:sz w:val="22"/>
          <w:szCs w:val="22"/>
        </w:rPr>
      </w:pPr>
      <w:r w:rsidRPr="00B36059">
        <w:rPr>
          <w:sz w:val="22"/>
          <w:szCs w:val="22"/>
        </w:rPr>
        <w:t xml:space="preserve">developing Australian pre-service teachers’ intercultural competence through international trips. </w:t>
      </w:r>
      <w:r w:rsidRPr="00B36059">
        <w:rPr>
          <w:i/>
          <w:iCs/>
          <w:sz w:val="22"/>
          <w:szCs w:val="22"/>
        </w:rPr>
        <w:t>Race Ethnicity and Education</w:t>
      </w:r>
      <w:r w:rsidRPr="00B36059">
        <w:rPr>
          <w:sz w:val="22"/>
          <w:szCs w:val="22"/>
        </w:rPr>
        <w:t>. 17(3), 429-444.</w:t>
      </w:r>
    </w:p>
    <w:p w14:paraId="6B995E29" w14:textId="77777777" w:rsidR="00B453F5" w:rsidRPr="00046A2E" w:rsidRDefault="00B453F5" w:rsidP="00B453F5">
      <w:pPr>
        <w:rPr>
          <w:sz w:val="22"/>
          <w:szCs w:val="22"/>
        </w:rPr>
      </w:pPr>
      <w:r w:rsidRPr="00046A2E">
        <w:rPr>
          <w:sz w:val="22"/>
          <w:szCs w:val="22"/>
        </w:rPr>
        <w:t xml:space="preserve">Schneider, A.M. (2003). </w:t>
      </w:r>
      <w:r w:rsidRPr="00046A2E">
        <w:rPr>
          <w:i/>
          <w:iCs/>
          <w:sz w:val="22"/>
          <w:szCs w:val="22"/>
        </w:rPr>
        <w:t>Internationalizing teacher education: What can be done?</w:t>
      </w:r>
      <w:r w:rsidRPr="00046A2E">
        <w:rPr>
          <w:sz w:val="22"/>
          <w:szCs w:val="22"/>
        </w:rPr>
        <w:t xml:space="preserve"> Washington, </w:t>
      </w:r>
    </w:p>
    <w:p w14:paraId="75BE44CD" w14:textId="77777777" w:rsidR="00B453F5" w:rsidRPr="00046A2E" w:rsidRDefault="00B453F5" w:rsidP="00B453F5">
      <w:pPr>
        <w:ind w:firstLine="720"/>
        <w:rPr>
          <w:sz w:val="22"/>
          <w:szCs w:val="22"/>
        </w:rPr>
      </w:pPr>
      <w:r w:rsidRPr="00046A2E">
        <w:rPr>
          <w:sz w:val="22"/>
          <w:szCs w:val="22"/>
        </w:rPr>
        <w:t>DC: US Department of Education. (ERIC no. ED480869).</w:t>
      </w:r>
    </w:p>
    <w:p w14:paraId="1F625AB2" w14:textId="77777777" w:rsidR="00B453F5" w:rsidRPr="00B36059" w:rsidRDefault="00B453F5" w:rsidP="00B453F5">
      <w:pPr>
        <w:rPr>
          <w:sz w:val="22"/>
          <w:szCs w:val="22"/>
        </w:rPr>
      </w:pPr>
    </w:p>
    <w:p w14:paraId="1B3E19A3" w14:textId="77777777" w:rsidR="00B453F5" w:rsidRPr="00B36059" w:rsidRDefault="00B453F5" w:rsidP="00B453F5">
      <w:pPr>
        <w:rPr>
          <w:sz w:val="22"/>
          <w:szCs w:val="22"/>
        </w:rPr>
      </w:pPr>
      <w:r w:rsidRPr="00B36059">
        <w:rPr>
          <w:sz w:val="22"/>
          <w:szCs w:val="22"/>
        </w:rPr>
        <w:t xml:space="preserve">Shaklee, B. &amp; Baily, S., Eds. (2012). Internationalizing teacher education in the United States.  </w:t>
      </w:r>
    </w:p>
    <w:p w14:paraId="386A33D1" w14:textId="77777777" w:rsidR="00B453F5" w:rsidRPr="00B36059" w:rsidRDefault="00B453F5" w:rsidP="00B453F5">
      <w:pPr>
        <w:ind w:firstLine="720"/>
        <w:rPr>
          <w:sz w:val="22"/>
          <w:szCs w:val="22"/>
        </w:rPr>
      </w:pPr>
      <w:r w:rsidRPr="00B36059">
        <w:rPr>
          <w:sz w:val="22"/>
          <w:szCs w:val="22"/>
        </w:rPr>
        <w:t>Pennsylvania: Rowman &amp; Littlefield Publishers, Inc.</w:t>
      </w:r>
    </w:p>
    <w:p w14:paraId="5D52BC34" w14:textId="77777777" w:rsidR="00B453F5" w:rsidRPr="00B36059" w:rsidRDefault="00B453F5" w:rsidP="00B453F5">
      <w:pPr>
        <w:rPr>
          <w:sz w:val="22"/>
          <w:szCs w:val="22"/>
        </w:rPr>
      </w:pPr>
    </w:p>
    <w:p w14:paraId="4A0B0A94" w14:textId="77777777" w:rsidR="00B453F5" w:rsidRPr="00046A2E" w:rsidRDefault="00B453F5" w:rsidP="00B453F5">
      <w:pPr>
        <w:rPr>
          <w:sz w:val="22"/>
          <w:szCs w:val="22"/>
        </w:rPr>
      </w:pPr>
      <w:proofErr w:type="spellStart"/>
      <w:r w:rsidRPr="00046A2E">
        <w:rPr>
          <w:sz w:val="22"/>
          <w:szCs w:val="22"/>
        </w:rPr>
        <w:t>Stromquist</w:t>
      </w:r>
      <w:proofErr w:type="spellEnd"/>
      <w:r w:rsidRPr="00046A2E">
        <w:rPr>
          <w:sz w:val="22"/>
          <w:szCs w:val="22"/>
        </w:rPr>
        <w:t xml:space="preserve">, N. (2005). Comparative and international education: A journey toward equality and </w:t>
      </w:r>
    </w:p>
    <w:p w14:paraId="24A1BAFD" w14:textId="77777777" w:rsidR="00B453F5" w:rsidRPr="00046A2E" w:rsidRDefault="00B453F5" w:rsidP="00B453F5">
      <w:pPr>
        <w:ind w:left="720"/>
        <w:rPr>
          <w:sz w:val="22"/>
          <w:szCs w:val="22"/>
        </w:rPr>
      </w:pPr>
      <w:r w:rsidRPr="00046A2E">
        <w:rPr>
          <w:sz w:val="22"/>
          <w:szCs w:val="22"/>
        </w:rPr>
        <w:t xml:space="preserve">equity. </w:t>
      </w:r>
      <w:r w:rsidRPr="00046A2E">
        <w:rPr>
          <w:i/>
          <w:iCs/>
          <w:sz w:val="22"/>
          <w:szCs w:val="22"/>
        </w:rPr>
        <w:t>Harvard Educational Review</w:t>
      </w:r>
      <w:r w:rsidRPr="00046A2E">
        <w:rPr>
          <w:sz w:val="22"/>
          <w:szCs w:val="22"/>
        </w:rPr>
        <w:t xml:space="preserve">, </w:t>
      </w:r>
      <w:r w:rsidRPr="00046A2E">
        <w:rPr>
          <w:i/>
          <w:iCs/>
          <w:sz w:val="22"/>
          <w:szCs w:val="22"/>
        </w:rPr>
        <w:t>75</w:t>
      </w:r>
      <w:r w:rsidRPr="00046A2E">
        <w:rPr>
          <w:sz w:val="22"/>
          <w:szCs w:val="22"/>
        </w:rPr>
        <w:t>(1), 89–111.</w:t>
      </w:r>
      <w:r w:rsidRPr="00B36059">
        <w:rPr>
          <w:sz w:val="22"/>
          <w:szCs w:val="22"/>
        </w:rPr>
        <w:t xml:space="preserve"> </w:t>
      </w:r>
      <w:r w:rsidRPr="00046A2E">
        <w:rPr>
          <w:sz w:val="22"/>
          <w:szCs w:val="22"/>
        </w:rPr>
        <w:t>https://doi.org/10.17763/haer.75.1.4842626v0r385j12</w:t>
      </w:r>
    </w:p>
    <w:p w14:paraId="6B8F52F9" w14:textId="77777777" w:rsidR="00B453F5" w:rsidRPr="00B36059" w:rsidRDefault="00B453F5" w:rsidP="00B453F5">
      <w:pPr>
        <w:rPr>
          <w:sz w:val="22"/>
          <w:szCs w:val="22"/>
        </w:rPr>
      </w:pPr>
    </w:p>
    <w:p w14:paraId="746F1D34" w14:textId="77777777" w:rsidR="00B453F5" w:rsidRPr="00B36059" w:rsidRDefault="00B453F5" w:rsidP="00B453F5">
      <w:pPr>
        <w:pStyle w:val="NoSpacing"/>
        <w:rPr>
          <w:rFonts w:ascii="Times New Roman" w:hAnsi="Times New Roman" w:cs="Times New Roman"/>
          <w:sz w:val="22"/>
          <w:szCs w:val="22"/>
        </w:rPr>
      </w:pPr>
      <w:proofErr w:type="spellStart"/>
      <w:r w:rsidRPr="00B36059">
        <w:rPr>
          <w:rFonts w:ascii="Times New Roman" w:hAnsi="Times New Roman" w:cs="Times New Roman"/>
          <w:sz w:val="22"/>
          <w:szCs w:val="22"/>
        </w:rPr>
        <w:t>Suchman</w:t>
      </w:r>
      <w:proofErr w:type="spellEnd"/>
      <w:r w:rsidRPr="00B36059">
        <w:rPr>
          <w:rFonts w:ascii="Times New Roman" w:hAnsi="Times New Roman" w:cs="Times New Roman"/>
          <w:sz w:val="22"/>
          <w:szCs w:val="22"/>
        </w:rPr>
        <w:t xml:space="preserve">, A. (2011). Organizations as machines, organizations as conversations. </w:t>
      </w:r>
      <w:r w:rsidRPr="00B36059">
        <w:rPr>
          <w:rFonts w:ascii="Times New Roman" w:hAnsi="Times New Roman" w:cs="Times New Roman"/>
          <w:i/>
          <w:iCs/>
          <w:sz w:val="22"/>
          <w:szCs w:val="22"/>
        </w:rPr>
        <w:t>Medical Care</w:t>
      </w:r>
      <w:r w:rsidRPr="00B36059">
        <w:rPr>
          <w:rFonts w:ascii="Times New Roman" w:hAnsi="Times New Roman" w:cs="Times New Roman"/>
          <w:sz w:val="22"/>
          <w:szCs w:val="22"/>
        </w:rPr>
        <w:t xml:space="preserve">. </w:t>
      </w:r>
    </w:p>
    <w:p w14:paraId="65C052BE" w14:textId="77777777" w:rsidR="00B453F5" w:rsidRPr="00B36059" w:rsidRDefault="00B453F5" w:rsidP="00B453F5">
      <w:pPr>
        <w:pStyle w:val="NoSpacing"/>
        <w:ind w:firstLine="720"/>
        <w:rPr>
          <w:rFonts w:ascii="Times New Roman" w:hAnsi="Times New Roman" w:cs="Times New Roman"/>
          <w:sz w:val="22"/>
          <w:szCs w:val="22"/>
        </w:rPr>
      </w:pPr>
      <w:r w:rsidRPr="00B36059">
        <w:rPr>
          <w:rFonts w:ascii="Times New Roman" w:hAnsi="Times New Roman" w:cs="Times New Roman"/>
          <w:sz w:val="22"/>
          <w:szCs w:val="22"/>
        </w:rPr>
        <w:t>49(12)1, S43-S48.</w:t>
      </w:r>
    </w:p>
    <w:p w14:paraId="1E3330CC" w14:textId="77777777" w:rsidR="00B453F5" w:rsidRPr="00B36059" w:rsidRDefault="00B453F5" w:rsidP="00B453F5">
      <w:pPr>
        <w:pStyle w:val="NoSpacing"/>
        <w:rPr>
          <w:rFonts w:ascii="Times New Roman" w:hAnsi="Times New Roman" w:cs="Times New Roman"/>
          <w:sz w:val="22"/>
          <w:szCs w:val="22"/>
        </w:rPr>
      </w:pPr>
    </w:p>
    <w:p w14:paraId="2CE3B98F" w14:textId="77777777" w:rsidR="00B453F5" w:rsidRPr="00B36059" w:rsidRDefault="00B453F5" w:rsidP="00B453F5">
      <w:pPr>
        <w:contextualSpacing/>
        <w:rPr>
          <w:sz w:val="22"/>
          <w:szCs w:val="22"/>
        </w:rPr>
      </w:pPr>
      <w:r w:rsidRPr="00B36059">
        <w:rPr>
          <w:sz w:val="22"/>
          <w:szCs w:val="22"/>
        </w:rPr>
        <w:t xml:space="preserve">Valdivia, I.M.A. &amp; </w:t>
      </w:r>
      <w:proofErr w:type="spellStart"/>
      <w:r w:rsidRPr="00B36059">
        <w:rPr>
          <w:sz w:val="22"/>
          <w:szCs w:val="22"/>
        </w:rPr>
        <w:t>Montoto</w:t>
      </w:r>
      <w:proofErr w:type="spellEnd"/>
      <w:r w:rsidRPr="00B36059">
        <w:rPr>
          <w:sz w:val="22"/>
          <w:szCs w:val="22"/>
        </w:rPr>
        <w:t xml:space="preserve">, I.G. (2017). Teachers’ intercultural competence: a requirement or </w:t>
      </w:r>
    </w:p>
    <w:p w14:paraId="37526650" w14:textId="77777777" w:rsidR="00B453F5" w:rsidRPr="00B36059" w:rsidRDefault="00B453F5" w:rsidP="00B453F5">
      <w:pPr>
        <w:ind w:left="720"/>
        <w:contextualSpacing/>
        <w:rPr>
          <w:sz w:val="22"/>
          <w:szCs w:val="22"/>
        </w:rPr>
      </w:pPr>
      <w:r w:rsidRPr="00B36059">
        <w:rPr>
          <w:sz w:val="22"/>
          <w:szCs w:val="22"/>
        </w:rPr>
        <w:t xml:space="preserve">an option in a culturally diverse classroom? </w:t>
      </w:r>
      <w:r w:rsidRPr="00B36059">
        <w:rPr>
          <w:i/>
          <w:iCs/>
          <w:sz w:val="22"/>
          <w:szCs w:val="22"/>
        </w:rPr>
        <w:t>International Journal of Inclusive Education</w:t>
      </w:r>
      <w:r w:rsidRPr="00B36059">
        <w:rPr>
          <w:sz w:val="22"/>
          <w:szCs w:val="22"/>
        </w:rPr>
        <w:t>. 22(5), 510-526.</w:t>
      </w:r>
    </w:p>
    <w:p w14:paraId="6F2BC9DA" w14:textId="09F654DA" w:rsidR="00B453F5" w:rsidRDefault="00B453F5" w:rsidP="00B453F5">
      <w:pPr>
        <w:contextualSpacing/>
        <w:rPr>
          <w:sz w:val="22"/>
          <w:szCs w:val="22"/>
        </w:rPr>
      </w:pPr>
    </w:p>
    <w:p w14:paraId="6C8C3083" w14:textId="77777777" w:rsidR="002733A7" w:rsidRDefault="002733A7" w:rsidP="00B453F5">
      <w:pPr>
        <w:contextualSpacing/>
        <w:rPr>
          <w:sz w:val="22"/>
          <w:szCs w:val="22"/>
        </w:rPr>
      </w:pPr>
      <w:r>
        <w:rPr>
          <w:sz w:val="22"/>
          <w:szCs w:val="22"/>
        </w:rPr>
        <w:t xml:space="preserve">Woods, A., </w:t>
      </w:r>
      <w:proofErr w:type="spellStart"/>
      <w:r>
        <w:rPr>
          <w:sz w:val="22"/>
          <w:szCs w:val="22"/>
        </w:rPr>
        <w:t>Sipple</w:t>
      </w:r>
      <w:proofErr w:type="spellEnd"/>
      <w:r>
        <w:rPr>
          <w:sz w:val="22"/>
          <w:szCs w:val="22"/>
        </w:rPr>
        <w:t xml:space="preserve">, S., Otten, M., &amp; </w:t>
      </w:r>
      <w:proofErr w:type="spellStart"/>
      <w:r>
        <w:rPr>
          <w:sz w:val="22"/>
          <w:szCs w:val="22"/>
        </w:rPr>
        <w:t>Roos</w:t>
      </w:r>
      <w:proofErr w:type="spellEnd"/>
      <w:r>
        <w:rPr>
          <w:sz w:val="22"/>
          <w:szCs w:val="22"/>
        </w:rPr>
        <w:t xml:space="preserve">, M. (2016). Navigating unchartered waters: Study abroad </w:t>
      </w:r>
    </w:p>
    <w:p w14:paraId="4A21E60B" w14:textId="3CDC5A97" w:rsidR="002733A7" w:rsidRDefault="002733A7" w:rsidP="002733A7">
      <w:pPr>
        <w:ind w:left="720"/>
        <w:contextualSpacing/>
        <w:rPr>
          <w:sz w:val="22"/>
          <w:szCs w:val="22"/>
        </w:rPr>
      </w:pPr>
      <w:r>
        <w:rPr>
          <w:sz w:val="22"/>
          <w:szCs w:val="22"/>
        </w:rPr>
        <w:t xml:space="preserve">predeparture activities and the 2-year-college student. </w:t>
      </w:r>
      <w:r w:rsidRPr="002733A7">
        <w:rPr>
          <w:i/>
          <w:iCs/>
          <w:sz w:val="22"/>
          <w:szCs w:val="22"/>
        </w:rPr>
        <w:t>Community College Journal of Research and Practice.</w:t>
      </w:r>
      <w:r>
        <w:rPr>
          <w:sz w:val="22"/>
          <w:szCs w:val="22"/>
        </w:rPr>
        <w:t xml:space="preserve"> 41(12), 867-880. DOI: 10.1080/10668926.20161242439.</w:t>
      </w:r>
    </w:p>
    <w:p w14:paraId="1EA062AD" w14:textId="77777777" w:rsidR="002733A7" w:rsidRPr="00B36059" w:rsidRDefault="002733A7" w:rsidP="00B453F5">
      <w:pPr>
        <w:contextualSpacing/>
        <w:rPr>
          <w:sz w:val="22"/>
          <w:szCs w:val="22"/>
        </w:rPr>
      </w:pPr>
    </w:p>
    <w:p w14:paraId="7DEB9246" w14:textId="77777777" w:rsidR="00B453F5" w:rsidRPr="00B36059" w:rsidRDefault="00B453F5" w:rsidP="00B453F5">
      <w:pPr>
        <w:rPr>
          <w:sz w:val="22"/>
          <w:szCs w:val="22"/>
        </w:rPr>
      </w:pPr>
      <w:proofErr w:type="spellStart"/>
      <w:r w:rsidRPr="00B36059">
        <w:rPr>
          <w:sz w:val="22"/>
          <w:szCs w:val="22"/>
        </w:rPr>
        <w:t>Yershova</w:t>
      </w:r>
      <w:proofErr w:type="spellEnd"/>
      <w:r w:rsidRPr="00B36059">
        <w:rPr>
          <w:sz w:val="22"/>
          <w:szCs w:val="22"/>
        </w:rPr>
        <w:t xml:space="preserve">, Y., </w:t>
      </w:r>
      <w:proofErr w:type="spellStart"/>
      <w:r w:rsidRPr="00B36059">
        <w:rPr>
          <w:sz w:val="22"/>
          <w:szCs w:val="22"/>
        </w:rPr>
        <w:t>DeJaeghere</w:t>
      </w:r>
      <w:proofErr w:type="spellEnd"/>
      <w:r w:rsidRPr="00B36059">
        <w:rPr>
          <w:sz w:val="22"/>
          <w:szCs w:val="22"/>
        </w:rPr>
        <w:t xml:space="preserve">, J., &amp; </w:t>
      </w:r>
      <w:proofErr w:type="spellStart"/>
      <w:r w:rsidRPr="00B36059">
        <w:rPr>
          <w:sz w:val="22"/>
          <w:szCs w:val="22"/>
        </w:rPr>
        <w:t>Mestenhauser</w:t>
      </w:r>
      <w:proofErr w:type="spellEnd"/>
      <w:r w:rsidRPr="00B36059">
        <w:rPr>
          <w:sz w:val="22"/>
          <w:szCs w:val="22"/>
        </w:rPr>
        <w:t xml:space="preserve">, J. (2000). Thinking not a Usual: Adding the </w:t>
      </w:r>
    </w:p>
    <w:p w14:paraId="51577ECA" w14:textId="77777777" w:rsidR="00B453F5" w:rsidRPr="00B36059" w:rsidRDefault="00B453F5" w:rsidP="00B453F5">
      <w:pPr>
        <w:ind w:left="720"/>
        <w:rPr>
          <w:sz w:val="22"/>
          <w:szCs w:val="22"/>
        </w:rPr>
      </w:pPr>
      <w:r w:rsidRPr="00B36059">
        <w:rPr>
          <w:sz w:val="22"/>
          <w:szCs w:val="22"/>
        </w:rPr>
        <w:t xml:space="preserve">Intercultural Perspective. </w:t>
      </w:r>
      <w:r w:rsidRPr="00B36059">
        <w:rPr>
          <w:i/>
          <w:iCs/>
          <w:sz w:val="22"/>
          <w:szCs w:val="22"/>
        </w:rPr>
        <w:t>Journal of Studies in International Education</w:t>
      </w:r>
      <w:r w:rsidRPr="00B36059">
        <w:rPr>
          <w:sz w:val="22"/>
          <w:szCs w:val="22"/>
        </w:rPr>
        <w:t xml:space="preserve">, </w:t>
      </w:r>
      <w:r w:rsidRPr="00B36059">
        <w:rPr>
          <w:i/>
          <w:iCs/>
          <w:sz w:val="22"/>
          <w:szCs w:val="22"/>
        </w:rPr>
        <w:t>4</w:t>
      </w:r>
      <w:r w:rsidRPr="00B36059">
        <w:rPr>
          <w:sz w:val="22"/>
          <w:szCs w:val="22"/>
        </w:rPr>
        <w:t>(1), 39–78. https://doi.org/10.1177/102831530000400105</w:t>
      </w:r>
    </w:p>
    <w:p w14:paraId="24A7F2DC" w14:textId="77777777" w:rsidR="00B453F5" w:rsidRDefault="00B453F5" w:rsidP="00B453F5"/>
    <w:p w14:paraId="56DB23CC" w14:textId="77777777" w:rsidR="00B453F5" w:rsidRPr="00112212" w:rsidRDefault="00B453F5" w:rsidP="0011635C">
      <w:pPr>
        <w:spacing w:line="360" w:lineRule="auto"/>
        <w:ind w:firstLine="720"/>
      </w:pPr>
    </w:p>
    <w:p w14:paraId="1E6E22EE" w14:textId="77777777" w:rsidR="0011635C" w:rsidRDefault="0011635C"/>
    <w:sectPr w:rsidR="00116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5C"/>
    <w:rsid w:val="0011635C"/>
    <w:rsid w:val="002733A7"/>
    <w:rsid w:val="004F1104"/>
    <w:rsid w:val="0058145C"/>
    <w:rsid w:val="00B453F5"/>
    <w:rsid w:val="00DB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D6D6A"/>
  <w15:chartTrackingRefBased/>
  <w15:docId w15:val="{C32B9F27-16EC-BE48-BA6D-B11B1257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35C"/>
  </w:style>
  <w:style w:type="character" w:styleId="CommentReference">
    <w:name w:val="annotation reference"/>
    <w:basedOn w:val="DefaultParagraphFont"/>
    <w:uiPriority w:val="99"/>
    <w:semiHidden/>
    <w:unhideWhenUsed/>
    <w:rsid w:val="0011635C"/>
    <w:rPr>
      <w:sz w:val="16"/>
      <w:szCs w:val="16"/>
    </w:rPr>
  </w:style>
  <w:style w:type="paragraph" w:styleId="CommentText">
    <w:name w:val="annotation text"/>
    <w:basedOn w:val="Normal"/>
    <w:link w:val="CommentTextChar"/>
    <w:uiPriority w:val="99"/>
    <w:semiHidden/>
    <w:unhideWhenUsed/>
    <w:rsid w:val="0011635C"/>
    <w:rPr>
      <w:sz w:val="20"/>
      <w:szCs w:val="20"/>
    </w:rPr>
  </w:style>
  <w:style w:type="character" w:customStyle="1" w:styleId="CommentTextChar">
    <w:name w:val="Comment Text Char"/>
    <w:basedOn w:val="DefaultParagraphFont"/>
    <w:link w:val="CommentText"/>
    <w:uiPriority w:val="99"/>
    <w:semiHidden/>
    <w:rsid w:val="0011635C"/>
    <w:rPr>
      <w:rFonts w:ascii="Times New Roman" w:eastAsia="Times New Roman" w:hAnsi="Times New Roman" w:cs="Times New Roman"/>
      <w:sz w:val="20"/>
      <w:szCs w:val="20"/>
    </w:rPr>
  </w:style>
  <w:style w:type="character" w:styleId="Hyperlink">
    <w:name w:val="Hyperlink"/>
    <w:uiPriority w:val="99"/>
    <w:rsid w:val="00B453F5"/>
    <w:rPr>
      <w:color w:val="0000FF"/>
      <w:u w:val="single"/>
    </w:rPr>
  </w:style>
  <w:style w:type="character" w:styleId="Emphasis">
    <w:name w:val="Emphasis"/>
    <w:basedOn w:val="DefaultParagraphFont"/>
    <w:uiPriority w:val="20"/>
    <w:qFormat/>
    <w:rsid w:val="00B453F5"/>
    <w:rPr>
      <w:i/>
      <w:iCs/>
    </w:rPr>
  </w:style>
  <w:style w:type="paragraph" w:customStyle="1" w:styleId="font8">
    <w:name w:val="font_8"/>
    <w:basedOn w:val="Normal"/>
    <w:rsid w:val="00B45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doorsdata.org/data/us-study-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2021-11-02T01:03:00Z</dcterms:created>
  <dcterms:modified xsi:type="dcterms:W3CDTF">2021-11-02T01:53:00Z</dcterms:modified>
</cp:coreProperties>
</file>