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FB5D" w14:textId="6C076AB3" w:rsidR="005110A7" w:rsidRPr="00B2714C" w:rsidRDefault="005110A7" w:rsidP="00B2714C">
      <w:pPr>
        <w:jc w:val="right"/>
        <w:rPr>
          <w:rFonts w:ascii="Times New Roman" w:hAnsi="Times New Roman" w:cs="Times New Roman"/>
          <w:b/>
          <w:bCs/>
        </w:rPr>
      </w:pPr>
      <w:r w:rsidRPr="00B2714C">
        <w:rPr>
          <w:rFonts w:ascii="Times New Roman" w:hAnsi="Times New Roman" w:cs="Times New Roman"/>
          <w:b/>
          <w:bCs/>
        </w:rPr>
        <w:t>Stephanie Mikulasek</w:t>
      </w:r>
    </w:p>
    <w:p w14:paraId="739552AE" w14:textId="23F59DE4" w:rsidR="005110A7" w:rsidRPr="00B2714C" w:rsidRDefault="005110A7" w:rsidP="00B2714C">
      <w:pPr>
        <w:jc w:val="right"/>
        <w:rPr>
          <w:rFonts w:ascii="Times New Roman" w:hAnsi="Times New Roman" w:cs="Times New Roman"/>
          <w:b/>
          <w:bCs/>
        </w:rPr>
      </w:pPr>
      <w:r w:rsidRPr="00B2714C">
        <w:rPr>
          <w:rFonts w:ascii="Times New Roman" w:hAnsi="Times New Roman" w:cs="Times New Roman"/>
          <w:b/>
          <w:bCs/>
        </w:rPr>
        <w:t>EDRS 822</w:t>
      </w:r>
      <w:r w:rsidR="00832513" w:rsidRPr="00B2714C">
        <w:rPr>
          <w:rFonts w:ascii="Times New Roman" w:hAnsi="Times New Roman" w:cs="Times New Roman"/>
          <w:b/>
          <w:bCs/>
        </w:rPr>
        <w:t xml:space="preserve">: </w:t>
      </w:r>
      <w:r w:rsidR="00832513" w:rsidRPr="00B2714C">
        <w:rPr>
          <w:rFonts w:ascii="Times New Roman" w:hAnsi="Times New Roman" w:cs="Times New Roman"/>
          <w:b/>
          <w:bCs/>
        </w:rPr>
        <w:t>Advanced Applications of Qualitative Methods</w:t>
      </w:r>
    </w:p>
    <w:p w14:paraId="20B70401" w14:textId="63BB83CC" w:rsidR="00832513" w:rsidRPr="00B2714C" w:rsidRDefault="00832513" w:rsidP="00B2714C">
      <w:pPr>
        <w:jc w:val="right"/>
        <w:rPr>
          <w:rFonts w:ascii="Times New Roman" w:hAnsi="Times New Roman" w:cs="Times New Roman"/>
          <w:b/>
          <w:bCs/>
        </w:rPr>
      </w:pPr>
      <w:r w:rsidRPr="00B2714C">
        <w:rPr>
          <w:rFonts w:ascii="Times New Roman" w:hAnsi="Times New Roman" w:cs="Times New Roman"/>
          <w:b/>
          <w:bCs/>
        </w:rPr>
        <w:t>Dr. Meagan Call-Cummings</w:t>
      </w:r>
    </w:p>
    <w:p w14:paraId="2BBC245E" w14:textId="2C0D0179" w:rsidR="00832513" w:rsidRPr="00B2714C" w:rsidRDefault="00832513" w:rsidP="00B2714C">
      <w:pPr>
        <w:jc w:val="right"/>
        <w:rPr>
          <w:rFonts w:ascii="Times New Roman" w:hAnsi="Times New Roman" w:cs="Times New Roman"/>
          <w:b/>
          <w:bCs/>
        </w:rPr>
      </w:pPr>
      <w:r w:rsidRPr="00B2714C">
        <w:rPr>
          <w:rFonts w:ascii="Times New Roman" w:hAnsi="Times New Roman" w:cs="Times New Roman"/>
          <w:b/>
          <w:bCs/>
        </w:rPr>
        <w:t>Spring 2022</w:t>
      </w:r>
    </w:p>
    <w:p w14:paraId="57057B22" w14:textId="77777777" w:rsidR="005110A7" w:rsidRPr="00B2714C" w:rsidRDefault="005110A7">
      <w:pPr>
        <w:rPr>
          <w:rFonts w:ascii="Times New Roman" w:hAnsi="Times New Roman" w:cs="Times New Roman"/>
        </w:rPr>
      </w:pPr>
    </w:p>
    <w:p w14:paraId="3FD86705" w14:textId="1301BB48" w:rsidR="00B2714C" w:rsidRPr="00B2714C" w:rsidRDefault="00B2714C" w:rsidP="00B2714C">
      <w:pPr>
        <w:jc w:val="center"/>
        <w:rPr>
          <w:rFonts w:ascii="Times New Roman" w:hAnsi="Times New Roman" w:cs="Times New Roman"/>
          <w:b/>
          <w:bCs/>
        </w:rPr>
      </w:pPr>
      <w:r w:rsidRPr="00B2714C">
        <w:rPr>
          <w:rFonts w:ascii="Times New Roman" w:hAnsi="Times New Roman" w:cs="Times New Roman"/>
          <w:b/>
          <w:bCs/>
        </w:rPr>
        <w:t>Final Reflection</w:t>
      </w:r>
    </w:p>
    <w:p w14:paraId="33A07D1B" w14:textId="77777777" w:rsidR="00B2714C" w:rsidRDefault="00B2714C">
      <w:pPr>
        <w:rPr>
          <w:rFonts w:ascii="Times New Roman" w:hAnsi="Times New Roman" w:cs="Times New Roman"/>
        </w:rPr>
      </w:pPr>
    </w:p>
    <w:p w14:paraId="6E79D284" w14:textId="0B8669E2" w:rsidR="001C7F4E" w:rsidRPr="00B2714C" w:rsidRDefault="001C7F4E" w:rsidP="008C46EB">
      <w:pPr>
        <w:spacing w:line="480" w:lineRule="auto"/>
        <w:ind w:firstLine="720"/>
        <w:rPr>
          <w:rFonts w:ascii="Times New Roman" w:hAnsi="Times New Roman" w:cs="Times New Roman"/>
        </w:rPr>
      </w:pPr>
      <w:r w:rsidRPr="00B2714C">
        <w:rPr>
          <w:rFonts w:ascii="Times New Roman" w:hAnsi="Times New Roman" w:cs="Times New Roman"/>
        </w:rPr>
        <w:t xml:space="preserve">For nearly 25 years, I have affixed my gaze </w:t>
      </w:r>
      <w:r w:rsidR="00F93A9C" w:rsidRPr="00B2714C">
        <w:rPr>
          <w:rFonts w:ascii="Times New Roman" w:hAnsi="Times New Roman" w:cs="Times New Roman"/>
        </w:rPr>
        <w:t xml:space="preserve">and passion </w:t>
      </w:r>
      <w:r w:rsidRPr="00B2714C">
        <w:rPr>
          <w:rFonts w:ascii="Times New Roman" w:hAnsi="Times New Roman" w:cs="Times New Roman"/>
        </w:rPr>
        <w:t>on understanding the lens through which others perceive their beliefs, values, and truths.  Other cultures, epistemologies, ontologies, and systems stand as a source of continual fascination and curiosity</w:t>
      </w:r>
      <w:r w:rsidR="00F93A9C" w:rsidRPr="00B2714C">
        <w:rPr>
          <w:rFonts w:ascii="Times New Roman" w:hAnsi="Times New Roman" w:cs="Times New Roman"/>
        </w:rPr>
        <w:t xml:space="preserve"> for me</w:t>
      </w:r>
      <w:r w:rsidRPr="00B2714C">
        <w:rPr>
          <w:rFonts w:ascii="Times New Roman" w:hAnsi="Times New Roman" w:cs="Times New Roman"/>
        </w:rPr>
        <w:t xml:space="preserve">, and </w:t>
      </w:r>
      <w:r w:rsidR="00F93A9C" w:rsidRPr="00B2714C">
        <w:rPr>
          <w:rFonts w:ascii="Times New Roman" w:hAnsi="Times New Roman" w:cs="Times New Roman"/>
        </w:rPr>
        <w:t xml:space="preserve">I </w:t>
      </w:r>
      <w:r w:rsidRPr="00B2714C">
        <w:rPr>
          <w:rFonts w:ascii="Times New Roman" w:hAnsi="Times New Roman" w:cs="Times New Roman"/>
        </w:rPr>
        <w:t>marvel at how the essenc</w:t>
      </w:r>
      <w:r w:rsidR="00F93A9C" w:rsidRPr="00B2714C">
        <w:rPr>
          <w:rFonts w:ascii="Times New Roman" w:hAnsi="Times New Roman" w:cs="Times New Roman"/>
        </w:rPr>
        <w:t>e</w:t>
      </w:r>
      <w:r w:rsidRPr="00B2714C">
        <w:rPr>
          <w:rFonts w:ascii="Times New Roman" w:hAnsi="Times New Roman" w:cs="Times New Roman"/>
        </w:rPr>
        <w:t xml:space="preserve"> of our humanness and human development is revealed in </w:t>
      </w:r>
      <w:r w:rsidR="008C46EB">
        <w:rPr>
          <w:rFonts w:ascii="Times New Roman" w:hAnsi="Times New Roman" w:cs="Times New Roman"/>
        </w:rPr>
        <w:t xml:space="preserve">ourselves and </w:t>
      </w:r>
      <w:r w:rsidRPr="00B2714C">
        <w:rPr>
          <w:rFonts w:ascii="Times New Roman" w:hAnsi="Times New Roman" w:cs="Times New Roman"/>
        </w:rPr>
        <w:t xml:space="preserve">the Other.  This curiosity is not new in humankind.  Explorers, adventurers, missionaries, </w:t>
      </w:r>
      <w:r w:rsidR="003064D5" w:rsidRPr="00B2714C">
        <w:rPr>
          <w:rFonts w:ascii="Times New Roman" w:hAnsi="Times New Roman" w:cs="Times New Roman"/>
        </w:rPr>
        <w:t>academics, dip</w:t>
      </w:r>
      <w:r w:rsidR="006F53A6" w:rsidRPr="00B2714C">
        <w:rPr>
          <w:rFonts w:ascii="Times New Roman" w:hAnsi="Times New Roman" w:cs="Times New Roman"/>
        </w:rPr>
        <w:t>l</w:t>
      </w:r>
      <w:r w:rsidR="003064D5" w:rsidRPr="00B2714C">
        <w:rPr>
          <w:rFonts w:ascii="Times New Roman" w:hAnsi="Times New Roman" w:cs="Times New Roman"/>
        </w:rPr>
        <w:t xml:space="preserve">omats, </w:t>
      </w:r>
      <w:r w:rsidRPr="00B2714C">
        <w:rPr>
          <w:rFonts w:ascii="Times New Roman" w:hAnsi="Times New Roman" w:cs="Times New Roman"/>
        </w:rPr>
        <w:t>conquerors, and others have traversed the planet, seeking some symbolic or financial award for their journeys</w:t>
      </w:r>
      <w:r w:rsidR="003064D5" w:rsidRPr="00B2714C">
        <w:rPr>
          <w:rFonts w:ascii="Times New Roman" w:hAnsi="Times New Roman" w:cs="Times New Roman"/>
        </w:rPr>
        <w:t xml:space="preserve"> with consequences ranging from the anodyne to the catastrophic.  The point therein is the fact of consequence.  When two “Others” intersect, to use Tuhiwai Smith’s </w:t>
      </w:r>
      <w:r w:rsidR="006F53A6" w:rsidRPr="00B2714C">
        <w:rPr>
          <w:rFonts w:ascii="Times New Roman" w:hAnsi="Times New Roman" w:cs="Times New Roman"/>
        </w:rPr>
        <w:t xml:space="preserve">(1999) </w:t>
      </w:r>
      <w:r w:rsidR="003064D5" w:rsidRPr="00B2714C">
        <w:rPr>
          <w:rFonts w:ascii="Times New Roman" w:hAnsi="Times New Roman" w:cs="Times New Roman"/>
        </w:rPr>
        <w:t xml:space="preserve">definition of Other, something occurs.  Whether that </w:t>
      </w:r>
      <w:r w:rsidR="003064D5" w:rsidRPr="00B2714C">
        <w:rPr>
          <w:rFonts w:ascii="Times New Roman" w:hAnsi="Times New Roman" w:cs="Times New Roman"/>
          <w:i/>
          <w:iCs/>
        </w:rPr>
        <w:t>something</w:t>
      </w:r>
      <w:r w:rsidR="003064D5" w:rsidRPr="00B2714C">
        <w:rPr>
          <w:rFonts w:ascii="Times New Roman" w:hAnsi="Times New Roman" w:cs="Times New Roman"/>
        </w:rPr>
        <w:t xml:space="preserve"> will be </w:t>
      </w:r>
      <w:r w:rsidR="006F53A6" w:rsidRPr="00B2714C">
        <w:rPr>
          <w:rFonts w:ascii="Times New Roman" w:hAnsi="Times New Roman" w:cs="Times New Roman"/>
        </w:rPr>
        <w:t xml:space="preserve">destructive, reductive, inductive, or productive depends on deep awareness </w:t>
      </w:r>
      <w:r w:rsidR="00C11C8C" w:rsidRPr="00B2714C">
        <w:rPr>
          <w:rFonts w:ascii="Times New Roman" w:hAnsi="Times New Roman" w:cs="Times New Roman"/>
        </w:rPr>
        <w:t xml:space="preserve">of and critical action on </w:t>
      </w:r>
      <w:r w:rsidR="006F53A6" w:rsidRPr="00B2714C">
        <w:rPr>
          <w:rFonts w:ascii="Times New Roman" w:hAnsi="Times New Roman" w:cs="Times New Roman"/>
        </w:rPr>
        <w:t xml:space="preserve">the dynamic between the two Others.  Arguably, </w:t>
      </w:r>
      <w:r w:rsidR="008C46EB" w:rsidRPr="00B2714C">
        <w:rPr>
          <w:rFonts w:ascii="Times New Roman" w:hAnsi="Times New Roman" w:cs="Times New Roman"/>
        </w:rPr>
        <w:t>like</w:t>
      </w:r>
      <w:r w:rsidR="00F93A9C" w:rsidRPr="00B2714C">
        <w:rPr>
          <w:rFonts w:ascii="Times New Roman" w:hAnsi="Times New Roman" w:cs="Times New Roman"/>
        </w:rPr>
        <w:t xml:space="preserve"> other relationships in which there is a dominant and subordinate element, </w:t>
      </w:r>
      <w:r w:rsidR="006F53A6" w:rsidRPr="00B2714C">
        <w:rPr>
          <w:rFonts w:ascii="Times New Roman" w:hAnsi="Times New Roman" w:cs="Times New Roman"/>
        </w:rPr>
        <w:t xml:space="preserve">the Other </w:t>
      </w:r>
      <w:r w:rsidR="00F93A9C" w:rsidRPr="00B2714C">
        <w:rPr>
          <w:rFonts w:ascii="Times New Roman" w:hAnsi="Times New Roman" w:cs="Times New Roman"/>
        </w:rPr>
        <w:t xml:space="preserve">who holds </w:t>
      </w:r>
      <w:r w:rsidR="006F53A6" w:rsidRPr="00B2714C">
        <w:rPr>
          <w:rFonts w:ascii="Times New Roman" w:hAnsi="Times New Roman" w:cs="Times New Roman"/>
        </w:rPr>
        <w:t xml:space="preserve">perceived power holds a greater responsibility for this awareness </w:t>
      </w:r>
      <w:proofErr w:type="gramStart"/>
      <w:r w:rsidR="006F53A6" w:rsidRPr="00B2714C">
        <w:rPr>
          <w:rFonts w:ascii="Times New Roman" w:hAnsi="Times New Roman" w:cs="Times New Roman"/>
        </w:rPr>
        <w:t>in order to</w:t>
      </w:r>
      <w:proofErr w:type="gramEnd"/>
      <w:r w:rsidR="006F53A6" w:rsidRPr="00B2714C">
        <w:rPr>
          <w:rFonts w:ascii="Times New Roman" w:hAnsi="Times New Roman" w:cs="Times New Roman"/>
        </w:rPr>
        <w:t xml:space="preserve"> mitigate and prevent reduction and </w:t>
      </w:r>
      <w:r w:rsidR="00C11C8C" w:rsidRPr="00B2714C">
        <w:rPr>
          <w:rFonts w:ascii="Times New Roman" w:hAnsi="Times New Roman" w:cs="Times New Roman"/>
        </w:rPr>
        <w:t>deficit.</w:t>
      </w:r>
    </w:p>
    <w:p w14:paraId="341688C5" w14:textId="750000DB" w:rsidR="00C11C8C" w:rsidRPr="00B2714C" w:rsidRDefault="00C11C8C" w:rsidP="008C46EB">
      <w:pPr>
        <w:spacing w:line="480" w:lineRule="auto"/>
        <w:ind w:firstLine="720"/>
        <w:rPr>
          <w:rFonts w:ascii="Times New Roman" w:hAnsi="Times New Roman" w:cs="Times New Roman"/>
        </w:rPr>
      </w:pPr>
      <w:r w:rsidRPr="00B2714C">
        <w:rPr>
          <w:rFonts w:ascii="Times New Roman" w:hAnsi="Times New Roman" w:cs="Times New Roman"/>
        </w:rPr>
        <w:t xml:space="preserve">Unfortunately, this depth of self-awareness is shallow, if present at all, during </w:t>
      </w:r>
      <w:r w:rsidR="008C46EB">
        <w:rPr>
          <w:rFonts w:ascii="Times New Roman" w:hAnsi="Times New Roman" w:cs="Times New Roman"/>
        </w:rPr>
        <w:t xml:space="preserve">most </w:t>
      </w:r>
      <w:r w:rsidRPr="00B2714C">
        <w:rPr>
          <w:rFonts w:ascii="Times New Roman" w:hAnsi="Times New Roman" w:cs="Times New Roman"/>
        </w:rPr>
        <w:t>encounters.  Reflexive questioning, genuine co-creation, and authentic listening too often fall to the side in exchange for extraction and self-interest</w:t>
      </w:r>
      <w:r w:rsidR="00F93A9C" w:rsidRPr="00B2714C">
        <w:rPr>
          <w:rFonts w:ascii="Times New Roman" w:hAnsi="Times New Roman" w:cs="Times New Roman"/>
        </w:rPr>
        <w:t>, and further, is considered normalized behavior</w:t>
      </w:r>
      <w:r w:rsidR="008C46EB">
        <w:rPr>
          <w:rFonts w:ascii="Times New Roman" w:hAnsi="Times New Roman" w:cs="Times New Roman"/>
        </w:rPr>
        <w:t xml:space="preserve"> and so </w:t>
      </w:r>
      <w:r w:rsidR="00BF0A4C">
        <w:rPr>
          <w:rFonts w:ascii="Times New Roman" w:hAnsi="Times New Roman" w:cs="Times New Roman"/>
        </w:rPr>
        <w:t>ignorant or dismissive of a need for</w:t>
      </w:r>
      <w:r w:rsidR="008C46EB">
        <w:rPr>
          <w:rFonts w:ascii="Times New Roman" w:hAnsi="Times New Roman" w:cs="Times New Roman"/>
        </w:rPr>
        <w:t xml:space="preserve"> modification</w:t>
      </w:r>
      <w:r w:rsidRPr="00B2714C">
        <w:rPr>
          <w:rFonts w:ascii="Times New Roman" w:hAnsi="Times New Roman" w:cs="Times New Roman"/>
        </w:rPr>
        <w:t xml:space="preserve">.  </w:t>
      </w:r>
      <w:r w:rsidR="00F93A9C" w:rsidRPr="00B2714C">
        <w:rPr>
          <w:rFonts w:ascii="Times New Roman" w:hAnsi="Times New Roman" w:cs="Times New Roman"/>
        </w:rPr>
        <w:t>However, t</w:t>
      </w:r>
      <w:r w:rsidRPr="00B2714C">
        <w:rPr>
          <w:rFonts w:ascii="Times New Roman" w:hAnsi="Times New Roman" w:cs="Times New Roman"/>
        </w:rPr>
        <w:t>his seemingly intractable challenge</w:t>
      </w:r>
      <w:r w:rsidR="002F43D9" w:rsidRPr="00B2714C">
        <w:rPr>
          <w:rFonts w:ascii="Times New Roman" w:hAnsi="Times New Roman" w:cs="Times New Roman"/>
        </w:rPr>
        <w:t xml:space="preserve"> can be positively addressed </w:t>
      </w:r>
      <w:r w:rsidR="008C46EB">
        <w:rPr>
          <w:rFonts w:ascii="Times New Roman" w:hAnsi="Times New Roman" w:cs="Times New Roman"/>
        </w:rPr>
        <w:t xml:space="preserve">beginning </w:t>
      </w:r>
      <w:r w:rsidR="002F43D9" w:rsidRPr="00B2714C">
        <w:rPr>
          <w:rFonts w:ascii="Times New Roman" w:hAnsi="Times New Roman" w:cs="Times New Roman"/>
        </w:rPr>
        <w:t>by noticing and pausing at the encounter.  Such noticing requires deep self-awareness that such an encounter is about to occur</w:t>
      </w:r>
      <w:r w:rsidR="008E61C1" w:rsidRPr="00B2714C">
        <w:rPr>
          <w:rFonts w:ascii="Times New Roman" w:hAnsi="Times New Roman" w:cs="Times New Roman"/>
        </w:rPr>
        <w:t xml:space="preserve">, followed by a pause to reflect </w:t>
      </w:r>
      <w:r w:rsidR="002F43D9" w:rsidRPr="00B2714C">
        <w:rPr>
          <w:rFonts w:ascii="Times New Roman" w:hAnsi="Times New Roman" w:cs="Times New Roman"/>
        </w:rPr>
        <w:t xml:space="preserve">and a corresponding recognition of choice in how to proceed.  </w:t>
      </w:r>
      <w:r w:rsidR="008E61C1" w:rsidRPr="00B2714C">
        <w:rPr>
          <w:rFonts w:ascii="Times New Roman" w:hAnsi="Times New Roman" w:cs="Times New Roman"/>
        </w:rPr>
        <w:t xml:space="preserve">I </w:t>
      </w:r>
      <w:r w:rsidR="008E61C1" w:rsidRPr="00B2714C">
        <w:rPr>
          <w:rFonts w:ascii="Times New Roman" w:hAnsi="Times New Roman" w:cs="Times New Roman"/>
        </w:rPr>
        <w:lastRenderedPageBreak/>
        <w:t>suggest that w</w:t>
      </w:r>
      <w:r w:rsidR="002F43D9" w:rsidRPr="00B2714C">
        <w:rPr>
          <w:rFonts w:ascii="Times New Roman" w:hAnsi="Times New Roman" w:cs="Times New Roman"/>
        </w:rPr>
        <w:t xml:space="preserve">hen one </w:t>
      </w:r>
      <w:proofErr w:type="gramStart"/>
      <w:r w:rsidR="002F43D9" w:rsidRPr="00B2714C">
        <w:rPr>
          <w:rFonts w:ascii="Times New Roman" w:hAnsi="Times New Roman" w:cs="Times New Roman"/>
        </w:rPr>
        <w:t>Other</w:t>
      </w:r>
      <w:proofErr w:type="gramEnd"/>
      <w:r w:rsidR="002F43D9" w:rsidRPr="00B2714C">
        <w:rPr>
          <w:rFonts w:ascii="Times New Roman" w:hAnsi="Times New Roman" w:cs="Times New Roman"/>
        </w:rPr>
        <w:t xml:space="preserve"> holds power, he or she is accountable for this noticing and pausing if productive, grounded, and authentic encounters might occur.  The Other without </w:t>
      </w:r>
      <w:r w:rsidR="008C46EB">
        <w:rPr>
          <w:rFonts w:ascii="Times New Roman" w:hAnsi="Times New Roman" w:cs="Times New Roman"/>
        </w:rPr>
        <w:t xml:space="preserve">perceived </w:t>
      </w:r>
      <w:r w:rsidR="002F43D9" w:rsidRPr="00B2714C">
        <w:rPr>
          <w:rFonts w:ascii="Times New Roman" w:hAnsi="Times New Roman" w:cs="Times New Roman"/>
        </w:rPr>
        <w:t xml:space="preserve">power is responsible for holding the nature of the </w:t>
      </w:r>
      <w:proofErr w:type="gramStart"/>
      <w:r w:rsidR="002F43D9" w:rsidRPr="00B2714C">
        <w:rPr>
          <w:rFonts w:ascii="Times New Roman" w:hAnsi="Times New Roman" w:cs="Times New Roman"/>
        </w:rPr>
        <w:t>encounter, and</w:t>
      </w:r>
      <w:proofErr w:type="gramEnd"/>
      <w:r w:rsidR="002F43D9" w:rsidRPr="00B2714C">
        <w:rPr>
          <w:rFonts w:ascii="Times New Roman" w:hAnsi="Times New Roman" w:cs="Times New Roman"/>
        </w:rPr>
        <w:t xml:space="preserve"> choosing or not choosing to engage.  </w:t>
      </w:r>
      <w:r w:rsidR="008F31FF" w:rsidRPr="00B2714C">
        <w:rPr>
          <w:rFonts w:ascii="Times New Roman" w:hAnsi="Times New Roman" w:cs="Times New Roman"/>
        </w:rPr>
        <w:t>Importantly, b</w:t>
      </w:r>
      <w:r w:rsidR="002F43D9" w:rsidRPr="00B2714C">
        <w:rPr>
          <w:rFonts w:ascii="Times New Roman" w:hAnsi="Times New Roman" w:cs="Times New Roman"/>
        </w:rPr>
        <w:t>oth Others are empowered</w:t>
      </w:r>
      <w:r w:rsidR="008F31FF" w:rsidRPr="00B2714C">
        <w:rPr>
          <w:rFonts w:ascii="Times New Roman" w:hAnsi="Times New Roman" w:cs="Times New Roman"/>
        </w:rPr>
        <w:t xml:space="preserve">; the greater concern is too often the subordinate </w:t>
      </w:r>
      <w:proofErr w:type="gramStart"/>
      <w:r w:rsidR="008F31FF" w:rsidRPr="00B2714C">
        <w:rPr>
          <w:rFonts w:ascii="Times New Roman" w:hAnsi="Times New Roman" w:cs="Times New Roman"/>
        </w:rPr>
        <w:t>Other</w:t>
      </w:r>
      <w:proofErr w:type="gramEnd"/>
      <w:r w:rsidR="008F31FF" w:rsidRPr="00B2714C">
        <w:rPr>
          <w:rFonts w:ascii="Times New Roman" w:hAnsi="Times New Roman" w:cs="Times New Roman"/>
        </w:rPr>
        <w:t xml:space="preserve"> neglects or forgets their power, and the dominant Other is blind to the dynamic.</w:t>
      </w:r>
    </w:p>
    <w:p w14:paraId="60CC0C5E" w14:textId="77777777" w:rsidR="00D75A42" w:rsidRDefault="008F31FF" w:rsidP="008C46EB">
      <w:pPr>
        <w:spacing w:line="480" w:lineRule="auto"/>
        <w:ind w:firstLine="720"/>
        <w:rPr>
          <w:rFonts w:ascii="Times New Roman" w:hAnsi="Times New Roman" w:cs="Times New Roman"/>
        </w:rPr>
      </w:pPr>
      <w:r w:rsidRPr="00B2714C">
        <w:rPr>
          <w:rFonts w:ascii="Times New Roman" w:hAnsi="Times New Roman" w:cs="Times New Roman"/>
        </w:rPr>
        <w:t>This reckoning is crucial to my role as a researcher, diplomat, and human.  Given my research</w:t>
      </w:r>
      <w:r w:rsidR="008E61C1" w:rsidRPr="00B2714C">
        <w:rPr>
          <w:rFonts w:ascii="Times New Roman" w:hAnsi="Times New Roman" w:cs="Times New Roman"/>
        </w:rPr>
        <w:t xml:space="preserve"> and </w:t>
      </w:r>
      <w:r w:rsidRPr="00B2714C">
        <w:rPr>
          <w:rFonts w:ascii="Times New Roman" w:hAnsi="Times New Roman" w:cs="Times New Roman"/>
        </w:rPr>
        <w:t xml:space="preserve">personal interests </w:t>
      </w:r>
      <w:r w:rsidR="00BF0A4C">
        <w:rPr>
          <w:rFonts w:ascii="Times New Roman" w:hAnsi="Times New Roman" w:cs="Times New Roman"/>
        </w:rPr>
        <w:t xml:space="preserve">are </w:t>
      </w:r>
      <w:r w:rsidRPr="00B2714C">
        <w:rPr>
          <w:rFonts w:ascii="Times New Roman" w:hAnsi="Times New Roman" w:cs="Times New Roman"/>
        </w:rPr>
        <w:t xml:space="preserve">in developing intercultural competency, I am thrust into the middle of this encounter and must attune to the risks of the “dirty” nature of research (Tuhiwai Smith, 1999) and desire to do no harm.  </w:t>
      </w:r>
      <w:r w:rsidR="00853341">
        <w:rPr>
          <w:rFonts w:ascii="Times New Roman" w:hAnsi="Times New Roman" w:cs="Times New Roman"/>
        </w:rPr>
        <w:t xml:space="preserve">Even the term “competency” suggests the power to judge.  How am I deciding what constitutes “intercultural competency” or not?  What does this term mean to me, and how might it mean to another?  Many of the researchers in this course grapple with this question of definitions and terms; who creates the questions and frameworks in which those questions are asked, and how do these dynamics affect the integrity of decolonization </w:t>
      </w:r>
      <w:proofErr w:type="spellStart"/>
      <w:r w:rsidR="00853341">
        <w:rPr>
          <w:rFonts w:ascii="Times New Roman" w:hAnsi="Times New Roman" w:cs="Times New Roman"/>
        </w:rPr>
        <w:t xml:space="preserve">efforts?  </w:t>
      </w:r>
      <w:proofErr w:type="spellEnd"/>
    </w:p>
    <w:p w14:paraId="0CBD9821" w14:textId="3257A35F" w:rsidR="00D75A42" w:rsidRDefault="00D75A42" w:rsidP="008C46EB">
      <w:pPr>
        <w:spacing w:line="480" w:lineRule="auto"/>
        <w:ind w:firstLine="720"/>
        <w:rPr>
          <w:rFonts w:ascii="Times New Roman" w:hAnsi="Times New Roman" w:cs="Times New Roman"/>
        </w:rPr>
      </w:pPr>
      <w:r w:rsidRPr="008D7A4D">
        <w:rPr>
          <w:rFonts w:ascii="Times New Roman" w:hAnsi="Times New Roman" w:cs="Times New Roman"/>
        </w:rPr>
        <w:t>To define the term intercultural competency</w:t>
      </w:r>
      <w:r>
        <w:rPr>
          <w:rFonts w:ascii="Times New Roman" w:hAnsi="Times New Roman" w:cs="Times New Roman"/>
        </w:rPr>
        <w:t xml:space="preserve"> in my research so far</w:t>
      </w:r>
      <w:r w:rsidRPr="008D7A4D">
        <w:rPr>
          <w:rFonts w:ascii="Times New Roman" w:hAnsi="Times New Roman" w:cs="Times New Roman"/>
        </w:rPr>
        <w:t xml:space="preserve">, I lean on the work of </w:t>
      </w:r>
      <w:proofErr w:type="spellStart"/>
      <w:r w:rsidRPr="008D7A4D">
        <w:rPr>
          <w:rFonts w:ascii="Times New Roman" w:hAnsi="Times New Roman" w:cs="Times New Roman"/>
        </w:rPr>
        <w:t>Cushner</w:t>
      </w:r>
      <w:proofErr w:type="spellEnd"/>
      <w:r w:rsidRPr="008D7A4D">
        <w:rPr>
          <w:rFonts w:ascii="Times New Roman" w:hAnsi="Times New Roman" w:cs="Times New Roman"/>
        </w:rPr>
        <w:t xml:space="preserve"> (2011) and Deardorff (2006).  </w:t>
      </w:r>
      <w:proofErr w:type="spellStart"/>
      <w:r w:rsidRPr="008D7A4D">
        <w:rPr>
          <w:rFonts w:ascii="Times New Roman" w:hAnsi="Times New Roman" w:cs="Times New Roman"/>
        </w:rPr>
        <w:t>Cushner</w:t>
      </w:r>
      <w:proofErr w:type="spellEnd"/>
      <w:r w:rsidRPr="008D7A4D">
        <w:rPr>
          <w:rFonts w:ascii="Times New Roman" w:hAnsi="Times New Roman" w:cs="Times New Roman"/>
        </w:rPr>
        <w:t xml:space="preserve"> (2011) defines this competency as the “capacity and ability enable people to be successful with a wide range of culturally diverse contexts” (p. 206).  Deardorff articulates three components of intercultural competency: attitudes, knowledge, and skills.  Whatley, Landon, Tarrant, and Rubin (2020) also emphasize the importance of reflection and self-awareness.  Paras, Carignan, Brenner, Hardy, </w:t>
      </w:r>
      <w:proofErr w:type="spellStart"/>
      <w:r w:rsidRPr="008D7A4D">
        <w:rPr>
          <w:rFonts w:ascii="Times New Roman" w:hAnsi="Times New Roman" w:cs="Times New Roman"/>
        </w:rPr>
        <w:t>Malmgren</w:t>
      </w:r>
      <w:proofErr w:type="spellEnd"/>
      <w:r w:rsidRPr="008D7A4D">
        <w:rPr>
          <w:rFonts w:ascii="Times New Roman" w:hAnsi="Times New Roman" w:cs="Times New Roman"/>
        </w:rPr>
        <w:t xml:space="preserve"> and </w:t>
      </w:r>
      <w:proofErr w:type="spellStart"/>
      <w:r w:rsidRPr="008D7A4D">
        <w:rPr>
          <w:rFonts w:ascii="Times New Roman" w:hAnsi="Times New Roman" w:cs="Times New Roman"/>
        </w:rPr>
        <w:t>Rathburn</w:t>
      </w:r>
      <w:proofErr w:type="spellEnd"/>
      <w:r w:rsidRPr="008D7A4D">
        <w:rPr>
          <w:rFonts w:ascii="Times New Roman" w:hAnsi="Times New Roman" w:cs="Times New Roman"/>
        </w:rPr>
        <w:t xml:space="preserve"> (2019) use </w:t>
      </w:r>
      <w:proofErr w:type="spellStart"/>
      <w:r w:rsidRPr="008D7A4D">
        <w:rPr>
          <w:rFonts w:ascii="Times New Roman" w:hAnsi="Times New Roman" w:cs="Times New Roman"/>
        </w:rPr>
        <w:t>Vande</w:t>
      </w:r>
      <w:proofErr w:type="spellEnd"/>
      <w:r w:rsidRPr="008D7A4D">
        <w:rPr>
          <w:rFonts w:ascii="Times New Roman" w:hAnsi="Times New Roman" w:cs="Times New Roman"/>
        </w:rPr>
        <w:t xml:space="preserve"> Berg’s development framework to define intercultural competency as a process of </w:t>
      </w:r>
      <w:r w:rsidRPr="008D7A4D">
        <w:rPr>
          <w:rFonts w:ascii="Times New Roman" w:hAnsi="Times New Roman" w:cs="Times New Roman"/>
        </w:rPr>
        <w:lastRenderedPageBreak/>
        <w:t xml:space="preserve">“cultivating cultural self-awareness, development awareness of others, managing emotions, and bridging cultural gaps” (p. 24).  </w:t>
      </w:r>
    </w:p>
    <w:p w14:paraId="4DF9E2C9" w14:textId="77777777" w:rsidR="00BF154E" w:rsidRDefault="00D75A42" w:rsidP="008C46EB">
      <w:pPr>
        <w:spacing w:line="480" w:lineRule="auto"/>
        <w:ind w:firstLine="720"/>
        <w:rPr>
          <w:rFonts w:ascii="Times New Roman" w:hAnsi="Times New Roman" w:cs="Times New Roman"/>
        </w:rPr>
      </w:pPr>
      <w:r>
        <w:rPr>
          <w:rFonts w:ascii="Times New Roman" w:hAnsi="Times New Roman" w:cs="Times New Roman"/>
        </w:rPr>
        <w:t>While I can articulate this definition and propose its efficacy as a framework for my questions, I must be attune</w:t>
      </w:r>
      <w:r w:rsidR="00570741">
        <w:rPr>
          <w:rFonts w:ascii="Times New Roman" w:hAnsi="Times New Roman" w:cs="Times New Roman"/>
        </w:rPr>
        <w:t>d</w:t>
      </w:r>
      <w:r>
        <w:rPr>
          <w:rFonts w:ascii="Times New Roman" w:hAnsi="Times New Roman" w:cs="Times New Roman"/>
        </w:rPr>
        <w:t xml:space="preserve"> to the power I assert by defining the context of my question.  On the one hand, </w:t>
      </w:r>
      <w:r w:rsidR="00570741">
        <w:rPr>
          <w:rFonts w:ascii="Times New Roman" w:hAnsi="Times New Roman" w:cs="Times New Roman"/>
        </w:rPr>
        <w:t xml:space="preserve">as a researcher, I need to define and frame my intent.  On the other hand, my framing is only half of the conversation; the </w:t>
      </w:r>
      <w:proofErr w:type="gramStart"/>
      <w:r w:rsidR="00570741">
        <w:rPr>
          <w:rFonts w:ascii="Times New Roman" w:hAnsi="Times New Roman" w:cs="Times New Roman"/>
        </w:rPr>
        <w:t>Other</w:t>
      </w:r>
      <w:proofErr w:type="gramEnd"/>
      <w:r w:rsidR="00570741">
        <w:rPr>
          <w:rFonts w:ascii="Times New Roman" w:hAnsi="Times New Roman" w:cs="Times New Roman"/>
        </w:rPr>
        <w:t xml:space="preserve"> holds part of the conversation and engagement too.  If I am seeking to understand someone’s intercultural competency, I must invite the Other to define intercultural competency, should those terms be relevant, for him or herself.  If not, I am merely “fitting in” the Other into my framework, thereby artificially layering a perspective that may or may not be relevant.  </w:t>
      </w:r>
    </w:p>
    <w:p w14:paraId="2669B443" w14:textId="65B2D13F" w:rsidR="00853341" w:rsidRDefault="00BF154E" w:rsidP="00BF154E">
      <w:pPr>
        <w:spacing w:line="480" w:lineRule="auto"/>
        <w:ind w:firstLine="720"/>
        <w:rPr>
          <w:rFonts w:ascii="Times New Roman" w:hAnsi="Times New Roman" w:cs="Times New Roman"/>
        </w:rPr>
      </w:pPr>
      <w:r>
        <w:rPr>
          <w:rFonts w:ascii="Times New Roman" w:hAnsi="Times New Roman" w:cs="Times New Roman"/>
        </w:rPr>
        <w:t>I also</w:t>
      </w:r>
      <w:r w:rsidRPr="008D7A4D">
        <w:rPr>
          <w:rFonts w:ascii="Times New Roman" w:hAnsi="Times New Roman" w:cs="Times New Roman"/>
        </w:rPr>
        <w:t xml:space="preserve"> </w:t>
      </w:r>
      <w:r>
        <w:rPr>
          <w:rFonts w:ascii="Times New Roman" w:hAnsi="Times New Roman" w:cs="Times New Roman"/>
        </w:rPr>
        <w:t xml:space="preserve">note </w:t>
      </w:r>
      <w:r w:rsidRPr="008D7A4D">
        <w:rPr>
          <w:rFonts w:ascii="Times New Roman" w:hAnsi="Times New Roman" w:cs="Times New Roman"/>
        </w:rPr>
        <w:t xml:space="preserve">my constructivist and social constructivist epistemological lens, meaning I attach validity to the experiences, stories, narratives, ontologies, and epistemologies of others, and further, that we gain knowledge of the world by interpreting and understanding the meaning that individuals attach to their actions.   </w:t>
      </w:r>
      <w:r>
        <w:rPr>
          <w:rFonts w:ascii="Times New Roman" w:hAnsi="Times New Roman" w:cs="Times New Roman"/>
        </w:rPr>
        <w:t>How does this lens affect my research?  H</w:t>
      </w:r>
      <w:r w:rsidR="00AF2471" w:rsidRPr="00B2714C">
        <w:rPr>
          <w:rFonts w:ascii="Times New Roman" w:hAnsi="Times New Roman" w:cs="Times New Roman"/>
        </w:rPr>
        <w:t>ow do I engage in my research</w:t>
      </w:r>
      <w:r w:rsidR="005110A7" w:rsidRPr="00B2714C">
        <w:rPr>
          <w:rFonts w:ascii="Times New Roman" w:hAnsi="Times New Roman" w:cs="Times New Roman"/>
        </w:rPr>
        <w:t xml:space="preserve"> effectively to avoid damage and reduction of the individuals I seek to </w:t>
      </w:r>
      <w:r w:rsidR="008E61C1" w:rsidRPr="00B2714C">
        <w:rPr>
          <w:rFonts w:ascii="Times New Roman" w:hAnsi="Times New Roman" w:cs="Times New Roman"/>
        </w:rPr>
        <w:t xml:space="preserve">know?  How do I help others navigate ways to decolonize research, partner with communities, co-create </w:t>
      </w:r>
      <w:proofErr w:type="gramStart"/>
      <w:r w:rsidR="008E61C1" w:rsidRPr="00B2714C">
        <w:rPr>
          <w:rFonts w:ascii="Times New Roman" w:hAnsi="Times New Roman" w:cs="Times New Roman"/>
        </w:rPr>
        <w:t xml:space="preserve">the </w:t>
      </w:r>
      <w:r w:rsidR="008E61C1" w:rsidRPr="00B2714C">
        <w:rPr>
          <w:rFonts w:ascii="Times New Roman" w:hAnsi="Times New Roman" w:cs="Times New Roman"/>
          <w:i/>
          <w:iCs/>
        </w:rPr>
        <w:t>we</w:t>
      </w:r>
      <w:proofErr w:type="gramEnd"/>
      <w:r w:rsidR="008E61C1" w:rsidRPr="00B2714C">
        <w:rPr>
          <w:rFonts w:ascii="Times New Roman" w:hAnsi="Times New Roman" w:cs="Times New Roman"/>
        </w:rPr>
        <w:t>, and seek common objectives?</w:t>
      </w:r>
      <w:r w:rsidR="00A4762B" w:rsidRPr="00B2714C">
        <w:rPr>
          <w:rFonts w:ascii="Times New Roman" w:hAnsi="Times New Roman" w:cs="Times New Roman"/>
        </w:rPr>
        <w:t xml:space="preserve">  </w:t>
      </w:r>
      <w:r w:rsidR="00853341">
        <w:rPr>
          <w:rFonts w:ascii="Times New Roman" w:hAnsi="Times New Roman" w:cs="Times New Roman"/>
        </w:rPr>
        <w:t xml:space="preserve"> </w:t>
      </w:r>
    </w:p>
    <w:p w14:paraId="147BCDB5" w14:textId="4A01A8CE" w:rsidR="000968BF" w:rsidRPr="00B2714C" w:rsidRDefault="00853341" w:rsidP="00853341">
      <w:pPr>
        <w:spacing w:line="480" w:lineRule="auto"/>
        <w:ind w:firstLine="720"/>
        <w:rPr>
          <w:rFonts w:ascii="Times New Roman" w:hAnsi="Times New Roman" w:cs="Times New Roman"/>
        </w:rPr>
      </w:pPr>
      <w:r>
        <w:rPr>
          <w:rFonts w:ascii="Times New Roman" w:hAnsi="Times New Roman" w:cs="Times New Roman"/>
        </w:rPr>
        <w:t xml:space="preserve">Answers to these questions are still emerging.  So far, I have chosen to </w:t>
      </w:r>
      <w:r w:rsidR="00A4762B" w:rsidRPr="00B2714C">
        <w:rPr>
          <w:rFonts w:ascii="Times New Roman" w:hAnsi="Times New Roman" w:cs="Times New Roman"/>
        </w:rPr>
        <w:t xml:space="preserve">examine </w:t>
      </w:r>
      <w:r w:rsidR="00BF0A4C">
        <w:rPr>
          <w:rFonts w:ascii="Times New Roman" w:hAnsi="Times New Roman" w:cs="Times New Roman"/>
        </w:rPr>
        <w:t>the</w:t>
      </w:r>
      <w:r w:rsidR="000968BF" w:rsidRPr="00B2714C">
        <w:rPr>
          <w:rFonts w:ascii="Times New Roman" w:hAnsi="Times New Roman" w:cs="Times New Roman"/>
        </w:rPr>
        <w:t xml:space="preserve"> underlying issue of generating self-awareness so that the power dynamic, reductionism, deficit-thinking, and “othering” can be approached differently, mitigated, and hopefully prevented.  </w:t>
      </w:r>
      <w:r w:rsidR="008E61C1" w:rsidRPr="00B2714C">
        <w:rPr>
          <w:rFonts w:ascii="Times New Roman" w:hAnsi="Times New Roman" w:cs="Times New Roman"/>
        </w:rPr>
        <w:t xml:space="preserve">My specific </w:t>
      </w:r>
      <w:r w:rsidR="000968BF" w:rsidRPr="00B2714C">
        <w:rPr>
          <w:rFonts w:ascii="Times New Roman" w:hAnsi="Times New Roman" w:cs="Times New Roman"/>
        </w:rPr>
        <w:t xml:space="preserve">research </w:t>
      </w:r>
      <w:r w:rsidR="00BF0A4C">
        <w:rPr>
          <w:rFonts w:ascii="Times New Roman" w:hAnsi="Times New Roman" w:cs="Times New Roman"/>
        </w:rPr>
        <w:t>area</w:t>
      </w:r>
      <w:r w:rsidR="000968BF" w:rsidRPr="00B2714C">
        <w:rPr>
          <w:rFonts w:ascii="Times New Roman" w:hAnsi="Times New Roman" w:cs="Times New Roman"/>
        </w:rPr>
        <w:t xml:space="preserve"> </w:t>
      </w:r>
      <w:r w:rsidR="00DB2217" w:rsidRPr="00B2714C">
        <w:rPr>
          <w:rFonts w:ascii="Times New Roman" w:hAnsi="Times New Roman" w:cs="Times New Roman"/>
        </w:rPr>
        <w:t>uses the framework of international immersion programs, r</w:t>
      </w:r>
      <w:r w:rsidR="00DB2217" w:rsidRPr="00B2714C">
        <w:rPr>
          <w:rFonts w:ascii="Times New Roman" w:hAnsi="Times New Roman" w:cs="Times New Roman"/>
        </w:rPr>
        <w:t>ecognized tools to help students develop their global and intercultural competencies to become 21</w:t>
      </w:r>
      <w:r w:rsidR="00DB2217" w:rsidRPr="00B2714C">
        <w:rPr>
          <w:rFonts w:ascii="Times New Roman" w:hAnsi="Times New Roman" w:cs="Times New Roman"/>
          <w:vertAlign w:val="superscript"/>
        </w:rPr>
        <w:t>st</w:t>
      </w:r>
      <w:r w:rsidR="00DB2217" w:rsidRPr="00B2714C">
        <w:rPr>
          <w:rFonts w:ascii="Times New Roman" w:hAnsi="Times New Roman" w:cs="Times New Roman"/>
        </w:rPr>
        <w:t xml:space="preserve"> century citizens able to engage productively with other peoples and cultures.  Inconclusive is what </w:t>
      </w:r>
      <w:r w:rsidR="00DB2217" w:rsidRPr="00B2714C">
        <w:rPr>
          <w:rFonts w:ascii="Times New Roman" w:hAnsi="Times New Roman" w:cs="Times New Roman"/>
        </w:rPr>
        <w:lastRenderedPageBreak/>
        <w:t xml:space="preserve">components of an immersion program optimize the development of these competencies and seem most influential to participants, and more specifically, what self- awareness the instructor needs to role model and develop a sustained and personally integrated intercultural shift among participants.  </w:t>
      </w:r>
      <w:r w:rsidR="00BF0A4C">
        <w:rPr>
          <w:rFonts w:ascii="Times New Roman" w:hAnsi="Times New Roman" w:cs="Times New Roman"/>
        </w:rPr>
        <w:t xml:space="preserve">In my research, </w:t>
      </w:r>
      <w:r w:rsidR="00DB2217" w:rsidRPr="00B2714C">
        <w:rPr>
          <w:rFonts w:ascii="Times New Roman" w:hAnsi="Times New Roman" w:cs="Times New Roman"/>
        </w:rPr>
        <w:t xml:space="preserve">I am concerned with the </w:t>
      </w:r>
      <w:r w:rsidR="000968BF" w:rsidRPr="00B2714C">
        <w:rPr>
          <w:rFonts w:ascii="Times New Roman" w:hAnsi="Times New Roman" w:cs="Times New Roman"/>
        </w:rPr>
        <w:t xml:space="preserve">instructor </w:t>
      </w:r>
      <w:r w:rsidR="00DB2217" w:rsidRPr="00B2714C">
        <w:rPr>
          <w:rFonts w:ascii="Times New Roman" w:hAnsi="Times New Roman" w:cs="Times New Roman"/>
        </w:rPr>
        <w:t>leaders, who I suggest</w:t>
      </w:r>
      <w:r w:rsidR="00DB2217" w:rsidRPr="00B2714C">
        <w:rPr>
          <w:rFonts w:ascii="Times New Roman" w:hAnsi="Times New Roman" w:cs="Times New Roman"/>
        </w:rPr>
        <w:t xml:space="preserve"> must be aware </w:t>
      </w:r>
      <w:r w:rsidR="00A4762B" w:rsidRPr="00B2714C">
        <w:rPr>
          <w:rFonts w:ascii="Times New Roman" w:hAnsi="Times New Roman" w:cs="Times New Roman"/>
        </w:rPr>
        <w:t xml:space="preserve">not only </w:t>
      </w:r>
      <w:r w:rsidR="00DB2217" w:rsidRPr="00B2714C">
        <w:rPr>
          <w:rFonts w:ascii="Times New Roman" w:hAnsi="Times New Roman" w:cs="Times New Roman"/>
        </w:rPr>
        <w:t xml:space="preserve">of the attitudes and experiences of student participants, but </w:t>
      </w:r>
      <w:r w:rsidR="00A4762B" w:rsidRPr="00B2714C">
        <w:rPr>
          <w:rFonts w:ascii="Times New Roman" w:hAnsi="Times New Roman" w:cs="Times New Roman"/>
        </w:rPr>
        <w:t xml:space="preserve">also the degree to which they </w:t>
      </w:r>
      <w:r w:rsidR="00DB2217" w:rsidRPr="00B2714C">
        <w:rPr>
          <w:rFonts w:ascii="Times New Roman" w:hAnsi="Times New Roman" w:cs="Times New Roman"/>
        </w:rPr>
        <w:t xml:space="preserve">are aware of their own intercultural competency.  </w:t>
      </w:r>
    </w:p>
    <w:p w14:paraId="48B8A104" w14:textId="74BF9F7B" w:rsidR="000968BF" w:rsidRPr="00B2714C" w:rsidRDefault="00A4762B" w:rsidP="008C46EB">
      <w:pPr>
        <w:spacing w:line="480" w:lineRule="auto"/>
        <w:ind w:firstLine="720"/>
        <w:rPr>
          <w:rFonts w:ascii="Times New Roman" w:eastAsia="Times New Roman" w:hAnsi="Times New Roman" w:cs="Times New Roman"/>
        </w:rPr>
      </w:pPr>
      <w:r w:rsidRPr="00B2714C">
        <w:rPr>
          <w:rFonts w:ascii="Times New Roman" w:hAnsi="Times New Roman" w:cs="Times New Roman"/>
        </w:rPr>
        <w:t>To develop self-awareness, I propose</w:t>
      </w:r>
      <w:r w:rsidR="00DB2217" w:rsidRPr="00B2714C">
        <w:rPr>
          <w:rFonts w:ascii="Times New Roman" w:hAnsi="Times New Roman" w:cs="Times New Roman"/>
        </w:rPr>
        <w:t xml:space="preserve"> the integration of executive coaching as an essential component of instructor’s professional development and practice prior to leading an immersion program</w:t>
      </w:r>
      <w:r w:rsidRPr="00B2714C">
        <w:rPr>
          <w:rFonts w:ascii="Times New Roman" w:hAnsi="Times New Roman" w:cs="Times New Roman"/>
        </w:rPr>
        <w:t xml:space="preserve">.  Executive </w:t>
      </w:r>
      <w:r w:rsidR="00DB2217" w:rsidRPr="00B2714C">
        <w:rPr>
          <w:rFonts w:ascii="Times New Roman" w:hAnsi="Times New Roman" w:cs="Times New Roman"/>
        </w:rPr>
        <w:t xml:space="preserve">coaching </w:t>
      </w:r>
      <w:r w:rsidRPr="00B2714C">
        <w:rPr>
          <w:rFonts w:ascii="Times New Roman" w:hAnsi="Times New Roman" w:cs="Times New Roman"/>
        </w:rPr>
        <w:t>can</w:t>
      </w:r>
      <w:r w:rsidR="00DB2217" w:rsidRPr="00B2714C">
        <w:rPr>
          <w:rFonts w:ascii="Times New Roman" w:hAnsi="Times New Roman" w:cs="Times New Roman"/>
        </w:rPr>
        <w:t xml:space="preserve"> evoke </w:t>
      </w:r>
      <w:r w:rsidRPr="00B2714C">
        <w:rPr>
          <w:rFonts w:ascii="Times New Roman" w:hAnsi="Times New Roman" w:cs="Times New Roman"/>
        </w:rPr>
        <w:t>the necessary self-</w:t>
      </w:r>
      <w:r w:rsidR="00DB2217" w:rsidRPr="00B2714C">
        <w:rPr>
          <w:rFonts w:ascii="Times New Roman" w:hAnsi="Times New Roman" w:cs="Times New Roman"/>
        </w:rPr>
        <w:t xml:space="preserve">awareness and stimulate action relevant for any intercultural engagement within or out of the classroom setting.  </w:t>
      </w:r>
      <w:r w:rsidR="000968BF" w:rsidRPr="00B2714C">
        <w:rPr>
          <w:rFonts w:ascii="Times New Roman" w:hAnsi="Times New Roman" w:cs="Times New Roman"/>
        </w:rPr>
        <w:t xml:space="preserve">Further, coaching is a non-judgmental process that unfolds layers of </w:t>
      </w:r>
      <w:r w:rsidR="000968BF" w:rsidRPr="00B2714C">
        <w:rPr>
          <w:rFonts w:ascii="Times New Roman" w:eastAsia="Times New Roman" w:hAnsi="Times New Roman" w:cs="Times New Roman"/>
        </w:rPr>
        <w:t>transformation when self-awareness is raised, insights are shared, and purposeful enactment of new behaviors ensures</w:t>
      </w:r>
      <w:r w:rsidR="000968BF" w:rsidRPr="00B2714C">
        <w:rPr>
          <w:rFonts w:ascii="Times New Roman" w:eastAsia="Times New Roman" w:hAnsi="Times New Roman" w:cs="Times New Roman"/>
        </w:rPr>
        <w:t>.  Coaching</w:t>
      </w:r>
      <w:r w:rsidR="008B3502" w:rsidRPr="00B2714C">
        <w:rPr>
          <w:rFonts w:ascii="Times New Roman" w:eastAsia="Times New Roman" w:hAnsi="Times New Roman" w:cs="Times New Roman"/>
        </w:rPr>
        <w:t>, I assert,</w:t>
      </w:r>
      <w:r w:rsidR="000968BF" w:rsidRPr="00B2714C">
        <w:rPr>
          <w:rFonts w:ascii="Times New Roman" w:eastAsia="Times New Roman" w:hAnsi="Times New Roman" w:cs="Times New Roman"/>
        </w:rPr>
        <w:t xml:space="preserve"> </w:t>
      </w:r>
      <w:r w:rsidR="000968BF" w:rsidRPr="00B2714C">
        <w:rPr>
          <w:rFonts w:ascii="Times New Roman" w:eastAsia="Times New Roman" w:hAnsi="Times New Roman" w:cs="Times New Roman"/>
        </w:rPr>
        <w:t>offers a multidisciplinary approach to facilitate the adoption of the character traits necessary to allow for intercultural competency to germinate and grow.</w:t>
      </w:r>
    </w:p>
    <w:p w14:paraId="326AAA90" w14:textId="77777777" w:rsidR="009A42BD" w:rsidRDefault="008B3502" w:rsidP="009A42BD">
      <w:pPr>
        <w:spacing w:line="480" w:lineRule="auto"/>
        <w:ind w:firstLine="720"/>
        <w:rPr>
          <w:rFonts w:ascii="Times New Roman" w:hAnsi="Times New Roman" w:cs="Times New Roman"/>
        </w:rPr>
      </w:pPr>
      <w:r w:rsidRPr="00B2714C">
        <w:rPr>
          <w:rFonts w:ascii="Times New Roman" w:eastAsia="Times New Roman" w:hAnsi="Times New Roman" w:cs="Times New Roman"/>
        </w:rPr>
        <w:t>As I think about this course and consider methodologies,</w:t>
      </w:r>
      <w:r w:rsidR="009A42BD">
        <w:rPr>
          <w:rFonts w:ascii="Times New Roman" w:eastAsia="Times New Roman" w:hAnsi="Times New Roman" w:cs="Times New Roman"/>
        </w:rPr>
        <w:t xml:space="preserve"> the</w:t>
      </w:r>
      <w:r w:rsidR="009A42BD" w:rsidRPr="00B2714C">
        <w:rPr>
          <w:rFonts w:ascii="Times New Roman" w:hAnsi="Times New Roman" w:cs="Times New Roman"/>
        </w:rPr>
        <w:t xml:space="preserve"> intervention </w:t>
      </w:r>
      <w:r w:rsidR="009A42BD">
        <w:rPr>
          <w:rFonts w:ascii="Times New Roman" w:hAnsi="Times New Roman" w:cs="Times New Roman"/>
        </w:rPr>
        <w:t xml:space="preserve">of coaching </w:t>
      </w:r>
      <w:r w:rsidR="009A42BD" w:rsidRPr="00B2714C">
        <w:rPr>
          <w:rFonts w:ascii="Times New Roman" w:hAnsi="Times New Roman" w:cs="Times New Roman"/>
        </w:rPr>
        <w:t>allows for participatory action</w:t>
      </w:r>
      <w:r w:rsidR="009A42BD">
        <w:rPr>
          <w:rFonts w:ascii="Times New Roman" w:hAnsi="Times New Roman" w:cs="Times New Roman"/>
        </w:rPr>
        <w:t xml:space="preserve"> research</w:t>
      </w:r>
      <w:r w:rsidR="009A42BD" w:rsidRPr="00B2714C">
        <w:rPr>
          <w:rFonts w:ascii="Times New Roman" w:hAnsi="Times New Roman" w:cs="Times New Roman"/>
        </w:rPr>
        <w:t xml:space="preserve">, which would be a key methodology in my research; </w:t>
      </w:r>
      <w:r w:rsidR="009A42BD">
        <w:rPr>
          <w:rFonts w:ascii="Times New Roman" w:hAnsi="Times New Roman" w:cs="Times New Roman"/>
        </w:rPr>
        <w:t xml:space="preserve">indeed, </w:t>
      </w:r>
      <w:r w:rsidR="009A42BD" w:rsidRPr="00B2714C">
        <w:rPr>
          <w:rFonts w:ascii="Times New Roman" w:hAnsi="Times New Roman" w:cs="Times New Roman"/>
        </w:rPr>
        <w:t xml:space="preserve">by definition, coaching involves the active participation of the faculty member.  </w:t>
      </w:r>
      <w:r w:rsidRPr="00B2714C">
        <w:rPr>
          <w:rFonts w:ascii="Times New Roman" w:eastAsia="Times New Roman" w:hAnsi="Times New Roman" w:cs="Times New Roman"/>
        </w:rPr>
        <w:t xml:space="preserve">I </w:t>
      </w:r>
      <w:r w:rsidR="009A42BD">
        <w:rPr>
          <w:rFonts w:ascii="Times New Roman" w:eastAsia="Times New Roman" w:hAnsi="Times New Roman" w:cs="Times New Roman"/>
        </w:rPr>
        <w:t xml:space="preserve">also </w:t>
      </w:r>
      <w:r w:rsidRPr="00B2714C">
        <w:rPr>
          <w:rFonts w:ascii="Times New Roman" w:eastAsia="Times New Roman" w:hAnsi="Times New Roman" w:cs="Times New Roman"/>
        </w:rPr>
        <w:t>lean to the</w:t>
      </w:r>
      <w:r w:rsidRPr="00B2714C">
        <w:rPr>
          <w:rFonts w:ascii="Times New Roman" w:hAnsi="Times New Roman" w:cs="Times New Roman"/>
        </w:rPr>
        <w:t xml:space="preserve"> relational and dialogic, include Kegan’s constructive-development theory; Mezirow’s transformative learning theory; and systems theory.  In addition, experiential learning underpins my ontological and constructivist epistemological view of knowing and how we know.</w:t>
      </w:r>
      <w:r w:rsidRPr="00B2714C">
        <w:rPr>
          <w:rFonts w:ascii="Times New Roman" w:hAnsi="Times New Roman" w:cs="Times New Roman"/>
        </w:rPr>
        <w:t xml:space="preserve">  </w:t>
      </w:r>
      <w:r w:rsidR="009A42BD">
        <w:rPr>
          <w:rFonts w:ascii="Times New Roman" w:hAnsi="Times New Roman" w:cs="Times New Roman"/>
        </w:rPr>
        <w:t>Thinking of methods, t</w:t>
      </w:r>
      <w:r w:rsidRPr="00B2714C">
        <w:rPr>
          <w:rFonts w:ascii="Times New Roman" w:hAnsi="Times New Roman" w:cs="Times New Roman"/>
        </w:rPr>
        <w:t xml:space="preserve">he tools </w:t>
      </w:r>
      <w:r w:rsidR="00B2714C" w:rsidRPr="00B2714C">
        <w:rPr>
          <w:rFonts w:ascii="Times New Roman" w:hAnsi="Times New Roman" w:cs="Times New Roman"/>
        </w:rPr>
        <w:t xml:space="preserve">we learned in this course </w:t>
      </w:r>
      <w:r w:rsidRPr="00B2714C">
        <w:rPr>
          <w:rFonts w:ascii="Times New Roman" w:hAnsi="Times New Roman" w:cs="Times New Roman"/>
        </w:rPr>
        <w:t xml:space="preserve">to engage in this qualitative process </w:t>
      </w:r>
      <w:r w:rsidR="00B2714C" w:rsidRPr="00B2714C">
        <w:rPr>
          <w:rFonts w:ascii="Times New Roman" w:hAnsi="Times New Roman" w:cs="Times New Roman"/>
        </w:rPr>
        <w:t xml:space="preserve">are relevant, interesting, and part of the emerging, messy process of understanding the Other without defining the Other with our words.  </w:t>
      </w:r>
    </w:p>
    <w:p w14:paraId="6E05FD1A" w14:textId="27E86C3B" w:rsidR="000968BF" w:rsidRDefault="00FF33A6" w:rsidP="009A42BD">
      <w:pPr>
        <w:spacing w:line="480" w:lineRule="auto"/>
        <w:ind w:firstLine="720"/>
        <w:rPr>
          <w:rFonts w:ascii="Times New Roman" w:hAnsi="Times New Roman" w:cs="Times New Roman"/>
        </w:rPr>
      </w:pPr>
      <w:r>
        <w:rPr>
          <w:rFonts w:ascii="Times New Roman" w:hAnsi="Times New Roman" w:cs="Times New Roman"/>
        </w:rPr>
        <w:lastRenderedPageBreak/>
        <w:t xml:space="preserve">Reflecting on this course, I am struck by the deep challenge and responsibility we have as researchers.  </w:t>
      </w:r>
      <w:r w:rsidR="00B2714C" w:rsidRPr="00B2714C">
        <w:rPr>
          <w:rFonts w:ascii="Times New Roman" w:hAnsi="Times New Roman" w:cs="Times New Roman"/>
        </w:rPr>
        <w:t xml:space="preserve">Perhaps the most important realization in this </w:t>
      </w:r>
      <w:r w:rsidR="00B2714C">
        <w:rPr>
          <w:rFonts w:ascii="Times New Roman" w:hAnsi="Times New Roman" w:cs="Times New Roman"/>
        </w:rPr>
        <w:t xml:space="preserve">qualitative theoretical course is the necessity to </w:t>
      </w:r>
      <w:r w:rsidR="008C46EB">
        <w:rPr>
          <w:rFonts w:ascii="Times New Roman" w:hAnsi="Times New Roman" w:cs="Times New Roman"/>
        </w:rPr>
        <w:t xml:space="preserve">intentionally and </w:t>
      </w:r>
      <w:r w:rsidR="00B2714C">
        <w:rPr>
          <w:rFonts w:ascii="Times New Roman" w:hAnsi="Times New Roman" w:cs="Times New Roman"/>
        </w:rPr>
        <w:t xml:space="preserve">constantly ask myself the question: </w:t>
      </w:r>
      <w:r w:rsidR="008C46EB">
        <w:rPr>
          <w:rFonts w:ascii="Times New Roman" w:hAnsi="Times New Roman" w:cs="Times New Roman"/>
        </w:rPr>
        <w:t xml:space="preserve">how </w:t>
      </w:r>
      <w:proofErr w:type="gramStart"/>
      <w:r w:rsidR="008C46EB">
        <w:rPr>
          <w:rFonts w:ascii="Times New Roman" w:hAnsi="Times New Roman" w:cs="Times New Roman"/>
        </w:rPr>
        <w:t>am I</w:t>
      </w:r>
      <w:proofErr w:type="gramEnd"/>
      <w:r w:rsidR="008C46EB">
        <w:rPr>
          <w:rFonts w:ascii="Times New Roman" w:hAnsi="Times New Roman" w:cs="Times New Roman"/>
        </w:rPr>
        <w:t xml:space="preserve"> contributing to the very act I seek to avoid – diminishing the voice of those I encounter.</w:t>
      </w:r>
    </w:p>
    <w:p w14:paraId="1A8CCEDB" w14:textId="26E85C9C" w:rsidR="00FF33A6" w:rsidRDefault="00FF33A6" w:rsidP="009A42BD">
      <w:pPr>
        <w:spacing w:line="480" w:lineRule="auto"/>
        <w:ind w:firstLine="720"/>
        <w:rPr>
          <w:rFonts w:ascii="Times New Roman" w:hAnsi="Times New Roman" w:cs="Times New Roman"/>
        </w:rPr>
      </w:pPr>
    </w:p>
    <w:p w14:paraId="3B35973A" w14:textId="11F75BA6" w:rsidR="00FF33A6" w:rsidRDefault="00FF33A6" w:rsidP="009A42BD">
      <w:pPr>
        <w:spacing w:line="480" w:lineRule="auto"/>
        <w:ind w:firstLine="720"/>
        <w:rPr>
          <w:rFonts w:ascii="Times New Roman" w:hAnsi="Times New Roman" w:cs="Times New Roman"/>
        </w:rPr>
      </w:pPr>
    </w:p>
    <w:p w14:paraId="7A1AC5E0" w14:textId="70261FE1" w:rsidR="00FF33A6" w:rsidRDefault="00FF33A6" w:rsidP="009A42BD">
      <w:pPr>
        <w:spacing w:line="480" w:lineRule="auto"/>
        <w:ind w:firstLine="720"/>
        <w:rPr>
          <w:rFonts w:ascii="Times New Roman" w:hAnsi="Times New Roman" w:cs="Times New Roman"/>
        </w:rPr>
      </w:pPr>
    </w:p>
    <w:p w14:paraId="01A1DE2C" w14:textId="39D4F2F6" w:rsidR="00FF33A6" w:rsidRDefault="00FF33A6" w:rsidP="009A42BD">
      <w:pPr>
        <w:spacing w:line="480" w:lineRule="auto"/>
        <w:ind w:firstLine="720"/>
        <w:rPr>
          <w:rFonts w:ascii="Times New Roman" w:hAnsi="Times New Roman" w:cs="Times New Roman"/>
        </w:rPr>
      </w:pPr>
    </w:p>
    <w:p w14:paraId="39798AF4" w14:textId="06D491CE" w:rsidR="00FF33A6" w:rsidRDefault="00FF33A6" w:rsidP="009A42BD">
      <w:pPr>
        <w:spacing w:line="480" w:lineRule="auto"/>
        <w:ind w:firstLine="720"/>
        <w:rPr>
          <w:rFonts w:ascii="Times New Roman" w:hAnsi="Times New Roman" w:cs="Times New Roman"/>
        </w:rPr>
      </w:pPr>
    </w:p>
    <w:p w14:paraId="23EA332D" w14:textId="6ABA06AF" w:rsidR="00FF33A6" w:rsidRDefault="00FF33A6" w:rsidP="009A42BD">
      <w:pPr>
        <w:spacing w:line="480" w:lineRule="auto"/>
        <w:ind w:firstLine="720"/>
        <w:rPr>
          <w:rFonts w:ascii="Times New Roman" w:hAnsi="Times New Roman" w:cs="Times New Roman"/>
        </w:rPr>
      </w:pPr>
    </w:p>
    <w:p w14:paraId="7D9F5065" w14:textId="63DC3750" w:rsidR="00FF33A6" w:rsidRDefault="00FF33A6" w:rsidP="009A42BD">
      <w:pPr>
        <w:spacing w:line="480" w:lineRule="auto"/>
        <w:ind w:firstLine="720"/>
        <w:rPr>
          <w:rFonts w:ascii="Times New Roman" w:hAnsi="Times New Roman" w:cs="Times New Roman"/>
        </w:rPr>
      </w:pPr>
    </w:p>
    <w:p w14:paraId="1242E563" w14:textId="2B66BAF7" w:rsidR="00FF33A6" w:rsidRDefault="00FF33A6" w:rsidP="009A42BD">
      <w:pPr>
        <w:spacing w:line="480" w:lineRule="auto"/>
        <w:ind w:firstLine="720"/>
        <w:rPr>
          <w:rFonts w:ascii="Times New Roman" w:hAnsi="Times New Roman" w:cs="Times New Roman"/>
        </w:rPr>
      </w:pPr>
    </w:p>
    <w:p w14:paraId="1F1F71D2" w14:textId="145E41D6" w:rsidR="00FF33A6" w:rsidRDefault="00FF33A6" w:rsidP="009A42BD">
      <w:pPr>
        <w:spacing w:line="480" w:lineRule="auto"/>
        <w:ind w:firstLine="720"/>
        <w:rPr>
          <w:rFonts w:ascii="Times New Roman" w:hAnsi="Times New Roman" w:cs="Times New Roman"/>
        </w:rPr>
      </w:pPr>
    </w:p>
    <w:p w14:paraId="7F105939" w14:textId="313BDF89" w:rsidR="00FF33A6" w:rsidRDefault="00FF33A6" w:rsidP="009A42BD">
      <w:pPr>
        <w:spacing w:line="480" w:lineRule="auto"/>
        <w:ind w:firstLine="720"/>
        <w:rPr>
          <w:rFonts w:ascii="Times New Roman" w:hAnsi="Times New Roman" w:cs="Times New Roman"/>
        </w:rPr>
      </w:pPr>
    </w:p>
    <w:p w14:paraId="60FB601C" w14:textId="26A30E1B" w:rsidR="00FF33A6" w:rsidRDefault="00FF33A6" w:rsidP="009A42BD">
      <w:pPr>
        <w:spacing w:line="480" w:lineRule="auto"/>
        <w:ind w:firstLine="720"/>
        <w:rPr>
          <w:rFonts w:ascii="Times New Roman" w:hAnsi="Times New Roman" w:cs="Times New Roman"/>
        </w:rPr>
      </w:pPr>
    </w:p>
    <w:p w14:paraId="5860E5EB" w14:textId="1861467C" w:rsidR="00FF33A6" w:rsidRDefault="00FF33A6" w:rsidP="009A42BD">
      <w:pPr>
        <w:spacing w:line="480" w:lineRule="auto"/>
        <w:ind w:firstLine="720"/>
        <w:rPr>
          <w:rFonts w:ascii="Times New Roman" w:hAnsi="Times New Roman" w:cs="Times New Roman"/>
        </w:rPr>
      </w:pPr>
    </w:p>
    <w:p w14:paraId="66D9BBEA" w14:textId="4A0AFB0A" w:rsidR="00FF33A6" w:rsidRDefault="00FF33A6" w:rsidP="009A42BD">
      <w:pPr>
        <w:spacing w:line="480" w:lineRule="auto"/>
        <w:ind w:firstLine="720"/>
        <w:rPr>
          <w:rFonts w:ascii="Times New Roman" w:hAnsi="Times New Roman" w:cs="Times New Roman"/>
        </w:rPr>
      </w:pPr>
    </w:p>
    <w:p w14:paraId="224D9237" w14:textId="14EF0AD2" w:rsidR="00FF33A6" w:rsidRDefault="00FF33A6" w:rsidP="009A42BD">
      <w:pPr>
        <w:spacing w:line="480" w:lineRule="auto"/>
        <w:ind w:firstLine="720"/>
        <w:rPr>
          <w:rFonts w:ascii="Times New Roman" w:hAnsi="Times New Roman" w:cs="Times New Roman"/>
        </w:rPr>
      </w:pPr>
    </w:p>
    <w:p w14:paraId="317ECEAA" w14:textId="68CB2852" w:rsidR="00FF33A6" w:rsidRDefault="00FF33A6" w:rsidP="009A42BD">
      <w:pPr>
        <w:spacing w:line="480" w:lineRule="auto"/>
        <w:ind w:firstLine="720"/>
        <w:rPr>
          <w:rFonts w:ascii="Times New Roman" w:hAnsi="Times New Roman" w:cs="Times New Roman"/>
        </w:rPr>
      </w:pPr>
    </w:p>
    <w:p w14:paraId="54D6C674" w14:textId="4E8822DC" w:rsidR="00FF33A6" w:rsidRDefault="00FF33A6" w:rsidP="009A42BD">
      <w:pPr>
        <w:spacing w:line="480" w:lineRule="auto"/>
        <w:ind w:firstLine="720"/>
        <w:rPr>
          <w:rFonts w:ascii="Times New Roman" w:hAnsi="Times New Roman" w:cs="Times New Roman"/>
        </w:rPr>
      </w:pPr>
    </w:p>
    <w:p w14:paraId="57AE4024" w14:textId="52DF8656" w:rsidR="00FF33A6" w:rsidRDefault="00FF33A6" w:rsidP="009A42BD">
      <w:pPr>
        <w:spacing w:line="480" w:lineRule="auto"/>
        <w:ind w:firstLine="720"/>
        <w:rPr>
          <w:rFonts w:ascii="Times New Roman" w:hAnsi="Times New Roman" w:cs="Times New Roman"/>
        </w:rPr>
      </w:pPr>
    </w:p>
    <w:p w14:paraId="6431623D" w14:textId="5592A58F" w:rsidR="00FF33A6" w:rsidRDefault="00FF33A6" w:rsidP="009A42BD">
      <w:pPr>
        <w:spacing w:line="480" w:lineRule="auto"/>
        <w:ind w:firstLine="720"/>
        <w:rPr>
          <w:rFonts w:ascii="Times New Roman" w:hAnsi="Times New Roman" w:cs="Times New Roman"/>
        </w:rPr>
      </w:pPr>
    </w:p>
    <w:p w14:paraId="67A1F9FF" w14:textId="4C008939" w:rsidR="00570741" w:rsidRDefault="00570741" w:rsidP="00933BED">
      <w:pPr>
        <w:spacing w:line="480" w:lineRule="auto"/>
        <w:rPr>
          <w:rFonts w:ascii="Times New Roman" w:hAnsi="Times New Roman" w:cs="Times New Roman"/>
        </w:rPr>
      </w:pPr>
    </w:p>
    <w:p w14:paraId="164A1C02" w14:textId="48BBBEC5" w:rsidR="00BF154E" w:rsidRPr="00BF154E" w:rsidRDefault="00BF154E" w:rsidP="00BF154E">
      <w:pPr>
        <w:pStyle w:val="font8"/>
        <w:spacing w:line="480" w:lineRule="auto"/>
        <w:contextualSpacing/>
        <w:jc w:val="center"/>
        <w:rPr>
          <w:b/>
          <w:bCs/>
          <w:color w:val="000000" w:themeColor="text1"/>
        </w:rPr>
      </w:pPr>
      <w:r w:rsidRPr="00BF154E">
        <w:rPr>
          <w:b/>
          <w:bCs/>
          <w:color w:val="000000" w:themeColor="text1"/>
        </w:rPr>
        <w:lastRenderedPageBreak/>
        <w:t>References</w:t>
      </w:r>
    </w:p>
    <w:p w14:paraId="3F278773" w14:textId="77777777" w:rsidR="00BF154E" w:rsidRDefault="00BF154E" w:rsidP="00570741">
      <w:pPr>
        <w:pStyle w:val="font8"/>
        <w:spacing w:line="480" w:lineRule="auto"/>
        <w:contextualSpacing/>
        <w:rPr>
          <w:color w:val="000000" w:themeColor="text1"/>
        </w:rPr>
      </w:pPr>
    </w:p>
    <w:p w14:paraId="74C086CC" w14:textId="6592788C" w:rsidR="00570741" w:rsidRDefault="00570741" w:rsidP="00570741">
      <w:pPr>
        <w:pStyle w:val="font8"/>
        <w:spacing w:line="480" w:lineRule="auto"/>
        <w:contextualSpacing/>
        <w:rPr>
          <w:color w:val="000000" w:themeColor="text1"/>
        </w:rPr>
      </w:pPr>
      <w:proofErr w:type="spellStart"/>
      <w:r w:rsidRPr="005A2583">
        <w:rPr>
          <w:color w:val="000000" w:themeColor="text1"/>
        </w:rPr>
        <w:t>Cushner</w:t>
      </w:r>
      <w:proofErr w:type="spellEnd"/>
      <w:r w:rsidRPr="005A2583">
        <w:rPr>
          <w:color w:val="000000" w:themeColor="text1"/>
        </w:rPr>
        <w:t xml:space="preserve">. (2011). Intercultural Research in Teacher Education: An Essential Intersection in the </w:t>
      </w:r>
    </w:p>
    <w:p w14:paraId="1900280A" w14:textId="77777777" w:rsidR="00570741" w:rsidRPr="000C25FA" w:rsidRDefault="00570741" w:rsidP="00570741">
      <w:pPr>
        <w:pStyle w:val="font8"/>
        <w:spacing w:line="480" w:lineRule="auto"/>
        <w:ind w:left="720"/>
        <w:contextualSpacing/>
      </w:pPr>
      <w:r w:rsidRPr="005A2583">
        <w:rPr>
          <w:color w:val="000000" w:themeColor="text1"/>
        </w:rPr>
        <w:t xml:space="preserve">Preparation of Globally Competent Teachers. </w:t>
      </w:r>
      <w:r w:rsidRPr="005A2583">
        <w:rPr>
          <w:i/>
          <w:iCs/>
          <w:color w:val="000000" w:themeColor="text1"/>
        </w:rPr>
        <w:t>Action in Teacher Education</w:t>
      </w:r>
      <w:r w:rsidRPr="005A2583">
        <w:rPr>
          <w:color w:val="000000" w:themeColor="text1"/>
        </w:rPr>
        <w:t>. 33(5-6), 601–614. https://doi.org/10.1080/01626620.2011.627306</w:t>
      </w:r>
    </w:p>
    <w:p w14:paraId="3EFE906F" w14:textId="77777777" w:rsidR="00570741" w:rsidRPr="005A2583" w:rsidRDefault="00570741" w:rsidP="00570741">
      <w:pPr>
        <w:pStyle w:val="font8"/>
        <w:spacing w:line="480" w:lineRule="auto"/>
        <w:contextualSpacing/>
      </w:pPr>
      <w:r w:rsidRPr="005A2583">
        <w:t xml:space="preserve">Deardorff, D. (2006). Identification and assessment of intercultural competence as a student </w:t>
      </w:r>
    </w:p>
    <w:p w14:paraId="46F7CB90" w14:textId="77777777" w:rsidR="00570741" w:rsidRDefault="00570741" w:rsidP="00570741">
      <w:pPr>
        <w:pStyle w:val="font8"/>
        <w:spacing w:line="480" w:lineRule="auto"/>
        <w:ind w:left="720"/>
        <w:contextualSpacing/>
        <w:rPr>
          <w:rStyle w:val="Hyperlink"/>
        </w:rPr>
      </w:pPr>
      <w:r w:rsidRPr="005A2583">
        <w:t xml:space="preserve">outcome of internationalization.  </w:t>
      </w:r>
      <w:r w:rsidRPr="005A2583">
        <w:rPr>
          <w:i/>
          <w:iCs/>
        </w:rPr>
        <w:t>Association for Studies in International Education.</w:t>
      </w:r>
      <w:r w:rsidRPr="005A2583">
        <w:t xml:space="preserve"> 10(3). 241-266. </w:t>
      </w:r>
      <w:hyperlink r:id="rId5" w:history="1">
        <w:r w:rsidRPr="005A2583">
          <w:rPr>
            <w:rStyle w:val="Hyperlink"/>
          </w:rPr>
          <w:t>https://doi.org/10.1177/1028315306287002</w:t>
        </w:r>
      </w:hyperlink>
    </w:p>
    <w:p w14:paraId="6A6FB33B" w14:textId="77777777" w:rsidR="00570741" w:rsidRDefault="00570741" w:rsidP="00570741">
      <w:pPr>
        <w:pStyle w:val="font8"/>
        <w:spacing w:line="480" w:lineRule="auto"/>
        <w:contextualSpacing/>
      </w:pPr>
      <w:r w:rsidRPr="00162B16">
        <w:t xml:space="preserve">Paras, </w:t>
      </w:r>
      <w:r>
        <w:t xml:space="preserve">A., </w:t>
      </w:r>
      <w:r w:rsidRPr="00162B16">
        <w:t xml:space="preserve">Carignan, M., Brenner, A., Hardy, J., </w:t>
      </w:r>
      <w:proofErr w:type="spellStart"/>
      <w:r w:rsidRPr="00162B16">
        <w:t>Malmgren</w:t>
      </w:r>
      <w:proofErr w:type="spellEnd"/>
      <w:r w:rsidRPr="00162B16">
        <w:t xml:space="preserve">, J., &amp; </w:t>
      </w:r>
      <w:proofErr w:type="spellStart"/>
      <w:r w:rsidRPr="00162B16">
        <w:t>Rathburn</w:t>
      </w:r>
      <w:proofErr w:type="spellEnd"/>
      <w:r w:rsidRPr="00162B16">
        <w:t xml:space="preserve">, M. (2019). </w:t>
      </w:r>
    </w:p>
    <w:p w14:paraId="5A3BDFFC" w14:textId="77777777" w:rsidR="00570741" w:rsidRDefault="00570741" w:rsidP="00570741">
      <w:pPr>
        <w:pStyle w:val="font8"/>
        <w:spacing w:line="480" w:lineRule="auto"/>
        <w:ind w:left="720"/>
        <w:contextualSpacing/>
      </w:pPr>
      <w:r w:rsidRPr="00162B16">
        <w:t xml:space="preserve">Understanding How Program Factors Influence Intercultural Learning in Study Abroad: The Benefits of Mixed-Method Analysis. </w:t>
      </w:r>
      <w:r w:rsidRPr="00162B16">
        <w:rPr>
          <w:i/>
          <w:iCs/>
        </w:rPr>
        <w:t>Frontiers (Boston, Mass.)</w:t>
      </w:r>
      <w:r>
        <w:t>.</w:t>
      </w:r>
      <w:r w:rsidRPr="00162B16">
        <w:t xml:space="preserve"> 31(1), 22–45. </w:t>
      </w:r>
      <w:hyperlink r:id="rId6" w:history="1">
        <w:r w:rsidRPr="00567F74">
          <w:rPr>
            <w:rStyle w:val="Hyperlink"/>
          </w:rPr>
          <w:t>https://doi.org/10.36366/frontiers.v31i1.441</w:t>
        </w:r>
      </w:hyperlink>
    </w:p>
    <w:p w14:paraId="0A1F6DC1" w14:textId="29508A63" w:rsidR="00570741" w:rsidRPr="005A2583" w:rsidRDefault="00570741" w:rsidP="00570741">
      <w:pPr>
        <w:spacing w:line="480" w:lineRule="auto"/>
        <w:rPr>
          <w:rFonts w:ascii="Times New Roman" w:hAnsi="Times New Roman" w:cs="Times New Roman"/>
        </w:rPr>
      </w:pPr>
      <w:r w:rsidRPr="005A2583">
        <w:rPr>
          <w:rFonts w:ascii="Times New Roman" w:hAnsi="Times New Roman" w:cs="Times New Roman"/>
        </w:rPr>
        <w:t xml:space="preserve">Whatley, Landon, A. C., Tarrant, M. A., &amp; Rubin, D. (2021). Program Design and the </w:t>
      </w:r>
    </w:p>
    <w:p w14:paraId="72C23045" w14:textId="77777777" w:rsidR="00570741" w:rsidRPr="005A2583" w:rsidRDefault="00570741" w:rsidP="00570741">
      <w:pPr>
        <w:spacing w:line="480" w:lineRule="auto"/>
        <w:ind w:left="720"/>
        <w:rPr>
          <w:rFonts w:ascii="Times New Roman" w:hAnsi="Times New Roman" w:cs="Times New Roman"/>
        </w:rPr>
      </w:pPr>
      <w:r w:rsidRPr="005A2583">
        <w:rPr>
          <w:rFonts w:ascii="Times New Roman" w:hAnsi="Times New Roman" w:cs="Times New Roman"/>
        </w:rPr>
        <w:t xml:space="preserve">Development of Students’ Global Perspectives in Faculty-Led Short-Term Study Abroad. </w:t>
      </w:r>
      <w:r w:rsidRPr="005A2583">
        <w:rPr>
          <w:rFonts w:ascii="Times New Roman" w:hAnsi="Times New Roman" w:cs="Times New Roman"/>
          <w:i/>
          <w:iCs/>
        </w:rPr>
        <w:t>Journal of Studies in International Education</w:t>
      </w:r>
      <w:r w:rsidRPr="005A2583">
        <w:rPr>
          <w:rFonts w:ascii="Times New Roman" w:hAnsi="Times New Roman" w:cs="Times New Roman"/>
        </w:rPr>
        <w:t xml:space="preserve">, </w:t>
      </w:r>
      <w:r w:rsidRPr="005A2583">
        <w:rPr>
          <w:rFonts w:ascii="Times New Roman" w:hAnsi="Times New Roman" w:cs="Times New Roman"/>
          <w:i/>
          <w:iCs/>
        </w:rPr>
        <w:t>25</w:t>
      </w:r>
      <w:r w:rsidRPr="005A2583">
        <w:rPr>
          <w:rFonts w:ascii="Times New Roman" w:hAnsi="Times New Roman" w:cs="Times New Roman"/>
        </w:rPr>
        <w:t>(3), 301–318. https://doi.org/10.1177/1028315320906156</w:t>
      </w:r>
    </w:p>
    <w:p w14:paraId="1AECD120" w14:textId="77777777" w:rsidR="00570741" w:rsidRPr="00B2714C" w:rsidRDefault="00570741" w:rsidP="008C46EB">
      <w:pPr>
        <w:spacing w:line="480" w:lineRule="auto"/>
        <w:ind w:firstLine="720"/>
        <w:rPr>
          <w:rFonts w:ascii="Times New Roman" w:hAnsi="Times New Roman" w:cs="Times New Roman"/>
        </w:rPr>
      </w:pPr>
    </w:p>
    <w:p w14:paraId="2339F05B" w14:textId="76CBC8CD" w:rsidR="00DB2217" w:rsidRPr="00A4762B" w:rsidRDefault="00DB2217" w:rsidP="00A4762B"/>
    <w:p w14:paraId="2F39BC19" w14:textId="61DBA438" w:rsidR="0036295E" w:rsidRDefault="0036295E"/>
    <w:sectPr w:rsidR="00362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D31C7"/>
    <w:multiLevelType w:val="multilevel"/>
    <w:tmpl w:val="A94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26"/>
    <w:rsid w:val="000968BF"/>
    <w:rsid w:val="001C7F4E"/>
    <w:rsid w:val="002F43D9"/>
    <w:rsid w:val="003064D5"/>
    <w:rsid w:val="00353A27"/>
    <w:rsid w:val="0036295E"/>
    <w:rsid w:val="003D53C4"/>
    <w:rsid w:val="005110A7"/>
    <w:rsid w:val="00570741"/>
    <w:rsid w:val="00645826"/>
    <w:rsid w:val="006F53A6"/>
    <w:rsid w:val="00832513"/>
    <w:rsid w:val="00853341"/>
    <w:rsid w:val="008B3502"/>
    <w:rsid w:val="008C46EB"/>
    <w:rsid w:val="008E61C1"/>
    <w:rsid w:val="008F31FF"/>
    <w:rsid w:val="00933BED"/>
    <w:rsid w:val="009A42BD"/>
    <w:rsid w:val="00A4762B"/>
    <w:rsid w:val="00AF2471"/>
    <w:rsid w:val="00B2714C"/>
    <w:rsid w:val="00BF0A4C"/>
    <w:rsid w:val="00BF154E"/>
    <w:rsid w:val="00C11C8C"/>
    <w:rsid w:val="00CC6D71"/>
    <w:rsid w:val="00D75A42"/>
    <w:rsid w:val="00DB2217"/>
    <w:rsid w:val="00F93A9C"/>
    <w:rsid w:val="00FF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029A8E"/>
  <w15:chartTrackingRefBased/>
  <w15:docId w15:val="{7297A46D-7E5E-ED46-9C3B-5BBEF545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741"/>
    <w:rPr>
      <w:color w:val="0000FF"/>
      <w:u w:val="single"/>
    </w:rPr>
  </w:style>
  <w:style w:type="paragraph" w:customStyle="1" w:styleId="font8">
    <w:name w:val="font_8"/>
    <w:basedOn w:val="Normal"/>
    <w:rsid w:val="005707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7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6366/frontiers.v31i1.441" TargetMode="External"/><Relationship Id="rId5" Type="http://schemas.openxmlformats.org/officeDocument/2006/relationships/hyperlink" Target="https://doi.org/10.1177/1028315306287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2022-05-07T00:14:00Z</dcterms:created>
  <dcterms:modified xsi:type="dcterms:W3CDTF">2022-05-07T00:14:00Z</dcterms:modified>
</cp:coreProperties>
</file>