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5981" w:rsidRDefault="007D5981">
      <w:pPr>
        <w:jc w:val="center"/>
        <w:rPr>
          <w:rFonts w:ascii="Times New Roman" w:eastAsia="Times New Roman" w:hAnsi="Times New Roman" w:cs="Times New Roman"/>
          <w:b/>
        </w:rPr>
      </w:pPr>
    </w:p>
    <w:p w14:paraId="00000002" w14:textId="77777777" w:rsidR="007D5981" w:rsidRDefault="007D5981">
      <w:pPr>
        <w:jc w:val="center"/>
        <w:rPr>
          <w:rFonts w:ascii="Times New Roman" w:eastAsia="Times New Roman" w:hAnsi="Times New Roman" w:cs="Times New Roman"/>
          <w:b/>
        </w:rPr>
      </w:pPr>
    </w:p>
    <w:p w14:paraId="00000003" w14:textId="77777777" w:rsidR="007D5981" w:rsidRDefault="007D5981">
      <w:pPr>
        <w:jc w:val="center"/>
        <w:rPr>
          <w:rFonts w:ascii="Times New Roman" w:eastAsia="Times New Roman" w:hAnsi="Times New Roman" w:cs="Times New Roman"/>
          <w:b/>
        </w:rPr>
      </w:pPr>
    </w:p>
    <w:p w14:paraId="00000004" w14:textId="77777777" w:rsidR="007D5981" w:rsidRDefault="007D5981">
      <w:pPr>
        <w:jc w:val="center"/>
        <w:rPr>
          <w:rFonts w:ascii="Times New Roman" w:eastAsia="Times New Roman" w:hAnsi="Times New Roman" w:cs="Times New Roman"/>
          <w:b/>
        </w:rPr>
      </w:pPr>
    </w:p>
    <w:p w14:paraId="00000005" w14:textId="77777777" w:rsidR="007D5981" w:rsidRDefault="007D5981">
      <w:pPr>
        <w:jc w:val="center"/>
        <w:rPr>
          <w:rFonts w:ascii="Times New Roman" w:eastAsia="Times New Roman" w:hAnsi="Times New Roman" w:cs="Times New Roman"/>
          <w:b/>
        </w:rPr>
      </w:pPr>
    </w:p>
    <w:p w14:paraId="00000006" w14:textId="77777777" w:rsidR="007D5981" w:rsidRDefault="007D5981">
      <w:pPr>
        <w:jc w:val="center"/>
        <w:rPr>
          <w:rFonts w:ascii="Times New Roman" w:eastAsia="Times New Roman" w:hAnsi="Times New Roman" w:cs="Times New Roman"/>
          <w:b/>
        </w:rPr>
      </w:pPr>
    </w:p>
    <w:p w14:paraId="00000007" w14:textId="77777777" w:rsidR="007D5981" w:rsidRDefault="00A37B9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Multidisciplinary collaborations and immersion programs as the driver for paradigm shifts in teacher intercultural competence and sport science informed decision-making in college athletics</w:t>
      </w:r>
    </w:p>
    <w:p w14:paraId="00000008" w14:textId="77777777" w:rsidR="007D5981" w:rsidRDefault="007D5981">
      <w:pPr>
        <w:jc w:val="center"/>
        <w:rPr>
          <w:rFonts w:ascii="Times New Roman" w:eastAsia="Times New Roman" w:hAnsi="Times New Roman" w:cs="Times New Roman"/>
          <w:b/>
        </w:rPr>
      </w:pPr>
    </w:p>
    <w:p w14:paraId="00000009" w14:textId="77777777" w:rsidR="007D5981" w:rsidRDefault="007D5981">
      <w:pPr>
        <w:jc w:val="center"/>
        <w:rPr>
          <w:rFonts w:ascii="Times New Roman" w:eastAsia="Times New Roman" w:hAnsi="Times New Roman" w:cs="Times New Roman"/>
          <w:b/>
        </w:rPr>
      </w:pPr>
    </w:p>
    <w:p w14:paraId="0000000A" w14:textId="77777777" w:rsidR="007D5981" w:rsidRDefault="007D5981">
      <w:pPr>
        <w:jc w:val="center"/>
        <w:rPr>
          <w:rFonts w:ascii="Times New Roman" w:eastAsia="Times New Roman" w:hAnsi="Times New Roman" w:cs="Times New Roman"/>
          <w:b/>
        </w:rPr>
      </w:pPr>
    </w:p>
    <w:p w14:paraId="0000000B" w14:textId="77777777" w:rsidR="007D5981" w:rsidRDefault="007D5981">
      <w:pPr>
        <w:jc w:val="center"/>
        <w:rPr>
          <w:rFonts w:ascii="Times New Roman" w:eastAsia="Times New Roman" w:hAnsi="Times New Roman" w:cs="Times New Roman"/>
          <w:b/>
        </w:rPr>
      </w:pPr>
    </w:p>
    <w:p w14:paraId="0000000C" w14:textId="77777777" w:rsidR="007D5981" w:rsidRDefault="007D5981">
      <w:pPr>
        <w:jc w:val="center"/>
        <w:rPr>
          <w:rFonts w:ascii="Times New Roman" w:eastAsia="Times New Roman" w:hAnsi="Times New Roman" w:cs="Times New Roman"/>
          <w:b/>
        </w:rPr>
      </w:pPr>
    </w:p>
    <w:p w14:paraId="0000000D" w14:textId="77777777" w:rsidR="007D5981" w:rsidRDefault="007D5981">
      <w:pPr>
        <w:jc w:val="center"/>
        <w:rPr>
          <w:rFonts w:ascii="Times New Roman" w:eastAsia="Times New Roman" w:hAnsi="Times New Roman" w:cs="Times New Roman"/>
          <w:b/>
        </w:rPr>
      </w:pPr>
    </w:p>
    <w:p w14:paraId="0000000E" w14:textId="77777777" w:rsidR="007D5981" w:rsidRDefault="007D5981">
      <w:pPr>
        <w:jc w:val="center"/>
        <w:rPr>
          <w:rFonts w:ascii="Times New Roman" w:eastAsia="Times New Roman" w:hAnsi="Times New Roman" w:cs="Times New Roman"/>
          <w:b/>
        </w:rPr>
      </w:pPr>
    </w:p>
    <w:p w14:paraId="0000000F" w14:textId="77777777" w:rsidR="007D5981" w:rsidRDefault="007D5981">
      <w:pPr>
        <w:jc w:val="center"/>
        <w:rPr>
          <w:rFonts w:ascii="Times New Roman" w:eastAsia="Times New Roman" w:hAnsi="Times New Roman" w:cs="Times New Roman"/>
          <w:b/>
        </w:rPr>
      </w:pPr>
    </w:p>
    <w:p w14:paraId="00000010" w14:textId="77777777" w:rsidR="007D5981" w:rsidRDefault="007D5981">
      <w:pPr>
        <w:jc w:val="center"/>
        <w:rPr>
          <w:rFonts w:ascii="Times New Roman" w:eastAsia="Times New Roman" w:hAnsi="Times New Roman" w:cs="Times New Roman"/>
          <w:b/>
        </w:rPr>
      </w:pPr>
    </w:p>
    <w:p w14:paraId="00000011" w14:textId="77777777" w:rsidR="007D5981" w:rsidRDefault="007D5981">
      <w:pPr>
        <w:jc w:val="center"/>
        <w:rPr>
          <w:rFonts w:ascii="Times New Roman" w:eastAsia="Times New Roman" w:hAnsi="Times New Roman" w:cs="Times New Roman"/>
          <w:b/>
        </w:rPr>
      </w:pPr>
    </w:p>
    <w:p w14:paraId="00000012" w14:textId="77777777" w:rsidR="007D5981" w:rsidRDefault="007D5981">
      <w:pPr>
        <w:jc w:val="center"/>
        <w:rPr>
          <w:rFonts w:ascii="Times New Roman" w:eastAsia="Times New Roman" w:hAnsi="Times New Roman" w:cs="Times New Roman"/>
          <w:b/>
        </w:rPr>
      </w:pPr>
    </w:p>
    <w:p w14:paraId="00000013" w14:textId="77777777" w:rsidR="007D5981" w:rsidRDefault="007D5981">
      <w:pPr>
        <w:jc w:val="center"/>
        <w:rPr>
          <w:rFonts w:ascii="Times New Roman" w:eastAsia="Times New Roman" w:hAnsi="Times New Roman" w:cs="Times New Roman"/>
          <w:b/>
        </w:rPr>
      </w:pPr>
    </w:p>
    <w:p w14:paraId="00000014" w14:textId="77777777" w:rsidR="007D5981" w:rsidRDefault="007D5981">
      <w:pPr>
        <w:jc w:val="center"/>
        <w:rPr>
          <w:rFonts w:ascii="Times New Roman" w:eastAsia="Times New Roman" w:hAnsi="Times New Roman" w:cs="Times New Roman"/>
          <w:b/>
        </w:rPr>
      </w:pPr>
    </w:p>
    <w:p w14:paraId="00000015" w14:textId="77777777" w:rsidR="007D5981" w:rsidRDefault="00A37B9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Derrick Wong and Stephanie Mikulasek</w:t>
      </w:r>
    </w:p>
    <w:p w14:paraId="00000016" w14:textId="77777777" w:rsidR="007D5981" w:rsidRDefault="007D5981">
      <w:pPr>
        <w:jc w:val="center"/>
        <w:rPr>
          <w:rFonts w:ascii="Times New Roman" w:eastAsia="Times New Roman" w:hAnsi="Times New Roman" w:cs="Times New Roman"/>
          <w:sz w:val="24"/>
          <w:szCs w:val="24"/>
        </w:rPr>
      </w:pPr>
    </w:p>
    <w:p w14:paraId="00000017" w14:textId="77777777" w:rsidR="007D5981" w:rsidRDefault="007D5981">
      <w:pPr>
        <w:jc w:val="center"/>
        <w:rPr>
          <w:rFonts w:ascii="Times New Roman" w:eastAsia="Times New Roman" w:hAnsi="Times New Roman" w:cs="Times New Roman"/>
          <w:sz w:val="24"/>
          <w:szCs w:val="24"/>
        </w:rPr>
      </w:pPr>
    </w:p>
    <w:p w14:paraId="00000018" w14:textId="77777777" w:rsidR="007D5981" w:rsidRDefault="007D5981">
      <w:pPr>
        <w:jc w:val="center"/>
        <w:rPr>
          <w:rFonts w:ascii="Times New Roman" w:eastAsia="Times New Roman" w:hAnsi="Times New Roman" w:cs="Times New Roman"/>
          <w:sz w:val="24"/>
          <w:szCs w:val="24"/>
        </w:rPr>
      </w:pPr>
    </w:p>
    <w:p w14:paraId="00000019" w14:textId="77777777" w:rsidR="007D5981" w:rsidRDefault="007D5981">
      <w:pPr>
        <w:jc w:val="center"/>
        <w:rPr>
          <w:rFonts w:ascii="Times New Roman" w:eastAsia="Times New Roman" w:hAnsi="Times New Roman" w:cs="Times New Roman"/>
          <w:sz w:val="24"/>
          <w:szCs w:val="24"/>
        </w:rPr>
      </w:pPr>
    </w:p>
    <w:p w14:paraId="0000001A" w14:textId="77777777" w:rsidR="007D5981" w:rsidRDefault="007D5981">
      <w:pPr>
        <w:jc w:val="center"/>
        <w:rPr>
          <w:rFonts w:ascii="Times New Roman" w:eastAsia="Times New Roman" w:hAnsi="Times New Roman" w:cs="Times New Roman"/>
          <w:sz w:val="24"/>
          <w:szCs w:val="24"/>
        </w:rPr>
      </w:pPr>
    </w:p>
    <w:p w14:paraId="0000001B" w14:textId="77777777" w:rsidR="007D5981" w:rsidRDefault="007D5981">
      <w:pPr>
        <w:jc w:val="center"/>
        <w:rPr>
          <w:rFonts w:ascii="Times New Roman" w:eastAsia="Times New Roman" w:hAnsi="Times New Roman" w:cs="Times New Roman"/>
          <w:sz w:val="24"/>
          <w:szCs w:val="24"/>
        </w:rPr>
      </w:pPr>
    </w:p>
    <w:p w14:paraId="0000001C" w14:textId="77777777" w:rsidR="007D5981" w:rsidRDefault="007D5981">
      <w:pPr>
        <w:jc w:val="center"/>
        <w:rPr>
          <w:rFonts w:ascii="Times New Roman" w:eastAsia="Times New Roman" w:hAnsi="Times New Roman" w:cs="Times New Roman"/>
          <w:sz w:val="24"/>
          <w:szCs w:val="24"/>
        </w:rPr>
      </w:pPr>
    </w:p>
    <w:p w14:paraId="0000001D" w14:textId="77777777" w:rsidR="007D5981" w:rsidRDefault="007D5981">
      <w:pPr>
        <w:jc w:val="center"/>
        <w:rPr>
          <w:rFonts w:ascii="Times New Roman" w:eastAsia="Times New Roman" w:hAnsi="Times New Roman" w:cs="Times New Roman"/>
          <w:sz w:val="24"/>
          <w:szCs w:val="24"/>
        </w:rPr>
      </w:pPr>
    </w:p>
    <w:p w14:paraId="0000001E" w14:textId="77777777" w:rsidR="007D5981" w:rsidRDefault="00A37B9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Issue Brief</w:t>
      </w:r>
    </w:p>
    <w:p w14:paraId="0000001F" w14:textId="77777777" w:rsidR="007D5981" w:rsidRDefault="00A37B9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EDLE 895 Dr. </w:t>
      </w:r>
      <w:proofErr w:type="spellStart"/>
      <w:r>
        <w:rPr>
          <w:rFonts w:ascii="Times New Roman" w:eastAsia="Times New Roman" w:hAnsi="Times New Roman" w:cs="Times New Roman"/>
          <w:sz w:val="24"/>
          <w:szCs w:val="24"/>
        </w:rPr>
        <w:t>Farnoosh</w:t>
      </w:r>
      <w:proofErr w:type="spellEnd"/>
      <w:r>
        <w:rPr>
          <w:rFonts w:ascii="Times New Roman" w:eastAsia="Times New Roman" w:hAnsi="Times New Roman" w:cs="Times New Roman"/>
          <w:sz w:val="24"/>
          <w:szCs w:val="24"/>
        </w:rPr>
        <w:t xml:space="preserve"> Shahrokhi</w:t>
      </w:r>
    </w:p>
    <w:p w14:paraId="00000020" w14:textId="77777777" w:rsidR="007D5981" w:rsidRDefault="00A37B9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​​Emerging Issues in Administration and Supervision</w:t>
      </w:r>
    </w:p>
    <w:p w14:paraId="00000021" w14:textId="77777777" w:rsidR="007D5981" w:rsidRDefault="00A37B9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w:t>
      </w:r>
    </w:p>
    <w:p w14:paraId="00000022" w14:textId="77777777" w:rsidR="007D5981" w:rsidRDefault="007D5981">
      <w:pPr>
        <w:rPr>
          <w:rFonts w:ascii="Times New Roman" w:eastAsia="Times New Roman" w:hAnsi="Times New Roman" w:cs="Times New Roman"/>
          <w:b/>
          <w:sz w:val="24"/>
          <w:szCs w:val="24"/>
        </w:rPr>
      </w:pPr>
    </w:p>
    <w:p w14:paraId="00000023" w14:textId="77777777" w:rsidR="007D5981" w:rsidRDefault="007D5981">
      <w:pPr>
        <w:rPr>
          <w:rFonts w:ascii="Times New Roman" w:eastAsia="Times New Roman" w:hAnsi="Times New Roman" w:cs="Times New Roman"/>
          <w:b/>
          <w:sz w:val="24"/>
          <w:szCs w:val="24"/>
        </w:rPr>
      </w:pPr>
    </w:p>
    <w:p w14:paraId="00000024" w14:textId="77777777" w:rsidR="007D5981" w:rsidRDefault="007D5981">
      <w:pPr>
        <w:rPr>
          <w:rFonts w:ascii="Times New Roman" w:eastAsia="Times New Roman" w:hAnsi="Times New Roman" w:cs="Times New Roman"/>
          <w:b/>
          <w:sz w:val="24"/>
          <w:szCs w:val="24"/>
        </w:rPr>
      </w:pPr>
    </w:p>
    <w:p w14:paraId="00000025" w14:textId="77777777" w:rsidR="007D5981" w:rsidRDefault="007D5981">
      <w:pPr>
        <w:rPr>
          <w:rFonts w:ascii="Times New Roman" w:eastAsia="Times New Roman" w:hAnsi="Times New Roman" w:cs="Times New Roman"/>
          <w:b/>
          <w:sz w:val="24"/>
          <w:szCs w:val="24"/>
        </w:rPr>
      </w:pPr>
    </w:p>
    <w:p w14:paraId="00000026" w14:textId="77777777" w:rsidR="007D5981" w:rsidRDefault="007D5981">
      <w:pPr>
        <w:rPr>
          <w:rFonts w:ascii="Times New Roman" w:eastAsia="Times New Roman" w:hAnsi="Times New Roman" w:cs="Times New Roman"/>
          <w:b/>
          <w:sz w:val="24"/>
          <w:szCs w:val="24"/>
        </w:rPr>
      </w:pPr>
    </w:p>
    <w:p w14:paraId="00000027" w14:textId="77777777" w:rsidR="007D5981" w:rsidRDefault="007D5981">
      <w:pPr>
        <w:rPr>
          <w:rFonts w:ascii="Times New Roman" w:eastAsia="Times New Roman" w:hAnsi="Times New Roman" w:cs="Times New Roman"/>
          <w:b/>
          <w:sz w:val="24"/>
          <w:szCs w:val="24"/>
        </w:rPr>
      </w:pPr>
    </w:p>
    <w:p w14:paraId="00000028" w14:textId="77777777" w:rsidR="007D5981" w:rsidRDefault="00A37B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Emerging Issue: Sparking paradigm shifts to generate change within immersion programs and collaborative decision-making between stakeholders in an athletic department</w:t>
      </w:r>
    </w:p>
    <w:p w14:paraId="00000029"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Leaders, whether in academia, business, civil society, or government, often face the responsibility of promoting change within an organization that requires a dynamic, multi-faceted, and relational approach to be successful.   In academia, leaders are regularly called to make changes within their schools, curriculum, programs, structures, and approaches to learning.  Typically, such change uses a “combination of top-down and bottom-up approaches” combined with “collaboration, teamwork, and strong communication to advance shared interests” (Loughran &amp; Brubaker, 2015, p. 257).  Further, to advance change, whether structural, behavioral, cognitive, or existential, leaders grapple with a diverse group of stakeholders holding varying levels of influence and engagement.  Academic institutional leaders, for example, contend with faculty, staff, students, parents, school boards, community members, local and state governments, civic organizations, national organizations, and so forth, each of whom may differ in support of the leader and the desired paradigm shift.  If the leader’s objective is to help students or school officials see and understand a situation differently, what are ways academic leaders use multidisciplinary interventions to generate paradigm shifts so that change can occur?  This study explores two possibilities of ways leaders can spark and generate a paradigm shift to advance objectives.</w:t>
      </w:r>
    </w:p>
    <w:p w14:paraId="0000002B"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approach is to focus not on the group or the change itself, but rather on the leader’s capacity and ownership of embodying and modeling the attitudes and behaviors necessary to allow the change to be accepted and internalized.  The challenge of stimulating a change in paradigm, a different way of thinking or epistemology, may not be effectively addressed through the traditional change management method noted above, but rather through an “inside-out approach” that can “more clearly discern the inner world/landscape/contours of the educational leader” (Loughran &amp; Brubaker, 2015, p. 257).  In other words, to stimulate action toward a new paradigm or perspective within a group or organization may best begin with developing self-awareness and shift in perspective within the leader.   The intervention, therefore, begins with the leader’s own capacity and acceptance of embodying the shift in thinking or perspective.  </w:t>
      </w:r>
    </w:p>
    <w:p w14:paraId="0000002D"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E"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academic context in which to illuminate how this intervention occurs is during faculty-led immersion programs.  Often, but not always, a purpose of such immersion programs is to develop the intercultural competency of students (Niehaus &amp; Wegener, 2018).  Immersion programs offer a unique forum to shift paradigms, ways of thinking, perceptions of normal, and sense-making that can have significant effect on students’ competency and capacity to engage effectively with other cultures.  Bennet (1993), Byram (1997), Deardorff (2006) and Hammer, Bennett, and Wiseman (2003) note that immersion programs can move participants to a new way of being and knowing – that is, a transformed ontology that facilitates the recognition and value of other epistemologies, and subsequently accepting, adapting, and integrating knowledge, skills, </w:t>
      </w:r>
      <w:r>
        <w:rPr>
          <w:rFonts w:ascii="Times New Roman" w:eastAsia="Times New Roman" w:hAnsi="Times New Roman" w:cs="Times New Roman"/>
          <w:sz w:val="24"/>
          <w:szCs w:val="24"/>
        </w:rPr>
        <w:lastRenderedPageBreak/>
        <w:t xml:space="preserve">and attitudes of intercultural and global competencies.  Not well examined is how the instructor creates the necessary “safe space” to facilitate the development of intercultural competency and this paradigm shift.  For example, Whatley, Landon, Tarrant and Rubin (2021) examine the program design of faculty-led immersion programs to develop global perspectives, and similarly Hubbard and </w:t>
      </w:r>
      <w:proofErr w:type="spellStart"/>
      <w:r>
        <w:rPr>
          <w:rFonts w:ascii="Times New Roman" w:eastAsia="Times New Roman" w:hAnsi="Times New Roman" w:cs="Times New Roman"/>
          <w:sz w:val="24"/>
          <w:szCs w:val="24"/>
        </w:rPr>
        <w:t>Rexeisen</w:t>
      </w:r>
      <w:proofErr w:type="spellEnd"/>
      <w:r>
        <w:rPr>
          <w:rFonts w:ascii="Times New Roman" w:eastAsia="Times New Roman" w:hAnsi="Times New Roman" w:cs="Times New Roman"/>
          <w:sz w:val="24"/>
          <w:szCs w:val="24"/>
        </w:rPr>
        <w:t xml:space="preserve"> (2020) cite the program’s organizational quality, but these researchers do not address the role of the instructor in the learning process. Niehaus and Wegener (2019) cite that “faculty members’ own intercultural competence” predicts their “approaches to teaching abroad” (p. 115), but do not discuss how faculty develop their intercultural competency except by the generality of previous interaction with other cultures.  </w:t>
      </w:r>
    </w:p>
    <w:p w14:paraId="0000002F"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faculty-led programs as a framework, how can the instructor be supported in developing deeper his/her self-awareness, humility, curiosity, empathy, and presence to experience the transformation and subsequently learn how to evoke this self-awareness and character traits in others, i.e. students, to stimulate their transformation?  Arguably, an instructor cannot teach self-awareness and these traits if s/he has not experienced the process of developing self-awareness and the potentially possible transformation; teachers cannot teach what they don’t know (Sadruddin &amp; Wahab, 2013; Santoro, 2014; Schneider, 2003).  As such, instructors cannot provide facilitated or guided processes of self-reflection on different frames of reference if they have not experienced this process (Anderson, Lorenz, &amp; White, 2016).  What might be an intervention to evoke this self-awareness?  This study suggests the integration of executive coaching, an intentional process of engagement described by Grant, Green and </w:t>
      </w:r>
      <w:proofErr w:type="spellStart"/>
      <w:r>
        <w:rPr>
          <w:rFonts w:ascii="Times New Roman" w:eastAsia="Times New Roman" w:hAnsi="Times New Roman" w:cs="Times New Roman"/>
          <w:sz w:val="24"/>
          <w:szCs w:val="24"/>
        </w:rPr>
        <w:t>Rynsaardt</w:t>
      </w:r>
      <w:proofErr w:type="spellEnd"/>
      <w:r>
        <w:rPr>
          <w:rFonts w:ascii="Times New Roman" w:eastAsia="Times New Roman" w:hAnsi="Times New Roman" w:cs="Times New Roman"/>
          <w:sz w:val="24"/>
          <w:szCs w:val="24"/>
        </w:rPr>
        <w:t xml:space="preserve"> (2010) as a transformation when self-awareness is raised, insights are shared, and purposeful enactment of new behaviors ensures; executive coaching is when a coach keeps the </w:t>
      </w:r>
      <w:proofErr w:type="spellStart"/>
      <w:r>
        <w:rPr>
          <w:rFonts w:ascii="Times New Roman" w:eastAsia="Times New Roman" w:hAnsi="Times New Roman" w:cs="Times New Roman"/>
          <w:sz w:val="24"/>
          <w:szCs w:val="24"/>
        </w:rPr>
        <w:t>coachee</w:t>
      </w:r>
      <w:proofErr w:type="spellEnd"/>
      <w:r>
        <w:rPr>
          <w:rFonts w:ascii="Times New Roman" w:eastAsia="Times New Roman" w:hAnsi="Times New Roman" w:cs="Times New Roman"/>
          <w:sz w:val="24"/>
          <w:szCs w:val="24"/>
        </w:rPr>
        <w:t xml:space="preserve"> “focused on the goals, helping to monitor and evaluate progress over time as well providing an intellectual foil for brainstorming and self-reflection” (Grant, Green &amp; </w:t>
      </w:r>
      <w:proofErr w:type="spellStart"/>
      <w:r>
        <w:rPr>
          <w:rFonts w:ascii="Times New Roman" w:eastAsia="Times New Roman" w:hAnsi="Times New Roman" w:cs="Times New Roman"/>
          <w:sz w:val="24"/>
          <w:szCs w:val="24"/>
        </w:rPr>
        <w:t>Rynsaardt</w:t>
      </w:r>
      <w:proofErr w:type="spellEnd"/>
      <w:r>
        <w:rPr>
          <w:rFonts w:ascii="Times New Roman" w:eastAsia="Times New Roman" w:hAnsi="Times New Roman" w:cs="Times New Roman"/>
          <w:sz w:val="24"/>
          <w:szCs w:val="24"/>
        </w:rPr>
        <w:t>, 2010, p. 154).  Such coaching offers a multidisciplinary approach to facilitate the adoption of the character traits necessary to allow for intercultural competency to germinate and grow.</w:t>
      </w:r>
    </w:p>
    <w:p w14:paraId="00000031"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7D5981" w:rsidRDefault="00A37B9A">
      <w:pPr>
        <w:spacing w:before="240"/>
        <w:rPr>
          <w:rFonts w:ascii="Times New Roman" w:eastAsia="Times New Roman" w:hAnsi="Times New Roman" w:cs="Times New Roman"/>
          <w:i/>
          <w:sz w:val="24"/>
          <w:szCs w:val="24"/>
          <w:shd w:val="clear" w:color="auto" w:fill="FFF2CC"/>
        </w:rPr>
      </w:pPr>
      <w:r>
        <w:rPr>
          <w:rFonts w:ascii="Times New Roman" w:eastAsia="Times New Roman" w:hAnsi="Times New Roman" w:cs="Times New Roman"/>
          <w:i/>
          <w:sz w:val="24"/>
          <w:szCs w:val="24"/>
          <w:shd w:val="clear" w:color="auto" w:fill="FFF2CC"/>
        </w:rPr>
        <w:t>The following databases were used to find relevant articles for the issue brief:</w:t>
      </w:r>
    </w:p>
    <w:p w14:paraId="00000033" w14:textId="77777777" w:rsidR="007D5981" w:rsidRDefault="007D5981">
      <w:pPr>
        <w:rPr>
          <w:rFonts w:ascii="Times New Roman" w:eastAsia="Times New Roman" w:hAnsi="Times New Roman" w:cs="Times New Roman"/>
          <w:sz w:val="24"/>
          <w:szCs w:val="24"/>
        </w:rPr>
      </w:pPr>
    </w:p>
    <w:p w14:paraId="00000034"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Databases Searched:  Sage Journals; ProQuest Central; Taylor and Francis Group; Taylor &amp; Francis Online; </w:t>
      </w:r>
      <w:proofErr w:type="spellStart"/>
      <w:r>
        <w:rPr>
          <w:rFonts w:ascii="Times New Roman" w:eastAsia="Times New Roman" w:hAnsi="Times New Roman" w:cs="Times New Roman"/>
          <w:sz w:val="24"/>
          <w:szCs w:val="24"/>
        </w:rPr>
        <w:t>IngentaConnect</w:t>
      </w:r>
      <w:proofErr w:type="spellEnd"/>
      <w:r>
        <w:rPr>
          <w:rFonts w:ascii="Times New Roman" w:eastAsia="Times New Roman" w:hAnsi="Times New Roman" w:cs="Times New Roman"/>
          <w:sz w:val="24"/>
          <w:szCs w:val="24"/>
        </w:rPr>
        <w:t>; Nursing &amp; Allied Health Database; Web of Science; SciTech Premium Collection; ProQuest Dissertations &amp; Theses Global; Education Database; Academic Search Complete; PubMed; MEDLINE - Academic; Career &amp; Technical Education Database; Environmental Science Database; Education Research Complete; DOAJ Directory of Open Access Journals; Publicly Available Content Database; Research Library; ERIC; Social Sciences Citation Index; eBooks on EBSCOhost; ABI/INFORM Collection; Science Citation Index Expanded; SpringerLink Contemporary; Springer Online Journals Complete; Academic Search Complete; Taylor &amp; Francis Current Content Access</w:t>
      </w:r>
    </w:p>
    <w:p w14:paraId="00000035" w14:textId="77777777" w:rsidR="007D5981" w:rsidRDefault="007D5981">
      <w:pPr>
        <w:rPr>
          <w:rFonts w:ascii="Times New Roman" w:eastAsia="Times New Roman" w:hAnsi="Times New Roman" w:cs="Times New Roman"/>
          <w:sz w:val="24"/>
          <w:szCs w:val="24"/>
        </w:rPr>
      </w:pPr>
    </w:p>
    <w:p w14:paraId="00000036" w14:textId="77777777" w:rsidR="007D5981" w:rsidRDefault="00A37B9A">
      <w:pPr>
        <w:rPr>
          <w:rFonts w:ascii="Times New Roman" w:eastAsia="Times New Roman" w:hAnsi="Times New Roman" w:cs="Times New Roman"/>
          <w:i/>
          <w:sz w:val="24"/>
          <w:szCs w:val="24"/>
          <w:shd w:val="clear" w:color="auto" w:fill="FFF2CC"/>
        </w:rPr>
      </w:pPr>
      <w:r>
        <w:rPr>
          <w:rFonts w:ascii="Times New Roman" w:eastAsia="Times New Roman" w:hAnsi="Times New Roman" w:cs="Times New Roman"/>
          <w:i/>
          <w:sz w:val="24"/>
          <w:szCs w:val="24"/>
          <w:shd w:val="clear" w:color="auto" w:fill="FFF2CC"/>
        </w:rPr>
        <w:lastRenderedPageBreak/>
        <w:t xml:space="preserve">The following journals were searched:  </w:t>
      </w:r>
    </w:p>
    <w:p w14:paraId="00000037" w14:textId="77777777" w:rsidR="007D5981" w:rsidRDefault="007D5981">
      <w:pPr>
        <w:rPr>
          <w:rFonts w:ascii="Times New Roman" w:eastAsia="Times New Roman" w:hAnsi="Times New Roman" w:cs="Times New Roman"/>
          <w:sz w:val="24"/>
          <w:szCs w:val="24"/>
        </w:rPr>
      </w:pPr>
    </w:p>
    <w:p w14:paraId="00000038"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Studying Teacher Education; International Journal of Mentoring and Coaching in Education; Journal of Geography in Higher Education; Journal of Studies in International Education; Consulting Psychology Journal: Practice and Research; Frontiers: The Interdisciplinary Journal of Study Abroad; and Innovative Higher Education; Educational Administrative Quarterly; Social Sciences; Prospects; Journal of Teaching in Travel &amp; Tourism; New Directions for Student Leadership; Journal of Education Policy &amp; Leadership; Consulting Psychology Journal; The Counseling Psychologist; European Journal of Psychology and Education; Studies in Philosophy and Education; Studying Teacher Education; International Journal of Environmental Research and Public Health; School Psychology Review, Decision Sciences Journal of Innovative Education; Language and Intercultural Communication; Sustainability; </w:t>
      </w:r>
      <w:proofErr w:type="spellStart"/>
      <w:r>
        <w:rPr>
          <w:rFonts w:ascii="Times New Roman" w:eastAsia="Times New Roman" w:hAnsi="Times New Roman" w:cs="Times New Roman"/>
          <w:sz w:val="24"/>
          <w:szCs w:val="24"/>
        </w:rPr>
        <w:t>ReCALL</w:t>
      </w:r>
      <w:proofErr w:type="spellEnd"/>
      <w:r>
        <w:rPr>
          <w:rFonts w:ascii="Times New Roman" w:eastAsia="Times New Roman" w:hAnsi="Times New Roman" w:cs="Times New Roman"/>
          <w:sz w:val="24"/>
          <w:szCs w:val="24"/>
        </w:rPr>
        <w:t>, Public Administrative Review; Educational Studies; Information Systems Frontiers; Journal of Allied Health</w:t>
      </w:r>
    </w:p>
    <w:p w14:paraId="00000039" w14:textId="77777777" w:rsidR="007D5981" w:rsidRDefault="007D5981">
      <w:pPr>
        <w:rPr>
          <w:rFonts w:ascii="Times New Roman" w:eastAsia="Times New Roman" w:hAnsi="Times New Roman" w:cs="Times New Roman"/>
          <w:sz w:val="24"/>
          <w:szCs w:val="24"/>
        </w:rPr>
      </w:pPr>
    </w:p>
    <w:p w14:paraId="0000003A" w14:textId="77777777" w:rsidR="007D5981" w:rsidRDefault="00A37B9A">
      <w:pPr>
        <w:spacing w:before="240"/>
        <w:rPr>
          <w:rFonts w:ascii="Times New Roman" w:eastAsia="Times New Roman" w:hAnsi="Times New Roman" w:cs="Times New Roman"/>
          <w:i/>
          <w:sz w:val="24"/>
          <w:szCs w:val="24"/>
          <w:shd w:val="clear" w:color="auto" w:fill="FFF2CC"/>
        </w:rPr>
      </w:pPr>
      <w:r>
        <w:rPr>
          <w:rFonts w:ascii="Times New Roman" w:eastAsia="Times New Roman" w:hAnsi="Times New Roman" w:cs="Times New Roman"/>
          <w:i/>
          <w:sz w:val="24"/>
          <w:szCs w:val="24"/>
          <w:shd w:val="clear" w:color="auto" w:fill="FFF2CC"/>
        </w:rPr>
        <w:t>What are the theories that inform the field?</w:t>
      </w:r>
    </w:p>
    <w:p w14:paraId="0000003B" w14:textId="77777777" w:rsidR="007D5981" w:rsidRDefault="007D5981">
      <w:pPr>
        <w:spacing w:before="240"/>
        <w:rPr>
          <w:rFonts w:ascii="Times New Roman" w:eastAsia="Times New Roman" w:hAnsi="Times New Roman" w:cs="Times New Roman"/>
          <w:i/>
          <w:sz w:val="4"/>
          <w:szCs w:val="4"/>
          <w:shd w:val="clear" w:color="auto" w:fill="FFF2CC"/>
        </w:rPr>
      </w:pPr>
    </w:p>
    <w:p w14:paraId="0000003C"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Informing the Field:  Transformational Leadership, Self-leadership; Social Systems Game Theory (Burns et al., 2018, p. 1), Irving Goffman’s interactionist approach (IGT), classical theory, Research Impact</w:t>
      </w:r>
    </w:p>
    <w:p w14:paraId="0000003D" w14:textId="77777777" w:rsidR="007D5981" w:rsidRDefault="007D5981">
      <w:pPr>
        <w:rPr>
          <w:rFonts w:ascii="Times New Roman" w:eastAsia="Times New Roman" w:hAnsi="Times New Roman" w:cs="Times New Roman"/>
          <w:sz w:val="24"/>
          <w:szCs w:val="24"/>
        </w:rPr>
      </w:pPr>
    </w:p>
    <w:p w14:paraId="0000003E" w14:textId="77777777" w:rsidR="007D5981" w:rsidRDefault="00A37B9A">
      <w:pPr>
        <w:spacing w:before="240"/>
        <w:rPr>
          <w:rFonts w:ascii="Times New Roman" w:eastAsia="Times New Roman" w:hAnsi="Times New Roman" w:cs="Times New Roman"/>
          <w:i/>
          <w:sz w:val="24"/>
          <w:szCs w:val="24"/>
          <w:shd w:val="clear" w:color="auto" w:fill="FFF2CC"/>
        </w:rPr>
      </w:pPr>
      <w:r>
        <w:rPr>
          <w:rFonts w:ascii="Times New Roman" w:eastAsia="Times New Roman" w:hAnsi="Times New Roman" w:cs="Times New Roman"/>
          <w:i/>
          <w:sz w:val="24"/>
          <w:szCs w:val="24"/>
          <w:shd w:val="clear" w:color="auto" w:fill="FFF2CC"/>
        </w:rPr>
        <w:t>What are the camps within the field?</w:t>
      </w:r>
    </w:p>
    <w:p w14:paraId="0000003F" w14:textId="77777777" w:rsidR="007D5981" w:rsidRDefault="00A37B9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Systems Game Theory and the Interactionist Approach are opposite of Classical Theory; Reform Syndrome - as one country was making reforms to the education system, other countries with similarities would make the same reforms); Critical Leadership Development</w:t>
      </w:r>
    </w:p>
    <w:p w14:paraId="00000040"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Camps within the Field</w:t>
      </w:r>
    </w:p>
    <w:p w14:paraId="00000041" w14:textId="77777777" w:rsidR="007D5981" w:rsidRDefault="007D5981">
      <w:pPr>
        <w:rPr>
          <w:rFonts w:ascii="Times New Roman" w:eastAsia="Times New Roman" w:hAnsi="Times New Roman" w:cs="Times New Roman"/>
          <w:sz w:val="24"/>
          <w:szCs w:val="24"/>
        </w:rPr>
      </w:pPr>
    </w:p>
    <w:p w14:paraId="00000042"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Examining the process in which intercultural competency is developed during immersion programs often leads to discussion of structural and design components of the program, such as housing, length of program, content, service learning and experiential opportunities, internships, and others (Hubbard &amp; </w:t>
      </w:r>
      <w:proofErr w:type="spellStart"/>
      <w:r>
        <w:rPr>
          <w:rFonts w:ascii="Times New Roman" w:eastAsia="Times New Roman" w:hAnsi="Times New Roman" w:cs="Times New Roman"/>
          <w:sz w:val="24"/>
          <w:szCs w:val="24"/>
        </w:rPr>
        <w:t>Rexeisen</w:t>
      </w:r>
      <w:proofErr w:type="spellEnd"/>
      <w:r>
        <w:rPr>
          <w:rFonts w:ascii="Times New Roman" w:eastAsia="Times New Roman" w:hAnsi="Times New Roman" w:cs="Times New Roman"/>
          <w:sz w:val="24"/>
          <w:szCs w:val="24"/>
        </w:rPr>
        <w:t>, 2010).</w:t>
      </w:r>
    </w:p>
    <w:p w14:paraId="00000043" w14:textId="77777777" w:rsidR="007D5981" w:rsidRDefault="007D5981">
      <w:pPr>
        <w:rPr>
          <w:rFonts w:ascii="Times New Roman" w:eastAsia="Times New Roman" w:hAnsi="Times New Roman" w:cs="Times New Roman"/>
          <w:sz w:val="24"/>
          <w:szCs w:val="24"/>
        </w:rPr>
      </w:pPr>
    </w:p>
    <w:p w14:paraId="00000044" w14:textId="77777777" w:rsidR="007D5981" w:rsidRDefault="00A37B9A">
      <w:pPr>
        <w:spacing w:before="240"/>
        <w:rPr>
          <w:rFonts w:ascii="Times New Roman" w:eastAsia="Times New Roman" w:hAnsi="Times New Roman" w:cs="Times New Roman"/>
          <w:i/>
          <w:sz w:val="24"/>
          <w:szCs w:val="24"/>
          <w:shd w:val="clear" w:color="auto" w:fill="FFF2CC"/>
        </w:rPr>
      </w:pPr>
      <w:r>
        <w:rPr>
          <w:rFonts w:ascii="Times New Roman" w:eastAsia="Times New Roman" w:hAnsi="Times New Roman" w:cs="Times New Roman"/>
          <w:i/>
          <w:sz w:val="24"/>
          <w:szCs w:val="24"/>
          <w:shd w:val="clear" w:color="auto" w:fill="FFF2CC"/>
        </w:rPr>
        <w:t>What are two to three researchable questions concerning this issue?</w:t>
      </w:r>
    </w:p>
    <w:p w14:paraId="00000045" w14:textId="77777777" w:rsidR="007D5981" w:rsidRDefault="007D5981">
      <w:pPr>
        <w:rPr>
          <w:rFonts w:ascii="Times New Roman" w:eastAsia="Times New Roman" w:hAnsi="Times New Roman" w:cs="Times New Roman"/>
          <w:sz w:val="24"/>
          <w:szCs w:val="24"/>
        </w:rPr>
      </w:pPr>
    </w:p>
    <w:p w14:paraId="00000046"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practicing and receiving executive coaching serve instructors of immersion programs to evoke self-awareness and stimulate behavioral changes that can be role modeled and used among students?</w:t>
      </w:r>
    </w:p>
    <w:p w14:paraId="00000047" w14:textId="77777777" w:rsidR="007D5981" w:rsidRDefault="007D5981">
      <w:pPr>
        <w:rPr>
          <w:rFonts w:ascii="Times New Roman" w:eastAsia="Times New Roman" w:hAnsi="Times New Roman" w:cs="Times New Roman"/>
          <w:sz w:val="24"/>
          <w:szCs w:val="24"/>
        </w:rPr>
      </w:pPr>
    </w:p>
    <w:p w14:paraId="00000048"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can the adoption of an intervention model or immersion program provide senior leadership in an athletic department the personal and professional educational and leadership resources to approach the judgment and decision-making in their positions from a collaborative and TEAM cognition perspective?</w:t>
      </w:r>
    </w:p>
    <w:p w14:paraId="00000049" w14:textId="77777777" w:rsidR="007D5981" w:rsidRDefault="007D5981">
      <w:pPr>
        <w:rPr>
          <w:rFonts w:ascii="Times New Roman" w:eastAsia="Times New Roman" w:hAnsi="Times New Roman" w:cs="Times New Roman"/>
          <w:sz w:val="24"/>
          <w:szCs w:val="24"/>
        </w:rPr>
      </w:pPr>
    </w:p>
    <w:p w14:paraId="0000004A"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aspects of an immersion program (i.e., duration, delivery, frequency, style, cost, demand level, field of study, intensity) are necessary to be included in the program to lead to significant and sustainable behavioral changes in the stakeholder(s) resulting in a paradigm shift?</w:t>
      </w:r>
    </w:p>
    <w:p w14:paraId="0000004B" w14:textId="77777777" w:rsidR="007D5981" w:rsidRDefault="007D5981">
      <w:pPr>
        <w:rPr>
          <w:rFonts w:ascii="Times New Roman" w:eastAsia="Times New Roman" w:hAnsi="Times New Roman" w:cs="Times New Roman"/>
          <w:sz w:val="24"/>
          <w:szCs w:val="24"/>
        </w:rPr>
      </w:pPr>
    </w:p>
    <w:p w14:paraId="0000004C"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educational delivery system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adult learners best respond to when learning new and complex frameworks that are applicable to their professional development?</w:t>
      </w:r>
    </w:p>
    <w:p w14:paraId="0000004D" w14:textId="77777777" w:rsidR="007D5981" w:rsidRDefault="007D5981">
      <w:pPr>
        <w:rPr>
          <w:rFonts w:ascii="Times New Roman" w:eastAsia="Times New Roman" w:hAnsi="Times New Roman" w:cs="Times New Roman"/>
          <w:sz w:val="24"/>
          <w:szCs w:val="24"/>
        </w:rPr>
      </w:pPr>
    </w:p>
    <w:p w14:paraId="0000004E" w14:textId="77777777" w:rsidR="007D5981" w:rsidRDefault="00A37B9A">
      <w:pPr>
        <w:rPr>
          <w:rFonts w:ascii="Times New Roman" w:eastAsia="Times New Roman" w:hAnsi="Times New Roman" w:cs="Times New Roman"/>
        </w:rPr>
      </w:pPr>
      <w:r>
        <w:rPr>
          <w:rFonts w:ascii="Times New Roman" w:eastAsia="Times New Roman" w:hAnsi="Times New Roman" w:cs="Times New Roman"/>
          <w:sz w:val="24"/>
          <w:szCs w:val="24"/>
        </w:rPr>
        <w:t>How do adults learn new paradigms?</w:t>
      </w:r>
    </w:p>
    <w:p w14:paraId="0000004F" w14:textId="77777777" w:rsidR="007D5981" w:rsidRDefault="007D5981">
      <w:pPr>
        <w:rPr>
          <w:rFonts w:ascii="Times New Roman" w:eastAsia="Times New Roman" w:hAnsi="Times New Roman" w:cs="Times New Roman"/>
          <w:sz w:val="24"/>
          <w:szCs w:val="24"/>
        </w:rPr>
      </w:pPr>
    </w:p>
    <w:p w14:paraId="00000050"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obstacles to generating a shift?</w:t>
      </w:r>
    </w:p>
    <w:p w14:paraId="00000051" w14:textId="77777777" w:rsidR="007D5981" w:rsidRDefault="007D5981">
      <w:pPr>
        <w:rPr>
          <w:rFonts w:ascii="Times New Roman" w:eastAsia="Times New Roman" w:hAnsi="Times New Roman" w:cs="Times New Roman"/>
          <w:sz w:val="24"/>
          <w:szCs w:val="24"/>
        </w:rPr>
      </w:pPr>
    </w:p>
    <w:p w14:paraId="00000052"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both examples, a holistic view is necessary, including questions such as: what will be the results of this paradigm shift?  What are the obstacles to achieving this shift?  How will communication be used and potentially modified to facilitate this shift?  How do adults learn new paradigms?</w:t>
      </w:r>
      <w:r>
        <w:br w:type="page"/>
      </w:r>
    </w:p>
    <w:p w14:paraId="00000053" w14:textId="77777777" w:rsidR="007D5981" w:rsidRDefault="00A37B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54" w14:textId="77777777" w:rsidR="007D5981" w:rsidRDefault="00A37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5"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C., Lorenz, K. &amp; White, M. (2016). Instructor influence on student intercultural gains</w:t>
      </w:r>
    </w:p>
    <w:p w14:paraId="00000056" w14:textId="77777777" w:rsidR="007D5981" w:rsidRDefault="00A37B9A">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learning during instructor-led, short-term study abroad. </w:t>
      </w:r>
      <w:r>
        <w:rPr>
          <w:rFonts w:ascii="Times New Roman" w:eastAsia="Times New Roman" w:hAnsi="Times New Roman" w:cs="Times New Roman"/>
          <w:i/>
          <w:sz w:val="24"/>
          <w:szCs w:val="24"/>
        </w:rPr>
        <w:t>Frontiers: The Interdisciplinary Journal of Study Abroad</w:t>
      </w:r>
      <w:r>
        <w:rPr>
          <w:rFonts w:ascii="Times New Roman" w:eastAsia="Times New Roman" w:hAnsi="Times New Roman" w:cs="Times New Roman"/>
          <w:sz w:val="24"/>
          <w:szCs w:val="24"/>
        </w:rPr>
        <w:t xml:space="preserve">. 28 (November). 1-23. </w:t>
      </w:r>
    </w:p>
    <w:p w14:paraId="00000057"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Bennett, M. J. (1993). Towards </w:t>
      </w:r>
      <w:proofErr w:type="spellStart"/>
      <w:r>
        <w:rPr>
          <w:rFonts w:ascii="Times New Roman" w:eastAsia="Times New Roman" w:hAnsi="Times New Roman" w:cs="Times New Roman"/>
          <w:sz w:val="24"/>
          <w:szCs w:val="24"/>
        </w:rPr>
        <w:t>ethnorelativism</w:t>
      </w:r>
      <w:proofErr w:type="spellEnd"/>
      <w:r>
        <w:rPr>
          <w:rFonts w:ascii="Times New Roman" w:eastAsia="Times New Roman" w:hAnsi="Times New Roman" w:cs="Times New Roman"/>
          <w:sz w:val="24"/>
          <w:szCs w:val="24"/>
        </w:rPr>
        <w:t>: A developmental model of intercultural</w:t>
      </w:r>
    </w:p>
    <w:p w14:paraId="00000058" w14:textId="77777777" w:rsidR="007D5981" w:rsidRDefault="00A37B9A">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sensitivity. R. Paige (Ed.). </w:t>
      </w:r>
      <w:r>
        <w:rPr>
          <w:rFonts w:ascii="Times New Roman" w:eastAsia="Times New Roman" w:hAnsi="Times New Roman" w:cs="Times New Roman"/>
          <w:i/>
          <w:sz w:val="24"/>
          <w:szCs w:val="24"/>
        </w:rPr>
        <w:t xml:space="preserve">Education for the intercultural experience. </w:t>
      </w:r>
      <w:r>
        <w:rPr>
          <w:rFonts w:ascii="Times New Roman" w:eastAsia="Times New Roman" w:hAnsi="Times New Roman" w:cs="Times New Roman"/>
          <w:sz w:val="24"/>
          <w:szCs w:val="24"/>
        </w:rPr>
        <w:t xml:space="preserve">21–71. Yarmouth: Intercultural Press. </w:t>
      </w:r>
    </w:p>
    <w:p w14:paraId="00000059"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Byram, M. (1997). </w:t>
      </w:r>
      <w:r>
        <w:rPr>
          <w:rFonts w:ascii="Times New Roman" w:eastAsia="Times New Roman" w:hAnsi="Times New Roman" w:cs="Times New Roman"/>
          <w:i/>
          <w:sz w:val="24"/>
          <w:szCs w:val="24"/>
        </w:rPr>
        <w:t>Teaching and assessing intercultural communicative competence.</w:t>
      </w:r>
      <w:r>
        <w:rPr>
          <w:rFonts w:ascii="Times New Roman" w:eastAsia="Times New Roman" w:hAnsi="Times New Roman" w:cs="Times New Roman"/>
          <w:sz w:val="24"/>
          <w:szCs w:val="24"/>
        </w:rPr>
        <w:t xml:space="preserve"> Clevedon:</w:t>
      </w:r>
    </w:p>
    <w:p w14:paraId="0000005A" w14:textId="77777777" w:rsidR="007D5981" w:rsidRDefault="00A37B9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Multilingual Matters.</w:t>
      </w:r>
    </w:p>
    <w:p w14:paraId="0000005B"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Blackford, J. K. (2020). Paradigm shifts in large-scale educational change: Uncovering the </w:t>
      </w:r>
      <w:proofErr w:type="spellStart"/>
      <w:r>
        <w:rPr>
          <w:rFonts w:ascii="Times New Roman" w:eastAsia="Times New Roman" w:hAnsi="Times New Roman" w:cs="Times New Roman"/>
          <w:sz w:val="24"/>
          <w:szCs w:val="24"/>
        </w:rPr>
        <w:t>oregon</w:t>
      </w:r>
      <w:proofErr w:type="spellEnd"/>
      <w:r>
        <w:rPr>
          <w:rFonts w:ascii="Times New Roman" w:eastAsia="Times New Roman" w:hAnsi="Times New Roman" w:cs="Times New Roman"/>
          <w:sz w:val="24"/>
          <w:szCs w:val="24"/>
        </w:rPr>
        <w:t xml:space="preserve"> education investment board’s theory of change-in-action. </w:t>
      </w:r>
      <w:r>
        <w:rPr>
          <w:rFonts w:ascii="Times New Roman" w:eastAsia="Times New Roman" w:hAnsi="Times New Roman" w:cs="Times New Roman"/>
          <w:i/>
          <w:sz w:val="24"/>
          <w:szCs w:val="24"/>
        </w:rPr>
        <w:t xml:space="preserve">ProQuest </w:t>
      </w:r>
      <w:proofErr w:type="spellStart"/>
      <w:r>
        <w:rPr>
          <w:rFonts w:ascii="Times New Roman" w:eastAsia="Times New Roman" w:hAnsi="Times New Roman" w:cs="Times New Roman"/>
          <w:i/>
          <w:sz w:val="24"/>
          <w:szCs w:val="24"/>
        </w:rPr>
        <w:t>Disssertations</w:t>
      </w:r>
      <w:proofErr w:type="spellEnd"/>
      <w:r>
        <w:rPr>
          <w:rFonts w:ascii="Times New Roman" w:eastAsia="Times New Roman" w:hAnsi="Times New Roman" w:cs="Times New Roman"/>
          <w:i/>
          <w:sz w:val="24"/>
          <w:szCs w:val="24"/>
        </w:rPr>
        <w:t xml:space="preserve">, 27738907, </w:t>
      </w:r>
      <w:r>
        <w:rPr>
          <w:rFonts w:ascii="Times New Roman" w:eastAsia="Times New Roman" w:hAnsi="Times New Roman" w:cs="Times New Roman"/>
          <w:sz w:val="24"/>
          <w:szCs w:val="24"/>
        </w:rPr>
        <w:t>1-261.</w:t>
      </w:r>
    </w:p>
    <w:p w14:paraId="0000005C"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Brouillette, L. (1997). Revisiting an innovative high school: What happens when the principal leaves? </w:t>
      </w:r>
      <w:r>
        <w:rPr>
          <w:rFonts w:ascii="Times New Roman" w:eastAsia="Times New Roman" w:hAnsi="Times New Roman" w:cs="Times New Roman"/>
          <w:i/>
          <w:sz w:val="24"/>
          <w:szCs w:val="24"/>
        </w:rPr>
        <w:t>Educational Administrative Quarterly, 33</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December,</w:t>
      </w:r>
      <w:proofErr w:type="gramEnd"/>
      <w:r>
        <w:rPr>
          <w:rFonts w:ascii="Times New Roman" w:eastAsia="Times New Roman" w:hAnsi="Times New Roman" w:cs="Times New Roman"/>
          <w:sz w:val="24"/>
          <w:szCs w:val="24"/>
        </w:rPr>
        <w:t xml:space="preserve"> 1997), 546-575.</w:t>
      </w:r>
    </w:p>
    <w:p w14:paraId="0000005D"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Burns, T. R., Roszkowska, E., Johansson, N., &amp; Corte, U. (2018). Paradigm shift in game theory: Sociological re-conceptualization of human agency, social structure, and agent’s cognitive-normative frameworks and action determination modalities. </w:t>
      </w:r>
      <w:r>
        <w:rPr>
          <w:rFonts w:ascii="Times New Roman" w:eastAsia="Times New Roman" w:hAnsi="Times New Roman" w:cs="Times New Roman"/>
          <w:i/>
          <w:sz w:val="24"/>
          <w:szCs w:val="24"/>
        </w:rPr>
        <w:t>Social Sciences, 7</w:t>
      </w:r>
      <w:r>
        <w:rPr>
          <w:rFonts w:ascii="Times New Roman" w:eastAsia="Times New Roman" w:hAnsi="Times New Roman" w:cs="Times New Roman"/>
          <w:sz w:val="24"/>
          <w:szCs w:val="24"/>
        </w:rPr>
        <w:t>(40), 1-40.</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0563C1"/>
            <w:sz w:val="24"/>
            <w:szCs w:val="24"/>
            <w:u w:val="single"/>
          </w:rPr>
          <w:t>https://doi.org/10.3390/socsci7030040</w:t>
        </w:r>
      </w:hyperlink>
    </w:p>
    <w:p w14:paraId="0000005E"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Cheng, Y. C. (2009). Teacher management and educational reforms: Paradigm shifts. </w:t>
      </w:r>
      <w:r>
        <w:rPr>
          <w:rFonts w:ascii="Times New Roman" w:eastAsia="Times New Roman" w:hAnsi="Times New Roman" w:cs="Times New Roman"/>
          <w:i/>
          <w:sz w:val="24"/>
          <w:szCs w:val="24"/>
        </w:rPr>
        <w:t xml:space="preserve">Prospects, 39, </w:t>
      </w:r>
      <w:r>
        <w:rPr>
          <w:rFonts w:ascii="Times New Roman" w:eastAsia="Times New Roman" w:hAnsi="Times New Roman" w:cs="Times New Roman"/>
          <w:sz w:val="24"/>
          <w:szCs w:val="24"/>
        </w:rPr>
        <w:t>69-89.</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0563C1"/>
            <w:sz w:val="24"/>
            <w:szCs w:val="24"/>
            <w:u w:val="single"/>
          </w:rPr>
          <w:t>https://doi.org/10.1007/s11125-009-9113-2</w:t>
        </w:r>
      </w:hyperlink>
    </w:p>
    <w:p w14:paraId="0000005F"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Choi, S., &amp; Bae, J. S. (2021). Intercultural competence: Does a short-term international educational trip matter? </w:t>
      </w:r>
      <w:r>
        <w:rPr>
          <w:rFonts w:ascii="Times New Roman" w:eastAsia="Times New Roman" w:hAnsi="Times New Roman" w:cs="Times New Roman"/>
          <w:i/>
          <w:sz w:val="24"/>
          <w:szCs w:val="24"/>
        </w:rPr>
        <w:t>Journal of Teaching in Travel &amp; Tourism.</w:t>
      </w:r>
      <w:hyperlink r:id="rId8">
        <w:r>
          <w:rPr>
            <w:rFonts w:ascii="Times New Roman" w:eastAsia="Times New Roman" w:hAnsi="Times New Roman" w:cs="Times New Roman"/>
            <w:i/>
            <w:sz w:val="24"/>
            <w:szCs w:val="24"/>
          </w:rPr>
          <w:t xml:space="preserve"> </w:t>
        </w:r>
      </w:hyperlink>
      <w:hyperlink r:id="rId9">
        <w:r>
          <w:rPr>
            <w:rFonts w:ascii="Times New Roman" w:eastAsia="Times New Roman" w:hAnsi="Times New Roman" w:cs="Times New Roman"/>
            <w:color w:val="0563C1"/>
            <w:sz w:val="24"/>
            <w:szCs w:val="24"/>
            <w:u w:val="single"/>
          </w:rPr>
          <w:t>https://doi.org/10.1080/15313220.2021.1969530</w:t>
        </w:r>
      </w:hyperlink>
    </w:p>
    <w:p w14:paraId="00000060"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Deardorff, D. (2006). Identification and assessment of intercultural competence as a student</w:t>
      </w:r>
    </w:p>
    <w:p w14:paraId="00000061" w14:textId="77777777" w:rsidR="007D5981" w:rsidRDefault="00A37B9A">
      <w:pPr>
        <w:spacing w:before="240" w:after="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outcome of internationalization.  </w:t>
      </w:r>
      <w:r>
        <w:rPr>
          <w:rFonts w:ascii="Times New Roman" w:eastAsia="Times New Roman" w:hAnsi="Times New Roman" w:cs="Times New Roman"/>
          <w:i/>
          <w:sz w:val="24"/>
          <w:szCs w:val="24"/>
        </w:rPr>
        <w:t>Association for Studies in International Education.</w:t>
      </w:r>
      <w:r>
        <w:rPr>
          <w:rFonts w:ascii="Times New Roman" w:eastAsia="Times New Roman" w:hAnsi="Times New Roman" w:cs="Times New Roman"/>
          <w:sz w:val="24"/>
          <w:szCs w:val="24"/>
        </w:rPr>
        <w:t xml:space="preserve"> 10(3). 241-266. https://doi.org/10.1177/1028315306287002</w:t>
      </w:r>
    </w:p>
    <w:p w14:paraId="00000062"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Dugas, J. P., &amp; Humbles, A. D. (2018). A paradigm shift in leadership education: Integrating </w:t>
      </w:r>
    </w:p>
    <w:p w14:paraId="00000063" w14:textId="77777777" w:rsidR="007D5981" w:rsidRDefault="00A37B9A">
      <w:pPr>
        <w:spacing w:line="480" w:lineRule="auto"/>
        <w:ind w:left="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critical perspectives into leadership development. In S. R. Komives &amp; K. L. Guthrie (Eds.), </w:t>
      </w:r>
      <w:r>
        <w:rPr>
          <w:rFonts w:ascii="Times New Roman" w:eastAsia="Times New Roman" w:hAnsi="Times New Roman" w:cs="Times New Roman"/>
          <w:i/>
          <w:sz w:val="24"/>
          <w:szCs w:val="24"/>
        </w:rPr>
        <w:t>New Directions for Student Leadership, 2018</w:t>
      </w:r>
      <w:r>
        <w:rPr>
          <w:rFonts w:ascii="Times New Roman" w:eastAsia="Times New Roman" w:hAnsi="Times New Roman" w:cs="Times New Roman"/>
          <w:sz w:val="24"/>
          <w:szCs w:val="24"/>
        </w:rPr>
        <w:t>(159),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pp. 9-26). Wiley Online Library.</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0563C1"/>
            <w:sz w:val="24"/>
            <w:szCs w:val="24"/>
            <w:u w:val="single"/>
          </w:rPr>
          <w:t>https://doi.org/10.1002/yd.20294</w:t>
        </w:r>
      </w:hyperlink>
    </w:p>
    <w:p w14:paraId="00000064"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Farley-Ripple, E. (2020). Wordplay or paradigm shift: The meaning of “research impact.” </w:t>
      </w:r>
      <w:r>
        <w:rPr>
          <w:rFonts w:ascii="Times New Roman" w:eastAsia="Times New Roman" w:hAnsi="Times New Roman" w:cs="Times New Roman"/>
          <w:i/>
          <w:sz w:val="24"/>
          <w:szCs w:val="24"/>
        </w:rPr>
        <w:t>International Journal of Education Policy &amp; Leadership, 10</w:t>
      </w:r>
      <w:r>
        <w:rPr>
          <w:rFonts w:ascii="Times New Roman" w:eastAsia="Times New Roman" w:hAnsi="Times New Roman" w:cs="Times New Roman"/>
          <w:sz w:val="24"/>
          <w:szCs w:val="24"/>
        </w:rPr>
        <w:t>(11), 1-12.</w:t>
      </w:r>
    </w:p>
    <w:p w14:paraId="00000065"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Gash, H. (2015). Knowledge construction: A paradigm shift. In S. R. Komives &amp; K. L. Guthrie (Eds.), </w:t>
      </w:r>
      <w:r>
        <w:rPr>
          <w:rFonts w:ascii="Times New Roman" w:eastAsia="Times New Roman" w:hAnsi="Times New Roman" w:cs="Times New Roman"/>
          <w:i/>
          <w:sz w:val="24"/>
          <w:szCs w:val="24"/>
        </w:rPr>
        <w:t>New Directions for Student Leadership, 2015</w:t>
      </w:r>
      <w:r>
        <w:rPr>
          <w:rFonts w:ascii="Times New Roman" w:eastAsia="Times New Roman" w:hAnsi="Times New Roman" w:cs="Times New Roman"/>
          <w:sz w:val="24"/>
          <w:szCs w:val="24"/>
        </w:rPr>
        <w:t>(143),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pp. 5-23). Wiley Online Library.</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0563C1"/>
            <w:sz w:val="24"/>
            <w:szCs w:val="24"/>
            <w:u w:val="single"/>
          </w:rPr>
          <w:t>https://doi.org/10.1002/tl.20133</w:t>
        </w:r>
      </w:hyperlink>
    </w:p>
    <w:p w14:paraId="00000066"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Grant, A. M., Green, L. S., &amp; </w:t>
      </w:r>
      <w:proofErr w:type="spellStart"/>
      <w:r>
        <w:rPr>
          <w:rFonts w:ascii="Times New Roman" w:eastAsia="Times New Roman" w:hAnsi="Times New Roman" w:cs="Times New Roman"/>
          <w:sz w:val="24"/>
          <w:szCs w:val="24"/>
        </w:rPr>
        <w:t>Rynsaardt</w:t>
      </w:r>
      <w:proofErr w:type="spellEnd"/>
      <w:r>
        <w:rPr>
          <w:rFonts w:ascii="Times New Roman" w:eastAsia="Times New Roman" w:hAnsi="Times New Roman" w:cs="Times New Roman"/>
          <w:sz w:val="24"/>
          <w:szCs w:val="24"/>
        </w:rPr>
        <w:t xml:space="preserve">, J. (2010). Developmental coaching for high school teachers: Executive coaching goes to school. </w:t>
      </w:r>
      <w:r>
        <w:rPr>
          <w:rFonts w:ascii="Times New Roman" w:eastAsia="Times New Roman" w:hAnsi="Times New Roman" w:cs="Times New Roman"/>
          <w:i/>
          <w:sz w:val="24"/>
          <w:szCs w:val="24"/>
        </w:rPr>
        <w:t>Consulting Psychology Journal: Practice and Research, 62</w:t>
      </w:r>
      <w:r>
        <w:rPr>
          <w:rFonts w:ascii="Times New Roman" w:eastAsia="Times New Roman" w:hAnsi="Times New Roman" w:cs="Times New Roman"/>
          <w:sz w:val="24"/>
          <w:szCs w:val="24"/>
        </w:rPr>
        <w:t>(3), 151-168.</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0563C1"/>
            <w:sz w:val="24"/>
            <w:szCs w:val="24"/>
            <w:u w:val="single"/>
          </w:rPr>
          <w:t>https://doi.org/10.1037/a0019212</w:t>
        </w:r>
      </w:hyperlink>
    </w:p>
    <w:p w14:paraId="00000067"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M.R., Bennett, M.J, &amp; Wiseman, R. (2003). Measuring intercultural sensitivity: The</w:t>
      </w:r>
    </w:p>
    <w:p w14:paraId="00000068" w14:textId="77777777" w:rsidR="007D5981" w:rsidRDefault="00A37B9A">
      <w:pPr>
        <w:spacing w:before="240" w:after="240" w:line="480" w:lineRule="auto"/>
        <w:ind w:left="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intercultural development inventory. </w:t>
      </w:r>
      <w:r>
        <w:rPr>
          <w:rFonts w:ascii="Times New Roman" w:eastAsia="Times New Roman" w:hAnsi="Times New Roman" w:cs="Times New Roman"/>
          <w:i/>
          <w:sz w:val="24"/>
          <w:szCs w:val="24"/>
        </w:rPr>
        <w:t>International Journal of Intercultural Relations</w:t>
      </w:r>
      <w:r>
        <w:rPr>
          <w:rFonts w:ascii="Times New Roman" w:eastAsia="Times New Roman" w:hAnsi="Times New Roman" w:cs="Times New Roman"/>
          <w:sz w:val="24"/>
          <w:szCs w:val="24"/>
        </w:rPr>
        <w:t xml:space="preserve">. 27, 421-443. </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0563C1"/>
            <w:sz w:val="24"/>
            <w:szCs w:val="24"/>
            <w:u w:val="single"/>
          </w:rPr>
          <w:t>https://doi.org/10.1016/S0147-1767(03)00032-4</w:t>
        </w:r>
      </w:hyperlink>
    </w:p>
    <w:p w14:paraId="00000069"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A" w14:textId="77777777" w:rsidR="007D5981" w:rsidRDefault="007D5981">
      <w:pPr>
        <w:spacing w:before="240" w:after="240" w:line="480" w:lineRule="auto"/>
        <w:ind w:left="720"/>
        <w:rPr>
          <w:rFonts w:ascii="Times New Roman" w:eastAsia="Times New Roman" w:hAnsi="Times New Roman" w:cs="Times New Roman"/>
          <w:sz w:val="24"/>
          <w:szCs w:val="24"/>
        </w:rPr>
      </w:pPr>
    </w:p>
    <w:p w14:paraId="0000006B"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Heppner, P. P., &amp; Wang, K. T. (2014). A cross-cultural immersion program: Promoting students’ cultural journeys. </w:t>
      </w:r>
      <w:r>
        <w:rPr>
          <w:rFonts w:ascii="Times New Roman" w:eastAsia="Times New Roman" w:hAnsi="Times New Roman" w:cs="Times New Roman"/>
          <w:i/>
          <w:sz w:val="24"/>
          <w:szCs w:val="24"/>
        </w:rPr>
        <w:t>The Counseling Psychologist, 42</w:t>
      </w:r>
      <w:r>
        <w:rPr>
          <w:rFonts w:ascii="Times New Roman" w:eastAsia="Times New Roman" w:hAnsi="Times New Roman" w:cs="Times New Roman"/>
          <w:sz w:val="24"/>
          <w:szCs w:val="24"/>
        </w:rPr>
        <w:t>(8), 1159-1187.</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0563C1"/>
            <w:sz w:val="24"/>
            <w:szCs w:val="24"/>
            <w:u w:val="single"/>
          </w:rPr>
          <w:t>https://doi.org/10.11770011000014548899</w:t>
        </w:r>
      </w:hyperlink>
    </w:p>
    <w:p w14:paraId="0000006C"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Hubbard, A. &amp; </w:t>
      </w:r>
      <w:proofErr w:type="spellStart"/>
      <w:r>
        <w:rPr>
          <w:rFonts w:ascii="Times New Roman" w:eastAsia="Times New Roman" w:hAnsi="Times New Roman" w:cs="Times New Roman"/>
          <w:sz w:val="24"/>
          <w:szCs w:val="24"/>
        </w:rPr>
        <w:t>Rexeisen</w:t>
      </w:r>
      <w:proofErr w:type="spellEnd"/>
      <w:r>
        <w:rPr>
          <w:rFonts w:ascii="Times New Roman" w:eastAsia="Times New Roman" w:hAnsi="Times New Roman" w:cs="Times New Roman"/>
          <w:sz w:val="24"/>
          <w:szCs w:val="24"/>
        </w:rPr>
        <w:t>, R. (2020). Study abroad and cultural immersion: an alumni retrospect.</w:t>
      </w:r>
    </w:p>
    <w:p w14:paraId="0000006D" w14:textId="77777777" w:rsidR="007D5981" w:rsidRDefault="00A37B9A">
      <w:pPr>
        <w:spacing w:before="240" w:after="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Intercultural Education</w:t>
      </w:r>
      <w:r>
        <w:rPr>
          <w:rFonts w:ascii="Times New Roman" w:eastAsia="Times New Roman" w:hAnsi="Times New Roman" w:cs="Times New Roman"/>
          <w:sz w:val="24"/>
          <w:szCs w:val="24"/>
        </w:rPr>
        <w:t>. 31(3). 345-358. https://doi.org/10.1080/14675986.2020.1728500.</w:t>
      </w:r>
    </w:p>
    <w:p w14:paraId="0000006E"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Ketelaar, E., </w:t>
      </w:r>
      <w:proofErr w:type="spellStart"/>
      <w:r>
        <w:rPr>
          <w:rFonts w:ascii="Times New Roman" w:eastAsia="Times New Roman" w:hAnsi="Times New Roman" w:cs="Times New Roman"/>
          <w:sz w:val="24"/>
          <w:szCs w:val="24"/>
        </w:rPr>
        <w:t>Beijaard</w:t>
      </w:r>
      <w:proofErr w:type="spellEnd"/>
      <w:r>
        <w:rPr>
          <w:rFonts w:ascii="Times New Roman" w:eastAsia="Times New Roman" w:hAnsi="Times New Roman" w:cs="Times New Roman"/>
          <w:sz w:val="24"/>
          <w:szCs w:val="24"/>
        </w:rPr>
        <w:t xml:space="preserve">, D., Brok, P. J., &amp; </w:t>
      </w:r>
      <w:proofErr w:type="spellStart"/>
      <w:r>
        <w:rPr>
          <w:rFonts w:ascii="Times New Roman" w:eastAsia="Times New Roman" w:hAnsi="Times New Roman" w:cs="Times New Roman"/>
          <w:sz w:val="24"/>
          <w:szCs w:val="24"/>
        </w:rPr>
        <w:t>Boshuizen</w:t>
      </w:r>
      <w:proofErr w:type="spellEnd"/>
      <w:r>
        <w:rPr>
          <w:rFonts w:ascii="Times New Roman" w:eastAsia="Times New Roman" w:hAnsi="Times New Roman" w:cs="Times New Roman"/>
          <w:sz w:val="24"/>
          <w:szCs w:val="24"/>
        </w:rPr>
        <w:t xml:space="preserve">, H. P. A. (2013). Teachers’ implementation of the coaching role: Do teachers’ ownership, sensemaking, and agency make a difference? </w:t>
      </w:r>
      <w:r>
        <w:rPr>
          <w:rFonts w:ascii="Times New Roman" w:eastAsia="Times New Roman" w:hAnsi="Times New Roman" w:cs="Times New Roman"/>
          <w:i/>
          <w:sz w:val="24"/>
          <w:szCs w:val="24"/>
        </w:rPr>
        <w:t>European Journal of Psychology and Education, 28</w:t>
      </w:r>
      <w:r>
        <w:rPr>
          <w:rFonts w:ascii="Times New Roman" w:eastAsia="Times New Roman" w:hAnsi="Times New Roman" w:cs="Times New Roman"/>
          <w:sz w:val="24"/>
          <w:szCs w:val="24"/>
        </w:rPr>
        <w:t>(2013), 991-1006.</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0563C1"/>
            <w:sz w:val="24"/>
            <w:szCs w:val="24"/>
            <w:u w:val="single"/>
          </w:rPr>
          <w:t>https://10.1007/s10212-012-0150-5</w:t>
        </w:r>
      </w:hyperlink>
    </w:p>
    <w:p w14:paraId="0000006F"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sz w:val="24"/>
          <w:szCs w:val="24"/>
        </w:rPr>
        <w:t>Killcoglu</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Killcoglu</w:t>
      </w:r>
      <w:proofErr w:type="spellEnd"/>
      <w:r>
        <w:rPr>
          <w:rFonts w:ascii="Times New Roman" w:eastAsia="Times New Roman" w:hAnsi="Times New Roman" w:cs="Times New Roman"/>
          <w:sz w:val="24"/>
          <w:szCs w:val="24"/>
        </w:rPr>
        <w:t xml:space="preserve">, D. (2020). The birth of a new paradigm: Rethinking education and school leadership with a metamodern ‘lens.’ </w:t>
      </w:r>
      <w:r>
        <w:rPr>
          <w:rFonts w:ascii="Times New Roman" w:eastAsia="Times New Roman" w:hAnsi="Times New Roman" w:cs="Times New Roman"/>
          <w:i/>
          <w:sz w:val="24"/>
          <w:szCs w:val="24"/>
        </w:rPr>
        <w:t xml:space="preserve">Studies in Philosophy and Education, 39, </w:t>
      </w:r>
      <w:r>
        <w:rPr>
          <w:rFonts w:ascii="Times New Roman" w:eastAsia="Times New Roman" w:hAnsi="Times New Roman" w:cs="Times New Roman"/>
          <w:sz w:val="24"/>
          <w:szCs w:val="24"/>
        </w:rPr>
        <w:t>493-514.</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0563C1"/>
            <w:sz w:val="24"/>
            <w:szCs w:val="24"/>
            <w:u w:val="single"/>
          </w:rPr>
          <w:t>https://doi.org/10.1007/s11217-019-09690-z</w:t>
        </w:r>
      </w:hyperlink>
    </w:p>
    <w:p w14:paraId="00000070"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Loughran, J., &amp; Brubaker, N. (2015). Working with a critical friend: A self-study of executive coaching. </w:t>
      </w:r>
      <w:r>
        <w:rPr>
          <w:rFonts w:ascii="Times New Roman" w:eastAsia="Times New Roman" w:hAnsi="Times New Roman" w:cs="Times New Roman"/>
          <w:i/>
          <w:sz w:val="24"/>
          <w:szCs w:val="24"/>
        </w:rPr>
        <w:t>Studying Teacher Education, 11</w:t>
      </w:r>
      <w:r>
        <w:rPr>
          <w:rFonts w:ascii="Times New Roman" w:eastAsia="Times New Roman" w:hAnsi="Times New Roman" w:cs="Times New Roman"/>
          <w:sz w:val="24"/>
          <w:szCs w:val="24"/>
        </w:rPr>
        <w:t>(3), 255-271.</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0563C1"/>
            <w:sz w:val="24"/>
            <w:szCs w:val="24"/>
            <w:u w:val="single"/>
          </w:rPr>
          <w:t>https://doi.org/10.1080/17425964.2015.1078786</w:t>
        </w:r>
      </w:hyperlink>
    </w:p>
    <w:p w14:paraId="00000071"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Niehaus, E. &amp; Wegener, A. (2019). What are we teaching abroad? Faculty goals for short-term</w:t>
      </w:r>
    </w:p>
    <w:p w14:paraId="00000072" w14:textId="77777777" w:rsidR="007D5981" w:rsidRDefault="00A37B9A">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abroad courses. </w:t>
      </w:r>
      <w:r>
        <w:rPr>
          <w:rFonts w:ascii="Times New Roman" w:eastAsia="Times New Roman" w:hAnsi="Times New Roman" w:cs="Times New Roman"/>
          <w:i/>
          <w:sz w:val="24"/>
          <w:szCs w:val="24"/>
        </w:rPr>
        <w:t>Innovative Higher Education</w:t>
      </w:r>
      <w:r>
        <w:rPr>
          <w:rFonts w:ascii="Times New Roman" w:eastAsia="Times New Roman" w:hAnsi="Times New Roman" w:cs="Times New Roman"/>
          <w:sz w:val="24"/>
          <w:szCs w:val="24"/>
        </w:rPr>
        <w:t>. 44. 103-177.</w:t>
      </w:r>
    </w:p>
    <w:p w14:paraId="00000073"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sz w:val="24"/>
          <w:szCs w:val="24"/>
        </w:rPr>
        <w:t>Onosu</w:t>
      </w:r>
      <w:proofErr w:type="spellEnd"/>
      <w:r>
        <w:rPr>
          <w:rFonts w:ascii="Times New Roman" w:eastAsia="Times New Roman" w:hAnsi="Times New Roman" w:cs="Times New Roman"/>
          <w:sz w:val="24"/>
          <w:szCs w:val="24"/>
        </w:rPr>
        <w:t xml:space="preserve">, G. (2021). The impact of cultural immersion experience on identity transformation process. </w:t>
      </w:r>
      <w:r>
        <w:rPr>
          <w:rFonts w:ascii="Times New Roman" w:eastAsia="Times New Roman" w:hAnsi="Times New Roman" w:cs="Times New Roman"/>
          <w:i/>
          <w:sz w:val="24"/>
          <w:szCs w:val="24"/>
        </w:rPr>
        <w:t>International Journal of Environmental Research and Public Health, 18</w:t>
      </w:r>
      <w:r>
        <w:rPr>
          <w:rFonts w:ascii="Times New Roman" w:eastAsia="Times New Roman" w:hAnsi="Times New Roman" w:cs="Times New Roman"/>
          <w:sz w:val="24"/>
          <w:szCs w:val="24"/>
        </w:rPr>
        <w:t>(2680), 1-13.</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0563C1"/>
            <w:sz w:val="24"/>
            <w:szCs w:val="24"/>
            <w:u w:val="single"/>
          </w:rPr>
          <w:t>https://doi.org/10.3390/ijerph18052680</w:t>
        </w:r>
      </w:hyperlink>
    </w:p>
    <w:p w14:paraId="00000074"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Reschly, D. J. (2004). Commentary: Paradigm shift, outcomes criteria, and behavioral interventions: Foundations for the future of school psychology. </w:t>
      </w:r>
      <w:r>
        <w:rPr>
          <w:rFonts w:ascii="Times New Roman" w:eastAsia="Times New Roman" w:hAnsi="Times New Roman" w:cs="Times New Roman"/>
          <w:i/>
          <w:sz w:val="24"/>
          <w:szCs w:val="24"/>
        </w:rPr>
        <w:t>School Psychology Review, 33</w:t>
      </w:r>
      <w:r>
        <w:rPr>
          <w:rFonts w:ascii="Times New Roman" w:eastAsia="Times New Roman" w:hAnsi="Times New Roman" w:cs="Times New Roman"/>
          <w:sz w:val="24"/>
          <w:szCs w:val="24"/>
        </w:rPr>
        <w:t>(3), 408-416.</w:t>
      </w:r>
    </w:p>
    <w:p w14:paraId="00000075"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Sadruddin, M. &amp; Wahab, Z. (2013). Are we preparing global competent teachers? - Evaluation</w:t>
      </w:r>
    </w:p>
    <w:p w14:paraId="00000076" w14:textId="77777777" w:rsidR="007D5981" w:rsidRDefault="00A37B9A">
      <w:pPr>
        <w:spacing w:before="240" w:after="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of the incorporation of global education perspectives in teacher education curriculum in Pakistan.</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Bulletin of Education and Research.</w:t>
      </w:r>
      <w:r>
        <w:rPr>
          <w:rFonts w:ascii="Times New Roman" w:eastAsia="Times New Roman" w:hAnsi="Times New Roman" w:cs="Times New Roman"/>
          <w:sz w:val="24"/>
          <w:szCs w:val="24"/>
        </w:rPr>
        <w:t xml:space="preserve"> 35(1), 75-94. </w:t>
      </w:r>
    </w:p>
    <w:p w14:paraId="00000077" w14:textId="77777777" w:rsidR="007D5981" w:rsidRDefault="00A37B9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Santoro, N. (2014). “If I’m going to teach about the world, I need to know the world”:</w:t>
      </w:r>
    </w:p>
    <w:p w14:paraId="00000078" w14:textId="77777777" w:rsidR="007D5981" w:rsidRDefault="00A37B9A">
      <w:pPr>
        <w:spacing w:before="240" w:after="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developing Australian pre-service teachers’ intercultural competence through international trips. </w:t>
      </w:r>
      <w:r>
        <w:rPr>
          <w:rFonts w:ascii="Times New Roman" w:eastAsia="Times New Roman" w:hAnsi="Times New Roman" w:cs="Times New Roman"/>
          <w:i/>
          <w:sz w:val="24"/>
          <w:szCs w:val="24"/>
        </w:rPr>
        <w:t>Race Ethnicity and Education</w:t>
      </w:r>
      <w:r>
        <w:rPr>
          <w:rFonts w:ascii="Times New Roman" w:eastAsia="Times New Roman" w:hAnsi="Times New Roman" w:cs="Times New Roman"/>
          <w:sz w:val="24"/>
          <w:szCs w:val="24"/>
        </w:rPr>
        <w:t>. 17(3), 429-444. https://doi.org/10.1080/13613324.2013.832938</w:t>
      </w:r>
    </w:p>
    <w:p w14:paraId="00000079"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Schneider, A.M. (2003). </w:t>
      </w:r>
      <w:r>
        <w:rPr>
          <w:rFonts w:ascii="Times New Roman" w:eastAsia="Times New Roman" w:hAnsi="Times New Roman" w:cs="Times New Roman"/>
          <w:i/>
          <w:sz w:val="24"/>
          <w:szCs w:val="24"/>
        </w:rPr>
        <w:t>Internationalizing teacher education: What can be done?</w:t>
      </w:r>
      <w:r>
        <w:rPr>
          <w:rFonts w:ascii="Times New Roman" w:eastAsia="Times New Roman" w:hAnsi="Times New Roman" w:cs="Times New Roman"/>
          <w:sz w:val="24"/>
          <w:szCs w:val="24"/>
        </w:rPr>
        <w:t xml:space="preserve"> Washington,</w:t>
      </w:r>
    </w:p>
    <w:p w14:paraId="0000007A" w14:textId="77777777" w:rsidR="007D5981" w:rsidRDefault="00A37B9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DC: US Department of Education. (ERIC no. ED480869).</w:t>
      </w:r>
    </w:p>
    <w:p w14:paraId="0000007B"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Speier-Pero, C., &amp; Schoenherr, T. (2020). Creating impactful student learning in a business analytics program through leveraging scholar-practitioner engagement. </w:t>
      </w:r>
      <w:r>
        <w:rPr>
          <w:rFonts w:ascii="Times New Roman" w:eastAsia="Times New Roman" w:hAnsi="Times New Roman" w:cs="Times New Roman"/>
          <w:i/>
          <w:sz w:val="24"/>
          <w:szCs w:val="24"/>
        </w:rPr>
        <w:t>Decision Sciences Journal of Innovative Education, 18</w:t>
      </w:r>
      <w:r>
        <w:rPr>
          <w:rFonts w:ascii="Times New Roman" w:eastAsia="Times New Roman" w:hAnsi="Times New Roman" w:cs="Times New Roman"/>
          <w:sz w:val="24"/>
          <w:szCs w:val="24"/>
        </w:rPr>
        <w:t>(1), 59-89.</w:t>
      </w:r>
    </w:p>
    <w:p w14:paraId="0000007C"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sz w:val="24"/>
          <w:szCs w:val="24"/>
        </w:rPr>
        <w:t>Strotmann</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Kunschak</w:t>
      </w:r>
      <w:proofErr w:type="spellEnd"/>
      <w:r>
        <w:rPr>
          <w:rFonts w:ascii="Times New Roman" w:eastAsia="Times New Roman" w:hAnsi="Times New Roman" w:cs="Times New Roman"/>
          <w:sz w:val="24"/>
          <w:szCs w:val="24"/>
        </w:rPr>
        <w:t xml:space="preserve">, C. (2022). Toward the internationalization of higher education: Developing university students’ intercultural communicative competence in Spain. </w:t>
      </w:r>
      <w:r>
        <w:rPr>
          <w:rFonts w:ascii="Times New Roman" w:eastAsia="Times New Roman" w:hAnsi="Times New Roman" w:cs="Times New Roman"/>
          <w:i/>
          <w:sz w:val="24"/>
          <w:szCs w:val="24"/>
        </w:rPr>
        <w:t xml:space="preserve">Language and Intercultural Communication, </w:t>
      </w:r>
      <w:r>
        <w:rPr>
          <w:rFonts w:ascii="Times New Roman" w:eastAsia="Times New Roman" w:hAnsi="Times New Roman" w:cs="Times New Roman"/>
          <w:sz w:val="24"/>
          <w:szCs w:val="24"/>
        </w:rPr>
        <w:t>1-20.</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0563C1"/>
            <w:sz w:val="24"/>
            <w:szCs w:val="24"/>
            <w:u w:val="single"/>
          </w:rPr>
          <w:t>https://doi.org/10.1080/14708477.2021.2018450</w:t>
        </w:r>
      </w:hyperlink>
    </w:p>
    <w:p w14:paraId="0000007D"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Tome, M., Herrara, L., &amp; Lozano, S. (2019). Teachers’ opinions on the use of personal learning environments for intercultural competence. </w:t>
      </w:r>
      <w:r>
        <w:rPr>
          <w:rFonts w:ascii="Times New Roman" w:eastAsia="Times New Roman" w:hAnsi="Times New Roman" w:cs="Times New Roman"/>
          <w:i/>
          <w:sz w:val="24"/>
          <w:szCs w:val="24"/>
        </w:rPr>
        <w:t>Sustainability, 11</w:t>
      </w:r>
      <w:r>
        <w:rPr>
          <w:rFonts w:ascii="Times New Roman" w:eastAsia="Times New Roman" w:hAnsi="Times New Roman" w:cs="Times New Roman"/>
          <w:sz w:val="24"/>
          <w:szCs w:val="24"/>
        </w:rPr>
        <w:t>(4475), 1-16.</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0563C1"/>
            <w:sz w:val="24"/>
            <w:szCs w:val="24"/>
            <w:u w:val="single"/>
          </w:rPr>
          <w:t>https://doi.org/10.3390/su11164475</w:t>
        </w:r>
      </w:hyperlink>
    </w:p>
    <w:p w14:paraId="0000007E"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sz w:val="24"/>
          <w:szCs w:val="24"/>
        </w:rPr>
        <w:t>Uzum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Akayoglu</w:t>
      </w:r>
      <w:proofErr w:type="spellEnd"/>
      <w:r>
        <w:rPr>
          <w:rFonts w:ascii="Times New Roman" w:eastAsia="Times New Roman" w:hAnsi="Times New Roman" w:cs="Times New Roman"/>
          <w:sz w:val="24"/>
          <w:szCs w:val="24"/>
        </w:rPr>
        <w:t xml:space="preserve">, S., &amp; Yazan, B. (2020). Using telecollaboration to promote intercultural competence in teacher training classrooms in Turkey and the USA. </w:t>
      </w:r>
      <w:proofErr w:type="spellStart"/>
      <w:r>
        <w:rPr>
          <w:rFonts w:ascii="Times New Roman" w:eastAsia="Times New Roman" w:hAnsi="Times New Roman" w:cs="Times New Roman"/>
          <w:i/>
          <w:sz w:val="24"/>
          <w:szCs w:val="24"/>
        </w:rPr>
        <w:t>ReCALL</w:t>
      </w:r>
      <w:proofErr w:type="spellEnd"/>
      <w:r>
        <w:rPr>
          <w:rFonts w:ascii="Times New Roman" w:eastAsia="Times New Roman" w:hAnsi="Times New Roman" w:cs="Times New Roman"/>
          <w:i/>
          <w:sz w:val="24"/>
          <w:szCs w:val="24"/>
        </w:rPr>
        <w:t>, 32</w:t>
      </w:r>
      <w:r>
        <w:rPr>
          <w:rFonts w:ascii="Times New Roman" w:eastAsia="Times New Roman" w:hAnsi="Times New Roman" w:cs="Times New Roman"/>
          <w:sz w:val="24"/>
          <w:szCs w:val="24"/>
        </w:rPr>
        <w:t>(2), 162-177.</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color w:val="0563C1"/>
            <w:sz w:val="24"/>
            <w:szCs w:val="24"/>
            <w:u w:val="single"/>
          </w:rPr>
          <w:t>https://doi.org/10.1017/S0958344019000235</w:t>
        </w:r>
      </w:hyperlink>
    </w:p>
    <w:p w14:paraId="0000007F" w14:textId="77777777" w:rsidR="007D5981" w:rsidRDefault="00A37B9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Whatley, M., Landon, A., Tarrant, M. &amp; Rubin, D. (2021). Program design and the development</w:t>
      </w:r>
    </w:p>
    <w:p w14:paraId="00000080" w14:textId="77777777" w:rsidR="007D5981" w:rsidRDefault="00A37B9A">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students’ global perspectives in faculty-led short-term study abroad. </w:t>
      </w:r>
      <w:r>
        <w:rPr>
          <w:rFonts w:ascii="Times New Roman" w:eastAsia="Times New Roman" w:hAnsi="Times New Roman" w:cs="Times New Roman"/>
          <w:i/>
          <w:sz w:val="24"/>
          <w:szCs w:val="24"/>
        </w:rPr>
        <w:t>Journal of Studies in International Education</w:t>
      </w:r>
      <w:r>
        <w:rPr>
          <w:rFonts w:ascii="Times New Roman" w:eastAsia="Times New Roman" w:hAnsi="Times New Roman" w:cs="Times New Roman"/>
          <w:sz w:val="24"/>
          <w:szCs w:val="24"/>
        </w:rPr>
        <w:t>. 25(3). 301-318.  https://doi.org/10.1177/10283/5320906/56.</w:t>
      </w:r>
    </w:p>
    <w:p w14:paraId="00000081" w14:textId="77777777" w:rsidR="007D5981" w:rsidRDefault="00A37B9A">
      <w:pPr>
        <w:spacing w:line="48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Wu, X., &amp; He, J. (2009). Paradigm shift in public administration: Implications for teaching in professional training programs. </w:t>
      </w:r>
      <w:r>
        <w:rPr>
          <w:rFonts w:ascii="Times New Roman" w:eastAsia="Times New Roman" w:hAnsi="Times New Roman" w:cs="Times New Roman"/>
          <w:i/>
          <w:sz w:val="24"/>
          <w:szCs w:val="24"/>
        </w:rPr>
        <w:t>Public Administration Review.</w:t>
      </w:r>
    </w:p>
    <w:p w14:paraId="00000082"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Yu, B., Ding, F., &amp; Yuan, R. E. (2022). Understanding the long-term impact of an overseas immersion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on pre-service teachers’ learning to teach: A </w:t>
      </w:r>
      <w:proofErr w:type="spellStart"/>
      <w:r>
        <w:rPr>
          <w:rFonts w:ascii="Times New Roman" w:eastAsia="Times New Roman" w:hAnsi="Times New Roman" w:cs="Times New Roman"/>
          <w:sz w:val="24"/>
          <w:szCs w:val="24"/>
        </w:rPr>
        <w:t>hong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kong</w:t>
      </w:r>
      <w:proofErr w:type="spellEnd"/>
      <w:r>
        <w:rPr>
          <w:rFonts w:ascii="Times New Roman" w:eastAsia="Times New Roman" w:hAnsi="Times New Roman" w:cs="Times New Roman"/>
          <w:sz w:val="24"/>
          <w:szCs w:val="24"/>
        </w:rPr>
        <w:t xml:space="preserve"> case. </w:t>
      </w:r>
      <w:r>
        <w:rPr>
          <w:rFonts w:ascii="Times New Roman" w:eastAsia="Times New Roman" w:hAnsi="Times New Roman" w:cs="Times New Roman"/>
          <w:i/>
          <w:sz w:val="24"/>
          <w:szCs w:val="24"/>
        </w:rPr>
        <w:t>Educational Studies, 48</w:t>
      </w:r>
      <w:r>
        <w:rPr>
          <w:rFonts w:ascii="Times New Roman" w:eastAsia="Times New Roman" w:hAnsi="Times New Roman" w:cs="Times New Roman"/>
          <w:sz w:val="24"/>
          <w:szCs w:val="24"/>
        </w:rPr>
        <w:t>(1), 44-58.</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0563C1"/>
            <w:sz w:val="24"/>
            <w:szCs w:val="24"/>
            <w:u w:val="single"/>
          </w:rPr>
          <w:t>https://doi.org/10.1080/03055698.2020.1740880</w:t>
        </w:r>
      </w:hyperlink>
    </w:p>
    <w:p w14:paraId="00000083" w14:textId="77777777" w:rsidR="007D5981" w:rsidRDefault="00A37B9A">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Zhu, S., Gupta, A., Paradice, D., &amp; Cegielski, C. (2019). Understanding the impact of immersion and authenticity on satisfaction behavior in learning analytics tasks. </w:t>
      </w:r>
      <w:r>
        <w:rPr>
          <w:rFonts w:ascii="Times New Roman" w:eastAsia="Times New Roman" w:hAnsi="Times New Roman" w:cs="Times New Roman"/>
          <w:i/>
          <w:sz w:val="24"/>
          <w:szCs w:val="24"/>
        </w:rPr>
        <w:t xml:space="preserve">Information Systems Frontiers, 21, </w:t>
      </w:r>
      <w:r>
        <w:rPr>
          <w:rFonts w:ascii="Times New Roman" w:eastAsia="Times New Roman" w:hAnsi="Times New Roman" w:cs="Times New Roman"/>
          <w:sz w:val="24"/>
          <w:szCs w:val="24"/>
        </w:rPr>
        <w:t>791-814.</w:t>
      </w:r>
      <w:hyperlink r:id="rId36">
        <w:r>
          <w:rPr>
            <w:rFonts w:ascii="Times New Roman" w:eastAsia="Times New Roman" w:hAnsi="Times New Roman" w:cs="Times New Roman"/>
            <w:sz w:val="24"/>
            <w:szCs w:val="24"/>
          </w:rPr>
          <w:t xml:space="preserve"> </w:t>
        </w:r>
      </w:hyperlink>
      <w:hyperlink r:id="rId37">
        <w:r>
          <w:rPr>
            <w:rFonts w:ascii="Times New Roman" w:eastAsia="Times New Roman" w:hAnsi="Times New Roman" w:cs="Times New Roman"/>
            <w:color w:val="0563C1"/>
            <w:sz w:val="24"/>
            <w:szCs w:val="24"/>
            <w:u w:val="single"/>
          </w:rPr>
          <w:t>https://doi.org/10.1007/s10796-018-9865-4</w:t>
        </w:r>
      </w:hyperlink>
    </w:p>
    <w:p w14:paraId="00000084" w14:textId="77777777" w:rsidR="007D5981" w:rsidRDefault="00A37B9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Zipp, G. P., Maher, C., &amp; Shulman, B. B. (2021). A structured immersion approach to approaching interprofessional education. </w:t>
      </w:r>
      <w:r>
        <w:rPr>
          <w:rFonts w:ascii="Times New Roman" w:eastAsia="Times New Roman" w:hAnsi="Times New Roman" w:cs="Times New Roman"/>
          <w:i/>
          <w:sz w:val="24"/>
          <w:szCs w:val="24"/>
        </w:rPr>
        <w:t>Journal of Allied Health, 50</w:t>
      </w:r>
      <w:r>
        <w:rPr>
          <w:rFonts w:ascii="Times New Roman" w:eastAsia="Times New Roman" w:hAnsi="Times New Roman" w:cs="Times New Roman"/>
          <w:sz w:val="24"/>
          <w:szCs w:val="24"/>
        </w:rPr>
        <w:t>(1), 14-28.</w:t>
      </w:r>
    </w:p>
    <w:sectPr w:rsidR="007D59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81"/>
    <w:rsid w:val="007D5981"/>
    <w:rsid w:val="00A37B9A"/>
    <w:rsid w:val="00E610F8"/>
    <w:rsid w:val="00FE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381C12B-B427-504F-B858-E5FE017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2/tl.20133" TargetMode="External"/><Relationship Id="rId18" Type="http://schemas.openxmlformats.org/officeDocument/2006/relationships/hyperlink" Target="https://doi.org/10.11770011000014548899" TargetMode="External"/><Relationship Id="rId26" Type="http://schemas.openxmlformats.org/officeDocument/2006/relationships/hyperlink" Target="https://doi.org/10.3390/ijerph18052680" TargetMode="External"/><Relationship Id="rId39" Type="http://schemas.openxmlformats.org/officeDocument/2006/relationships/theme" Target="theme/theme1.xml"/><Relationship Id="rId21" Type="http://schemas.openxmlformats.org/officeDocument/2006/relationships/hyperlink" Target="about:blank" TargetMode="External"/><Relationship Id="rId34" Type="http://schemas.openxmlformats.org/officeDocument/2006/relationships/hyperlink" Target="https://doi.org/10.1080/03055698.2020.1740880" TargetMode="External"/><Relationship Id="rId7" Type="http://schemas.openxmlformats.org/officeDocument/2006/relationships/hyperlink" Target="https://doi.org/10.1007/s11125-009-9113-2" TargetMode="External"/><Relationship Id="rId12" Type="http://schemas.openxmlformats.org/officeDocument/2006/relationships/hyperlink" Target="https://doi.org/10.1002/tl.20133" TargetMode="External"/><Relationship Id="rId17" Type="http://schemas.openxmlformats.org/officeDocument/2006/relationships/hyperlink" Target="https://doi.org/10.1016/S0147-1767(03)00032-4" TargetMode="External"/><Relationship Id="rId25" Type="http://schemas.openxmlformats.org/officeDocument/2006/relationships/hyperlink" Target="https://doi.org/10.1080/17425964.2015.1078786" TargetMode="External"/><Relationship Id="rId33" Type="http://schemas.openxmlformats.org/officeDocument/2006/relationships/hyperlink" Target="https://doi.org/10.1017/S095834401900023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S0147-1767(03)00032-4" TargetMode="External"/><Relationship Id="rId20" Type="http://schemas.openxmlformats.org/officeDocument/2006/relationships/hyperlink" Target="about:blank" TargetMode="External"/><Relationship Id="rId29" Type="http://schemas.openxmlformats.org/officeDocument/2006/relationships/hyperlink" Target="https://doi.org/10.1080/14708477.2021.2018450" TargetMode="External"/><Relationship Id="rId1" Type="http://schemas.openxmlformats.org/officeDocument/2006/relationships/styles" Target="styles.xml"/><Relationship Id="rId6" Type="http://schemas.openxmlformats.org/officeDocument/2006/relationships/hyperlink" Target="https://doi.org/10.1007/s11125-009-9113-2" TargetMode="External"/><Relationship Id="rId11" Type="http://schemas.openxmlformats.org/officeDocument/2006/relationships/hyperlink" Target="https://doi.org/10.1002/yd.20294" TargetMode="External"/><Relationship Id="rId24" Type="http://schemas.openxmlformats.org/officeDocument/2006/relationships/hyperlink" Target="https://doi.org/10.1080/17425964.2015.1078786" TargetMode="External"/><Relationship Id="rId32" Type="http://schemas.openxmlformats.org/officeDocument/2006/relationships/hyperlink" Target="https://doi.org/10.1017/S0958344019000235" TargetMode="External"/><Relationship Id="rId37" Type="http://schemas.openxmlformats.org/officeDocument/2006/relationships/hyperlink" Target="https://doi.org/10.1007/s10796-018-9865-4" TargetMode="External"/><Relationship Id="rId5" Type="http://schemas.openxmlformats.org/officeDocument/2006/relationships/hyperlink" Target="https://doi.org/10.3390/socsci7030040" TargetMode="External"/><Relationship Id="rId15" Type="http://schemas.openxmlformats.org/officeDocument/2006/relationships/hyperlink" Target="https://doi.org/10.1037/a0019212" TargetMode="External"/><Relationship Id="rId23" Type="http://schemas.openxmlformats.org/officeDocument/2006/relationships/hyperlink" Target="https://doi.org/10.1007/s11217-019-09690-z" TargetMode="External"/><Relationship Id="rId28" Type="http://schemas.openxmlformats.org/officeDocument/2006/relationships/hyperlink" Target="https://doi.org/10.1080/14708477.2021.2018450" TargetMode="External"/><Relationship Id="rId36" Type="http://schemas.openxmlformats.org/officeDocument/2006/relationships/hyperlink" Target="https://doi.org/10.1007/s10796-018-9865-4" TargetMode="External"/><Relationship Id="rId10" Type="http://schemas.openxmlformats.org/officeDocument/2006/relationships/hyperlink" Target="https://doi.org/10.1002/yd.20294" TargetMode="External"/><Relationship Id="rId19" Type="http://schemas.openxmlformats.org/officeDocument/2006/relationships/hyperlink" Target="https://doi.org/10.11770011000014548899" TargetMode="External"/><Relationship Id="rId31" Type="http://schemas.openxmlformats.org/officeDocument/2006/relationships/hyperlink" Target="https://doi.org/10.3390/su11164475" TargetMode="External"/><Relationship Id="rId4" Type="http://schemas.openxmlformats.org/officeDocument/2006/relationships/hyperlink" Target="https://doi.org/10.3390/socsci7030040" TargetMode="External"/><Relationship Id="rId9" Type="http://schemas.openxmlformats.org/officeDocument/2006/relationships/hyperlink" Target="https://doi.org/10.1080/15313220.2021.1969530" TargetMode="External"/><Relationship Id="rId14" Type="http://schemas.openxmlformats.org/officeDocument/2006/relationships/hyperlink" Target="https://doi.org/10.1037/a0019212" TargetMode="External"/><Relationship Id="rId22" Type="http://schemas.openxmlformats.org/officeDocument/2006/relationships/hyperlink" Target="https://doi.org/10.1007/s11217-019-09690-z" TargetMode="External"/><Relationship Id="rId27" Type="http://schemas.openxmlformats.org/officeDocument/2006/relationships/hyperlink" Target="https://doi.org/10.3390/ijerph18052680" TargetMode="External"/><Relationship Id="rId30" Type="http://schemas.openxmlformats.org/officeDocument/2006/relationships/hyperlink" Target="https://doi.org/10.3390/su11164475" TargetMode="External"/><Relationship Id="rId35" Type="http://schemas.openxmlformats.org/officeDocument/2006/relationships/hyperlink" Target="https://doi.org/10.1080/03055698.2020.1740880" TargetMode="External"/><Relationship Id="rId8" Type="http://schemas.openxmlformats.org/officeDocument/2006/relationships/hyperlink" Target="https://doi.org/10.1080/15313220.2021.196953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2920</Words>
  <Characters>16650</Characters>
  <Application>Microsoft Office Word</Application>
  <DocSecurity>0</DocSecurity>
  <Lines>138</Lines>
  <Paragraphs>39</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Mikulasek</cp:lastModifiedBy>
  <cp:revision>2</cp:revision>
  <dcterms:created xsi:type="dcterms:W3CDTF">2026-01-21T02:17:00Z</dcterms:created>
  <dcterms:modified xsi:type="dcterms:W3CDTF">2026-01-21T02:17:00Z</dcterms:modified>
</cp:coreProperties>
</file>