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8637" w14:textId="15AE585B" w:rsidR="00165C83" w:rsidRDefault="00165C83"/>
    <w:p w14:paraId="4D66236B" w14:textId="515718D9" w:rsidR="009934C0" w:rsidRDefault="009934C0" w:rsidP="00165C83">
      <w:pPr>
        <w:autoSpaceDE w:val="0"/>
        <w:autoSpaceDN w:val="0"/>
        <w:adjustRightInd w:val="0"/>
        <w:rPr>
          <w:color w:val="000080"/>
        </w:rPr>
      </w:pPr>
    </w:p>
    <w:p w14:paraId="1561280F" w14:textId="4B4A7827" w:rsidR="006C7423" w:rsidRDefault="006C7423" w:rsidP="00165C83">
      <w:pPr>
        <w:autoSpaceDE w:val="0"/>
        <w:autoSpaceDN w:val="0"/>
        <w:adjustRightInd w:val="0"/>
        <w:rPr>
          <w:color w:val="000080"/>
        </w:rPr>
      </w:pPr>
    </w:p>
    <w:p w14:paraId="04029D61" w14:textId="77777777" w:rsidR="006C7423" w:rsidRPr="00622DA7" w:rsidRDefault="006C7423" w:rsidP="006C7423"/>
    <w:p w14:paraId="735C3BBF" w14:textId="0F93425F" w:rsidR="006C7423" w:rsidRDefault="006C7423" w:rsidP="006C7423"/>
    <w:p w14:paraId="1F65EF3C" w14:textId="24979788" w:rsidR="006C7423" w:rsidRDefault="006C7423" w:rsidP="006C7423"/>
    <w:p w14:paraId="669D01DD" w14:textId="77777777" w:rsidR="006C7423" w:rsidRPr="00622DA7" w:rsidRDefault="006C7423" w:rsidP="006C7423"/>
    <w:p w14:paraId="346D005B" w14:textId="77777777" w:rsidR="006C7423" w:rsidRPr="00622DA7" w:rsidRDefault="006C7423" w:rsidP="006C7423"/>
    <w:p w14:paraId="54B3612C" w14:textId="77777777" w:rsidR="006C7423" w:rsidRPr="00622DA7" w:rsidRDefault="006C7423" w:rsidP="006C7423"/>
    <w:p w14:paraId="00A3C515" w14:textId="77777777" w:rsidR="006C7423" w:rsidRPr="00622DA7" w:rsidRDefault="006C7423" w:rsidP="006C7423"/>
    <w:p w14:paraId="25CC5FEB" w14:textId="77777777" w:rsidR="006C7423" w:rsidRPr="00622DA7" w:rsidRDefault="006C7423" w:rsidP="006C7423">
      <w:pPr>
        <w:spacing w:line="480" w:lineRule="auto"/>
        <w:jc w:val="center"/>
        <w:rPr>
          <w:b/>
          <w:bCs/>
        </w:rPr>
      </w:pPr>
      <w:r w:rsidRPr="00622DA7">
        <w:rPr>
          <w:b/>
          <w:bCs/>
        </w:rPr>
        <w:t>Diving into the Rabbit Hole:</w:t>
      </w:r>
    </w:p>
    <w:p w14:paraId="2C887112" w14:textId="77777777" w:rsidR="006C7423" w:rsidRPr="00622DA7" w:rsidRDefault="006C7423" w:rsidP="006C7423">
      <w:pPr>
        <w:spacing w:line="480" w:lineRule="auto"/>
        <w:jc w:val="center"/>
        <w:rPr>
          <w:b/>
          <w:bCs/>
        </w:rPr>
      </w:pPr>
      <w:r w:rsidRPr="00622DA7">
        <w:rPr>
          <w:b/>
          <w:bCs/>
        </w:rPr>
        <w:t xml:space="preserve">Exploring the intersection of social justice and immersion programs </w:t>
      </w:r>
    </w:p>
    <w:p w14:paraId="09669573" w14:textId="77777777" w:rsidR="006C7423" w:rsidRPr="00622DA7" w:rsidRDefault="006C7423" w:rsidP="006C7423">
      <w:pPr>
        <w:spacing w:line="480" w:lineRule="auto"/>
        <w:jc w:val="center"/>
        <w:rPr>
          <w:b/>
          <w:bCs/>
        </w:rPr>
      </w:pPr>
      <w:r w:rsidRPr="00622DA7">
        <w:rPr>
          <w:b/>
          <w:bCs/>
        </w:rPr>
        <w:t>for preservice teachers</w:t>
      </w:r>
    </w:p>
    <w:p w14:paraId="3F8006B3" w14:textId="77777777" w:rsidR="006C7423" w:rsidRPr="00622DA7" w:rsidRDefault="006C7423" w:rsidP="006C7423"/>
    <w:p w14:paraId="2D8DDFC7" w14:textId="77777777" w:rsidR="006C7423" w:rsidRPr="00622DA7" w:rsidRDefault="006C7423" w:rsidP="006C7423"/>
    <w:p w14:paraId="36CE8FE3" w14:textId="77777777" w:rsidR="006C7423" w:rsidRPr="00D67668" w:rsidRDefault="006C7423" w:rsidP="006C7423">
      <w:pPr>
        <w:spacing w:after="160" w:line="259" w:lineRule="auto"/>
      </w:pPr>
    </w:p>
    <w:p w14:paraId="2D72D2F4" w14:textId="77777777" w:rsidR="006C7423" w:rsidRPr="00622DA7" w:rsidRDefault="006C7423" w:rsidP="006C7423">
      <w:pPr>
        <w:spacing w:line="360" w:lineRule="auto"/>
        <w:jc w:val="center"/>
        <w:rPr>
          <w:b/>
          <w:bCs/>
        </w:rPr>
      </w:pPr>
      <w:r w:rsidRPr="00622DA7">
        <w:rPr>
          <w:b/>
          <w:bCs/>
        </w:rPr>
        <w:t>Stephanie Mikulasek</w:t>
      </w:r>
    </w:p>
    <w:p w14:paraId="2913AC2A" w14:textId="77777777" w:rsidR="006C7423" w:rsidRPr="00622DA7" w:rsidRDefault="006C7423" w:rsidP="006C7423">
      <w:pPr>
        <w:spacing w:line="360" w:lineRule="auto"/>
        <w:jc w:val="center"/>
        <w:rPr>
          <w:b/>
          <w:bCs/>
        </w:rPr>
      </w:pPr>
      <w:r w:rsidRPr="00622DA7">
        <w:rPr>
          <w:b/>
          <w:bCs/>
        </w:rPr>
        <w:t>George Mason University</w:t>
      </w:r>
    </w:p>
    <w:p w14:paraId="72C092B5" w14:textId="2F364929" w:rsidR="006C7423" w:rsidRPr="00622DA7" w:rsidRDefault="006C7423" w:rsidP="006C7423">
      <w:pPr>
        <w:spacing w:line="360" w:lineRule="auto"/>
        <w:jc w:val="center"/>
        <w:rPr>
          <w:b/>
          <w:bCs/>
        </w:rPr>
      </w:pPr>
      <w:r w:rsidRPr="00622DA7">
        <w:rPr>
          <w:b/>
          <w:bCs/>
        </w:rPr>
        <w:t>ED</w:t>
      </w:r>
      <w:r w:rsidR="00CA51AB">
        <w:rPr>
          <w:b/>
          <w:bCs/>
        </w:rPr>
        <w:t>UC</w:t>
      </w:r>
      <w:r w:rsidRPr="00622DA7">
        <w:rPr>
          <w:b/>
          <w:bCs/>
        </w:rPr>
        <w:t xml:space="preserve"> 892: Dr. </w:t>
      </w:r>
      <w:proofErr w:type="spellStart"/>
      <w:r w:rsidRPr="00622DA7">
        <w:rPr>
          <w:b/>
          <w:bCs/>
        </w:rPr>
        <w:t>Supriya</w:t>
      </w:r>
      <w:proofErr w:type="spellEnd"/>
      <w:r w:rsidRPr="00622DA7">
        <w:rPr>
          <w:b/>
          <w:bCs/>
        </w:rPr>
        <w:t xml:space="preserve"> Baily</w:t>
      </w:r>
    </w:p>
    <w:p w14:paraId="60C92695" w14:textId="77777777" w:rsidR="006C7423" w:rsidRPr="00622DA7" w:rsidRDefault="006C7423" w:rsidP="006C7423">
      <w:pPr>
        <w:spacing w:line="360" w:lineRule="auto"/>
        <w:jc w:val="center"/>
        <w:rPr>
          <w:b/>
          <w:bCs/>
        </w:rPr>
      </w:pPr>
      <w:r w:rsidRPr="00622DA7">
        <w:rPr>
          <w:b/>
          <w:bCs/>
        </w:rPr>
        <w:t>Fall 2021</w:t>
      </w:r>
    </w:p>
    <w:p w14:paraId="1FDA13A6" w14:textId="77777777" w:rsidR="006C7423" w:rsidRPr="00622DA7" w:rsidRDefault="006C7423" w:rsidP="006C7423"/>
    <w:p w14:paraId="0C3081E7" w14:textId="77777777" w:rsidR="006C7423" w:rsidRPr="00622DA7" w:rsidRDefault="006C7423" w:rsidP="006C7423"/>
    <w:p w14:paraId="3BF4300B" w14:textId="77777777" w:rsidR="006C7423" w:rsidRPr="00622DA7" w:rsidRDefault="006C7423" w:rsidP="006C7423"/>
    <w:p w14:paraId="21E3E785" w14:textId="77777777" w:rsidR="006C7423" w:rsidRPr="00622DA7" w:rsidRDefault="006C7423" w:rsidP="006C7423"/>
    <w:p w14:paraId="3F35A4C5" w14:textId="77777777" w:rsidR="006C7423" w:rsidRPr="00622DA7" w:rsidRDefault="006C7423" w:rsidP="006C7423"/>
    <w:p w14:paraId="07FEF00A" w14:textId="77777777" w:rsidR="006C7423" w:rsidRPr="00622DA7" w:rsidRDefault="006C7423" w:rsidP="006C7423"/>
    <w:p w14:paraId="5A4B5445" w14:textId="77777777" w:rsidR="006C7423" w:rsidRPr="00622DA7" w:rsidRDefault="006C7423" w:rsidP="006C7423"/>
    <w:p w14:paraId="16ECD474" w14:textId="77777777" w:rsidR="006C7423" w:rsidRPr="00622DA7" w:rsidRDefault="006C7423" w:rsidP="006C7423"/>
    <w:p w14:paraId="169F2382" w14:textId="77777777" w:rsidR="006C7423" w:rsidRPr="00622DA7" w:rsidRDefault="006C7423" w:rsidP="006C7423"/>
    <w:p w14:paraId="722202FF" w14:textId="77777777" w:rsidR="006C7423" w:rsidRPr="00622DA7" w:rsidRDefault="006C7423" w:rsidP="006C7423"/>
    <w:p w14:paraId="1DD9E980" w14:textId="77777777" w:rsidR="006C7423" w:rsidRPr="00622DA7" w:rsidRDefault="006C7423" w:rsidP="006C7423"/>
    <w:p w14:paraId="02F04C8F" w14:textId="5927F8C8" w:rsidR="006C7423" w:rsidRDefault="006C7423" w:rsidP="00165C83">
      <w:pPr>
        <w:autoSpaceDE w:val="0"/>
        <w:autoSpaceDN w:val="0"/>
        <w:adjustRightInd w:val="0"/>
        <w:rPr>
          <w:color w:val="000080"/>
        </w:rPr>
      </w:pPr>
    </w:p>
    <w:p w14:paraId="6D7FE399" w14:textId="5E4B67B4" w:rsidR="006C7423" w:rsidRDefault="006C7423" w:rsidP="00165C83">
      <w:pPr>
        <w:autoSpaceDE w:val="0"/>
        <w:autoSpaceDN w:val="0"/>
        <w:adjustRightInd w:val="0"/>
        <w:rPr>
          <w:color w:val="000080"/>
        </w:rPr>
      </w:pPr>
    </w:p>
    <w:p w14:paraId="0DD65FCD" w14:textId="7425F52A" w:rsidR="006C7423" w:rsidRDefault="006C7423" w:rsidP="00165C83">
      <w:pPr>
        <w:autoSpaceDE w:val="0"/>
        <w:autoSpaceDN w:val="0"/>
        <w:adjustRightInd w:val="0"/>
        <w:rPr>
          <w:color w:val="000080"/>
        </w:rPr>
      </w:pPr>
    </w:p>
    <w:p w14:paraId="6F3B4736" w14:textId="5027E5AB" w:rsidR="006C7423" w:rsidRDefault="006C7423" w:rsidP="00165C83">
      <w:pPr>
        <w:autoSpaceDE w:val="0"/>
        <w:autoSpaceDN w:val="0"/>
        <w:adjustRightInd w:val="0"/>
        <w:rPr>
          <w:color w:val="000080"/>
        </w:rPr>
      </w:pPr>
    </w:p>
    <w:p w14:paraId="25A29F20" w14:textId="6ABF4578" w:rsidR="006C7423" w:rsidRDefault="006C7423" w:rsidP="00165C83">
      <w:pPr>
        <w:autoSpaceDE w:val="0"/>
        <w:autoSpaceDN w:val="0"/>
        <w:adjustRightInd w:val="0"/>
        <w:rPr>
          <w:color w:val="000080"/>
        </w:rPr>
      </w:pPr>
    </w:p>
    <w:p w14:paraId="46D90B4C" w14:textId="77777777" w:rsidR="006C7423" w:rsidRDefault="006C7423" w:rsidP="00165C83">
      <w:pPr>
        <w:autoSpaceDE w:val="0"/>
        <w:autoSpaceDN w:val="0"/>
        <w:adjustRightInd w:val="0"/>
        <w:rPr>
          <w:color w:val="000080"/>
        </w:rPr>
      </w:pPr>
    </w:p>
    <w:p w14:paraId="71FA32BA" w14:textId="2678FB8A" w:rsidR="006C7423" w:rsidRDefault="006C7423" w:rsidP="00165C83">
      <w:pPr>
        <w:autoSpaceDE w:val="0"/>
        <w:autoSpaceDN w:val="0"/>
        <w:adjustRightInd w:val="0"/>
        <w:rPr>
          <w:color w:val="000080"/>
        </w:rPr>
      </w:pPr>
    </w:p>
    <w:p w14:paraId="0A569B41" w14:textId="378EAFFB" w:rsidR="006C7423" w:rsidRDefault="006C7423" w:rsidP="00165C83">
      <w:pPr>
        <w:autoSpaceDE w:val="0"/>
        <w:autoSpaceDN w:val="0"/>
        <w:adjustRightInd w:val="0"/>
        <w:rPr>
          <w:color w:val="000080"/>
        </w:rPr>
      </w:pPr>
    </w:p>
    <w:p w14:paraId="7801FFD4" w14:textId="7FC06B70" w:rsidR="006C7423" w:rsidRDefault="006C7423" w:rsidP="00165C83">
      <w:pPr>
        <w:autoSpaceDE w:val="0"/>
        <w:autoSpaceDN w:val="0"/>
        <w:adjustRightInd w:val="0"/>
        <w:rPr>
          <w:color w:val="000080"/>
        </w:rPr>
      </w:pPr>
    </w:p>
    <w:p w14:paraId="13E6989C" w14:textId="107941F6" w:rsidR="006C7423" w:rsidRDefault="006C7423" w:rsidP="00165C83">
      <w:pPr>
        <w:autoSpaceDE w:val="0"/>
        <w:autoSpaceDN w:val="0"/>
        <w:adjustRightInd w:val="0"/>
        <w:rPr>
          <w:color w:val="000080"/>
        </w:rPr>
      </w:pPr>
    </w:p>
    <w:p w14:paraId="11428D48" w14:textId="77777777" w:rsidR="006C7423" w:rsidRPr="00622DA7" w:rsidRDefault="006C7423" w:rsidP="006C7423">
      <w:pPr>
        <w:spacing w:line="480" w:lineRule="auto"/>
        <w:ind w:firstLine="720"/>
        <w:rPr>
          <w:sz w:val="23"/>
          <w:szCs w:val="23"/>
        </w:rPr>
      </w:pPr>
      <w:proofErr w:type="spellStart"/>
      <w:r w:rsidRPr="00D67668">
        <w:rPr>
          <w:sz w:val="23"/>
          <w:szCs w:val="23"/>
        </w:rPr>
        <w:lastRenderedPageBreak/>
        <w:t>Cushner</w:t>
      </w:r>
      <w:proofErr w:type="spellEnd"/>
      <w:r w:rsidRPr="00622DA7">
        <w:rPr>
          <w:sz w:val="23"/>
          <w:szCs w:val="23"/>
        </w:rPr>
        <w:t xml:space="preserve"> (2009, </w:t>
      </w:r>
      <w:r w:rsidRPr="00D67668">
        <w:rPr>
          <w:sz w:val="23"/>
          <w:szCs w:val="23"/>
        </w:rPr>
        <w:t>2012</w:t>
      </w:r>
      <w:r w:rsidRPr="00622DA7">
        <w:rPr>
          <w:sz w:val="23"/>
          <w:szCs w:val="23"/>
        </w:rPr>
        <w:t>),</w:t>
      </w:r>
      <w:r w:rsidRPr="00D67668">
        <w:rPr>
          <w:sz w:val="23"/>
          <w:szCs w:val="23"/>
        </w:rPr>
        <w:t xml:space="preserve"> Deardorff</w:t>
      </w:r>
      <w:r w:rsidRPr="00622DA7">
        <w:rPr>
          <w:sz w:val="23"/>
          <w:szCs w:val="23"/>
        </w:rPr>
        <w:t xml:space="preserve"> (</w:t>
      </w:r>
      <w:r w:rsidRPr="00D67668">
        <w:rPr>
          <w:sz w:val="23"/>
          <w:szCs w:val="23"/>
        </w:rPr>
        <w:t>2006</w:t>
      </w:r>
      <w:r w:rsidRPr="00622DA7">
        <w:rPr>
          <w:sz w:val="23"/>
          <w:szCs w:val="23"/>
        </w:rPr>
        <w:t>),</w:t>
      </w:r>
      <w:r w:rsidRPr="00D67668">
        <w:rPr>
          <w:sz w:val="23"/>
          <w:szCs w:val="23"/>
        </w:rPr>
        <w:t xml:space="preserve"> </w:t>
      </w:r>
      <w:proofErr w:type="spellStart"/>
      <w:r w:rsidRPr="00D67668">
        <w:rPr>
          <w:sz w:val="23"/>
          <w:szCs w:val="23"/>
        </w:rPr>
        <w:t>DeJaeghere</w:t>
      </w:r>
      <w:proofErr w:type="spellEnd"/>
      <w:r w:rsidRPr="00D67668">
        <w:rPr>
          <w:sz w:val="23"/>
          <w:szCs w:val="23"/>
        </w:rPr>
        <w:t xml:space="preserve"> </w:t>
      </w:r>
      <w:r w:rsidRPr="00622DA7">
        <w:rPr>
          <w:sz w:val="23"/>
          <w:szCs w:val="23"/>
        </w:rPr>
        <w:t>and</w:t>
      </w:r>
      <w:r w:rsidRPr="00D67668">
        <w:rPr>
          <w:sz w:val="23"/>
          <w:szCs w:val="23"/>
        </w:rPr>
        <w:t xml:space="preserve"> Cao</w:t>
      </w:r>
      <w:r w:rsidRPr="00622DA7">
        <w:rPr>
          <w:sz w:val="23"/>
          <w:szCs w:val="23"/>
        </w:rPr>
        <w:t xml:space="preserve"> (</w:t>
      </w:r>
      <w:r w:rsidRPr="00D67668">
        <w:rPr>
          <w:sz w:val="23"/>
          <w:szCs w:val="23"/>
        </w:rPr>
        <w:t>2009</w:t>
      </w:r>
      <w:r w:rsidRPr="00622DA7">
        <w:rPr>
          <w:sz w:val="23"/>
          <w:szCs w:val="23"/>
        </w:rPr>
        <w:t>), and</w:t>
      </w:r>
      <w:r w:rsidRPr="00D67668">
        <w:rPr>
          <w:sz w:val="23"/>
          <w:szCs w:val="23"/>
        </w:rPr>
        <w:t xml:space="preserve"> Mahon</w:t>
      </w:r>
      <w:r w:rsidRPr="00622DA7">
        <w:rPr>
          <w:sz w:val="23"/>
          <w:szCs w:val="23"/>
        </w:rPr>
        <w:t xml:space="preserve"> (</w:t>
      </w:r>
      <w:r w:rsidRPr="00D67668">
        <w:rPr>
          <w:sz w:val="23"/>
          <w:szCs w:val="23"/>
        </w:rPr>
        <w:t>2007</w:t>
      </w:r>
      <w:r w:rsidRPr="00622DA7">
        <w:rPr>
          <w:sz w:val="23"/>
          <w:szCs w:val="23"/>
        </w:rPr>
        <w:t xml:space="preserve">) </w:t>
      </w:r>
      <w:r w:rsidRPr="00D67668">
        <w:rPr>
          <w:sz w:val="23"/>
          <w:szCs w:val="23"/>
        </w:rPr>
        <w:t>reiterate that to maximize our ability to develop students as interculturally competent 21</w:t>
      </w:r>
      <w:r w:rsidRPr="00D67668">
        <w:rPr>
          <w:sz w:val="23"/>
          <w:szCs w:val="23"/>
          <w:vertAlign w:val="superscript"/>
        </w:rPr>
        <w:t>st</w:t>
      </w:r>
      <w:r w:rsidRPr="00D67668">
        <w:rPr>
          <w:sz w:val="23"/>
          <w:szCs w:val="23"/>
        </w:rPr>
        <w:t xml:space="preserve"> century citizens able to </w:t>
      </w:r>
      <w:r w:rsidRPr="00622DA7">
        <w:rPr>
          <w:sz w:val="23"/>
          <w:szCs w:val="23"/>
        </w:rPr>
        <w:t>engage with other peoples and cultures peacefully and productively</w:t>
      </w:r>
      <w:r w:rsidRPr="00D67668">
        <w:rPr>
          <w:sz w:val="23"/>
          <w:szCs w:val="23"/>
        </w:rPr>
        <w:t>, then we need to intentionally teach and equip our educators with skills, knowledge, and attitudes related to intercultural competenc</w:t>
      </w:r>
      <w:r w:rsidRPr="00622DA7">
        <w:rPr>
          <w:sz w:val="23"/>
          <w:szCs w:val="23"/>
        </w:rPr>
        <w:t xml:space="preserve">e.  An oft-cited vehicle to develop this competence is the use of international immersion programs, which can fast track the development of intercultural competence if such a program is intentionally designed and implemented explicitly to meet that objective (Che, Spearman &amp; </w:t>
      </w:r>
      <w:proofErr w:type="spellStart"/>
      <w:r w:rsidRPr="00622DA7">
        <w:rPr>
          <w:sz w:val="23"/>
          <w:szCs w:val="23"/>
        </w:rPr>
        <w:t>Manizade</w:t>
      </w:r>
      <w:proofErr w:type="spellEnd"/>
      <w:r w:rsidRPr="00622DA7">
        <w:rPr>
          <w:sz w:val="23"/>
          <w:szCs w:val="23"/>
        </w:rPr>
        <w:t xml:space="preserve">, 2009; </w:t>
      </w:r>
      <w:proofErr w:type="spellStart"/>
      <w:r w:rsidRPr="00622DA7">
        <w:rPr>
          <w:sz w:val="23"/>
          <w:szCs w:val="23"/>
        </w:rPr>
        <w:t>Cushner</w:t>
      </w:r>
      <w:proofErr w:type="spellEnd"/>
      <w:r w:rsidRPr="00622DA7">
        <w:rPr>
          <w:sz w:val="23"/>
          <w:szCs w:val="23"/>
        </w:rPr>
        <w:t xml:space="preserve">, 2012; </w:t>
      </w:r>
      <w:proofErr w:type="spellStart"/>
      <w:r w:rsidRPr="00622DA7">
        <w:rPr>
          <w:sz w:val="23"/>
          <w:szCs w:val="23"/>
        </w:rPr>
        <w:t>DeJaeghere</w:t>
      </w:r>
      <w:proofErr w:type="spellEnd"/>
      <w:r w:rsidRPr="00622DA7">
        <w:rPr>
          <w:sz w:val="23"/>
          <w:szCs w:val="23"/>
        </w:rPr>
        <w:t xml:space="preserve"> &amp; Cao, 2009).  Supporting this contention, Newton, </w:t>
      </w:r>
      <w:proofErr w:type="spellStart"/>
      <w:r w:rsidRPr="00622DA7">
        <w:rPr>
          <w:sz w:val="23"/>
          <w:szCs w:val="23"/>
        </w:rPr>
        <w:t>Oudghiri</w:t>
      </w:r>
      <w:proofErr w:type="spellEnd"/>
      <w:r w:rsidRPr="00622DA7">
        <w:rPr>
          <w:sz w:val="23"/>
          <w:szCs w:val="23"/>
        </w:rPr>
        <w:t xml:space="preserve">, </w:t>
      </w:r>
      <w:proofErr w:type="spellStart"/>
      <w:r w:rsidRPr="00622DA7">
        <w:rPr>
          <w:sz w:val="23"/>
          <w:szCs w:val="23"/>
        </w:rPr>
        <w:t>Obenchain</w:t>
      </w:r>
      <w:proofErr w:type="spellEnd"/>
      <w:r w:rsidRPr="00622DA7">
        <w:rPr>
          <w:sz w:val="23"/>
          <w:szCs w:val="23"/>
        </w:rPr>
        <w:t xml:space="preserve">, and </w:t>
      </w:r>
      <w:proofErr w:type="spellStart"/>
      <w:r w:rsidRPr="00622DA7">
        <w:rPr>
          <w:sz w:val="23"/>
          <w:szCs w:val="23"/>
        </w:rPr>
        <w:t>Phillion</w:t>
      </w:r>
      <w:proofErr w:type="spellEnd"/>
      <w:r w:rsidRPr="00622DA7">
        <w:rPr>
          <w:sz w:val="23"/>
          <w:szCs w:val="23"/>
        </w:rPr>
        <w:t xml:space="preserve"> (2020) expand the discussion with the inclusion of social justice in their article, “Preservice teachers’ understandings of social justice within the context of study abroad programs.”  Citing the cultural and experiential gap between the typical monolingual, white pre-service teacher and the cultural diversity embedded in the classroom, Newton et al. (2020) explore how pre-service teachers can build their intercultural competency and understanding of social justice in the context of international study abroad programs.  </w:t>
      </w:r>
    </w:p>
    <w:p w14:paraId="4132C252" w14:textId="77777777" w:rsidR="006C7423" w:rsidRPr="00622DA7" w:rsidRDefault="006C7423" w:rsidP="006C7423">
      <w:pPr>
        <w:spacing w:line="480" w:lineRule="auto"/>
        <w:ind w:firstLine="720"/>
        <w:rPr>
          <w:sz w:val="23"/>
          <w:szCs w:val="23"/>
        </w:rPr>
      </w:pPr>
      <w:r w:rsidRPr="00622DA7">
        <w:rPr>
          <w:sz w:val="23"/>
          <w:szCs w:val="23"/>
        </w:rPr>
        <w:t xml:space="preserve">Newton et al. (2020) </w:t>
      </w:r>
      <w:proofErr w:type="gramStart"/>
      <w:r w:rsidRPr="00622DA7">
        <w:rPr>
          <w:sz w:val="23"/>
          <w:szCs w:val="23"/>
        </w:rPr>
        <w:t>begin</w:t>
      </w:r>
      <w:proofErr w:type="gramEnd"/>
      <w:r w:rsidRPr="00622DA7">
        <w:rPr>
          <w:sz w:val="23"/>
          <w:szCs w:val="23"/>
        </w:rPr>
        <w:t xml:space="preserve"> by asserting that participation in an immersion program is insufficient to the development of a socially just, interculturally competent, and diversity-aware mindset.  To develop this mindset, Newton et al. (2020) </w:t>
      </w:r>
      <w:proofErr w:type="gramStart"/>
      <w:r w:rsidRPr="00622DA7">
        <w:rPr>
          <w:sz w:val="23"/>
          <w:szCs w:val="23"/>
        </w:rPr>
        <w:t>argue</w:t>
      </w:r>
      <w:proofErr w:type="gramEnd"/>
      <w:r w:rsidRPr="00622DA7">
        <w:rPr>
          <w:sz w:val="23"/>
          <w:szCs w:val="23"/>
        </w:rPr>
        <w:t xml:space="preserve"> intentional instruction, design, and implementation of education-based study abroad programs should focus on three key components, specifically context (location of study abroad program), curriculum (what is studied), and co-curricular activities (what participants do in addition to their studies during the program).  To assess how these components influence the development of social justice and intercultural competence, the authors consider three study abroad programs in Germany, Tanzania, and Honduras.  Following preparatory, formative, and summative assessments of participants in these programs, Newton et al. (2020) cites the recognition of a pedagogical necessity for critical reflection; when combined with an intentional construction of context, curriculum, and co-curricular activities, such individual and </w:t>
      </w:r>
      <w:r w:rsidRPr="00622DA7">
        <w:rPr>
          <w:sz w:val="23"/>
          <w:szCs w:val="23"/>
        </w:rPr>
        <w:lastRenderedPageBreak/>
        <w:t>group reflection “maximizes the potential for transformation” and “reinforces core ideas of social justice” (Newton et al., 2020, p. 265).  In conclusion, the authors suggest additional areas of research, such as increasing recognition of parallel social justice issues in the United States by incorporating service learning; increasing dispositions such as “empathy, cross-cultural understanding, critical reflection, global citizenship, (and) curiosity” (Newton et al., 2020, p. 266); and sustaining learning and reflection on social justice over a lifetime (Newton et al., 2020).</w:t>
      </w:r>
    </w:p>
    <w:p w14:paraId="5355A259" w14:textId="77777777" w:rsidR="006C7423" w:rsidRPr="00622DA7" w:rsidRDefault="006C7423" w:rsidP="006C7423">
      <w:pPr>
        <w:spacing w:line="480" w:lineRule="auto"/>
        <w:ind w:firstLine="720"/>
        <w:rPr>
          <w:color w:val="4472C4" w:themeColor="accent1"/>
          <w:sz w:val="23"/>
          <w:szCs w:val="23"/>
        </w:rPr>
      </w:pPr>
      <w:r w:rsidRPr="00622DA7">
        <w:rPr>
          <w:sz w:val="23"/>
          <w:szCs w:val="23"/>
        </w:rPr>
        <w:t xml:space="preserve">To support their research, Newton et al. (2020), considered here as the STEM article, lean on a diverse group of academic peers.  Four of those peers, called Nodes, were chosen for consideration based on the following criteria:  the frequency the STEM referenced the Node; the apparent relevance of the reference within the STEM; and my lack of familiarity with the Node author.  Newton et al. (2020) utilized these four Nodes to support their key suppositions that attention to context, curriculum, and co-curricular activities is critical to effect social justice within an immersion program.  The following report reviews each Node, and then explores three sub-Node articles derived from each Node, and how those sub-Nodes support or do not support the Node’s or STEM’s conclusions, and ultimately contribute to developing social justice. </w:t>
      </w:r>
    </w:p>
    <w:p w14:paraId="17421304" w14:textId="77777777" w:rsidR="006C7423" w:rsidRPr="00622DA7" w:rsidRDefault="006C7423" w:rsidP="006C7423">
      <w:pPr>
        <w:spacing w:line="480" w:lineRule="auto"/>
        <w:ind w:firstLine="720"/>
        <w:rPr>
          <w:sz w:val="23"/>
          <w:szCs w:val="23"/>
        </w:rPr>
      </w:pPr>
      <w:r w:rsidRPr="00622DA7">
        <w:rPr>
          <w:sz w:val="23"/>
          <w:szCs w:val="23"/>
        </w:rPr>
        <w:t xml:space="preserve">The first Node is the article “Examining the practice of critical reflection for developing pre-service teachers’ multicultural competencies: Findings from a study abroad program in Honduras” (Sharma, </w:t>
      </w:r>
      <w:proofErr w:type="spellStart"/>
      <w:r w:rsidRPr="00622DA7">
        <w:rPr>
          <w:sz w:val="23"/>
          <w:szCs w:val="23"/>
        </w:rPr>
        <w:t>Phillion</w:t>
      </w:r>
      <w:proofErr w:type="spellEnd"/>
      <w:r w:rsidRPr="00622DA7">
        <w:rPr>
          <w:sz w:val="23"/>
          <w:szCs w:val="23"/>
        </w:rPr>
        <w:t xml:space="preserve">, &amp; </w:t>
      </w:r>
      <w:proofErr w:type="spellStart"/>
      <w:r w:rsidRPr="00622DA7">
        <w:rPr>
          <w:sz w:val="23"/>
          <w:szCs w:val="23"/>
        </w:rPr>
        <w:t>Malewski</w:t>
      </w:r>
      <w:proofErr w:type="spellEnd"/>
      <w:r w:rsidRPr="00622DA7">
        <w:rPr>
          <w:sz w:val="23"/>
          <w:szCs w:val="23"/>
        </w:rPr>
        <w:t xml:space="preserve">, 2011).  This article explores the role of critical reflection in developing intercultural competence among pre-service teachers, which Newton et al. (2020) highlights in their research.  Sharma et al. (2011) analyzes participants’ experience during a Honduras immersion program, a location also used by Newton et al. (2020), to illustrate how context can generate new perspectives and how critical reflection can facilitate personal and professional growth.  This critical reflection challenges assumed frames of reference by pushing participants to examine and “take ownership of their beliefs, attitudes, and perspectives and develop new interpretations for multicultural teaching and learning” (Sharma et al., 2011, p. 20).  These </w:t>
      </w:r>
      <w:r w:rsidRPr="00622DA7">
        <w:rPr>
          <w:sz w:val="23"/>
          <w:szCs w:val="23"/>
        </w:rPr>
        <w:lastRenderedPageBreak/>
        <w:t xml:space="preserve">experiences can create conflict between the self and other, ultimately leading to a new “meaning-making” process and transformation (Sharma et. al., 2011, p. 11), which is also discussed and referenced by Newton et al. (2020).  </w:t>
      </w:r>
    </w:p>
    <w:p w14:paraId="5CE03C65" w14:textId="77777777" w:rsidR="006C7423" w:rsidRPr="00622DA7" w:rsidRDefault="006C7423" w:rsidP="006C7423">
      <w:pPr>
        <w:spacing w:line="480" w:lineRule="auto"/>
        <w:ind w:firstLine="720"/>
        <w:rPr>
          <w:sz w:val="23"/>
          <w:szCs w:val="23"/>
        </w:rPr>
      </w:pPr>
      <w:r w:rsidRPr="00622DA7">
        <w:rPr>
          <w:sz w:val="23"/>
          <w:szCs w:val="23"/>
        </w:rPr>
        <w:t xml:space="preserve">To support their research, Sharma et al. (2011) references the work of Jared </w:t>
      </w:r>
      <w:proofErr w:type="spellStart"/>
      <w:r w:rsidRPr="00622DA7">
        <w:rPr>
          <w:sz w:val="23"/>
          <w:szCs w:val="23"/>
        </w:rPr>
        <w:t>Keengwe</w:t>
      </w:r>
      <w:proofErr w:type="spellEnd"/>
      <w:r w:rsidRPr="00622DA7">
        <w:rPr>
          <w:sz w:val="23"/>
          <w:szCs w:val="23"/>
        </w:rPr>
        <w:t xml:space="preserve"> (2010) in his article, “Fostering cross cultural competence in preservice teachers through multicultural education experiences.”  </w:t>
      </w:r>
      <w:proofErr w:type="spellStart"/>
      <w:r w:rsidRPr="00622DA7">
        <w:rPr>
          <w:sz w:val="23"/>
          <w:szCs w:val="23"/>
        </w:rPr>
        <w:t>Keengwe</w:t>
      </w:r>
      <w:proofErr w:type="spellEnd"/>
      <w:r w:rsidRPr="00622DA7">
        <w:rPr>
          <w:sz w:val="23"/>
          <w:szCs w:val="23"/>
        </w:rPr>
        <w:t xml:space="preserve"> (2010) touches on teachers’ limited knowledge of and struggles to teach diverse learners, and the associated risk of not holding high expectations for students from unfamiliar backgrounds.  Like Sharma et al. (2011) and Newton et al. (2020), </w:t>
      </w:r>
      <w:proofErr w:type="spellStart"/>
      <w:r w:rsidRPr="00622DA7">
        <w:rPr>
          <w:sz w:val="23"/>
          <w:szCs w:val="23"/>
        </w:rPr>
        <w:t>Keengwe</w:t>
      </w:r>
      <w:proofErr w:type="spellEnd"/>
      <w:r w:rsidRPr="00622DA7">
        <w:rPr>
          <w:sz w:val="23"/>
          <w:szCs w:val="23"/>
        </w:rPr>
        <w:t xml:space="preserve"> (2020) is focused on preservice teachers, but rather than looking at immersion programs, he analyzes how teachers’ multicultural education may be influenced through placement with English Language Learners (ELL) living in the Midwest.  While </w:t>
      </w:r>
      <w:proofErr w:type="spellStart"/>
      <w:r w:rsidRPr="00622DA7">
        <w:rPr>
          <w:sz w:val="23"/>
          <w:szCs w:val="23"/>
        </w:rPr>
        <w:t>Keengwe</w:t>
      </w:r>
      <w:proofErr w:type="spellEnd"/>
      <w:r w:rsidRPr="00622DA7">
        <w:rPr>
          <w:sz w:val="23"/>
          <w:szCs w:val="23"/>
        </w:rPr>
        <w:t xml:space="preserve"> (2020) sites the importance of active and experiential education to increase understanding, his tool (local placement with ELLs) differs significantly from the tool sited in Newton et al. (2020) and Sharma et al. (2011), namely immersion programs.  As such, a comparative between the results of intercultural competency development between the sub-Node, the Node and STEM are not conclusive given the difference in the intervention used.</w:t>
      </w:r>
    </w:p>
    <w:p w14:paraId="2179D485" w14:textId="77777777" w:rsidR="006C7423" w:rsidRPr="00622DA7" w:rsidRDefault="006C7423" w:rsidP="006C7423">
      <w:pPr>
        <w:spacing w:line="480" w:lineRule="auto"/>
        <w:ind w:firstLine="720"/>
        <w:rPr>
          <w:sz w:val="23"/>
          <w:szCs w:val="23"/>
        </w:rPr>
      </w:pPr>
      <w:r w:rsidRPr="00622DA7">
        <w:rPr>
          <w:sz w:val="23"/>
          <w:szCs w:val="23"/>
        </w:rPr>
        <w:t xml:space="preserve">In a second sub-Node, Christine </w:t>
      </w:r>
      <w:proofErr w:type="spellStart"/>
      <w:r w:rsidRPr="00622DA7">
        <w:rPr>
          <w:sz w:val="23"/>
          <w:szCs w:val="23"/>
        </w:rPr>
        <w:t>Sleeter</w:t>
      </w:r>
      <w:proofErr w:type="spellEnd"/>
      <w:r w:rsidRPr="00622DA7">
        <w:rPr>
          <w:sz w:val="23"/>
          <w:szCs w:val="23"/>
        </w:rPr>
        <w:t xml:space="preserve"> (2008), in her article, “An invitation to support diverse students through teacher education,” examines the work of two teachers in a California school.  </w:t>
      </w:r>
      <w:proofErr w:type="spellStart"/>
      <w:r w:rsidRPr="00622DA7">
        <w:rPr>
          <w:sz w:val="23"/>
          <w:szCs w:val="23"/>
        </w:rPr>
        <w:t>Sleeter</w:t>
      </w:r>
      <w:proofErr w:type="spellEnd"/>
      <w:r w:rsidRPr="00622DA7">
        <w:rPr>
          <w:sz w:val="23"/>
          <w:szCs w:val="23"/>
        </w:rPr>
        <w:t xml:space="preserve"> (2008) emphasizes the relational and innovative act of teaching, and the importance of community and family engagement to capture the “lived experiences” of students (p. 215).  </w:t>
      </w:r>
      <w:proofErr w:type="spellStart"/>
      <w:r w:rsidRPr="00622DA7">
        <w:rPr>
          <w:sz w:val="23"/>
          <w:szCs w:val="23"/>
        </w:rPr>
        <w:t>Sleeter</w:t>
      </w:r>
      <w:proofErr w:type="spellEnd"/>
      <w:r w:rsidRPr="00622DA7">
        <w:rPr>
          <w:sz w:val="23"/>
          <w:szCs w:val="23"/>
        </w:rPr>
        <w:t xml:space="preserve"> (2008) also calls out the need to avoid deficit-oriented assumptions about students, and the careful planning necessary to reach diverse learners.  This point is reflected in the work of </w:t>
      </w:r>
      <w:proofErr w:type="spellStart"/>
      <w:r w:rsidRPr="00622DA7">
        <w:rPr>
          <w:sz w:val="23"/>
          <w:szCs w:val="23"/>
        </w:rPr>
        <w:t>Keengwe</w:t>
      </w:r>
      <w:proofErr w:type="spellEnd"/>
      <w:r w:rsidRPr="00622DA7">
        <w:rPr>
          <w:sz w:val="23"/>
          <w:szCs w:val="23"/>
        </w:rPr>
        <w:t xml:space="preserve"> (2020), who also cites the risk of demanding less from diverse learners. Additionally, like in </w:t>
      </w:r>
      <w:proofErr w:type="spellStart"/>
      <w:r w:rsidRPr="00622DA7">
        <w:rPr>
          <w:sz w:val="23"/>
          <w:szCs w:val="23"/>
        </w:rPr>
        <w:t>Keengwe</w:t>
      </w:r>
      <w:proofErr w:type="spellEnd"/>
      <w:r w:rsidRPr="00622DA7">
        <w:rPr>
          <w:sz w:val="23"/>
          <w:szCs w:val="23"/>
        </w:rPr>
        <w:t xml:space="preserve"> (2020), </w:t>
      </w:r>
      <w:proofErr w:type="spellStart"/>
      <w:r w:rsidRPr="00622DA7">
        <w:rPr>
          <w:sz w:val="23"/>
          <w:szCs w:val="23"/>
        </w:rPr>
        <w:t>Sleeter</w:t>
      </w:r>
      <w:proofErr w:type="spellEnd"/>
      <w:r w:rsidRPr="00622DA7">
        <w:rPr>
          <w:sz w:val="23"/>
          <w:szCs w:val="23"/>
        </w:rPr>
        <w:t xml:space="preserve"> (2008) is not using an immersion program to assess best practices of developing intercultural competency, and instead focuses on the experiences of in-service teachers finding ways </w:t>
      </w:r>
      <w:r w:rsidRPr="00622DA7">
        <w:rPr>
          <w:sz w:val="23"/>
          <w:szCs w:val="23"/>
        </w:rPr>
        <w:lastRenderedPageBreak/>
        <w:t xml:space="preserve">to effectively work with diverse learners within their schools.  While </w:t>
      </w:r>
      <w:proofErr w:type="spellStart"/>
      <w:r w:rsidRPr="00622DA7">
        <w:rPr>
          <w:sz w:val="23"/>
          <w:szCs w:val="23"/>
        </w:rPr>
        <w:t>Sleeter</w:t>
      </w:r>
      <w:proofErr w:type="spellEnd"/>
      <w:r w:rsidRPr="00622DA7">
        <w:rPr>
          <w:sz w:val="23"/>
          <w:szCs w:val="23"/>
        </w:rPr>
        <w:t xml:space="preserve"> (2008) and </w:t>
      </w:r>
      <w:proofErr w:type="spellStart"/>
      <w:r w:rsidRPr="00622DA7">
        <w:rPr>
          <w:sz w:val="23"/>
          <w:szCs w:val="23"/>
        </w:rPr>
        <w:t>Keengwe</w:t>
      </w:r>
      <w:proofErr w:type="spellEnd"/>
      <w:r w:rsidRPr="00622DA7">
        <w:rPr>
          <w:sz w:val="23"/>
          <w:szCs w:val="23"/>
        </w:rPr>
        <w:t xml:space="preserve"> (2020) support the principles of the work of Newton et al. (2020) and Sharma et al. (2011), the intervention and distinct focus on social justice is not present in these two sub-Nodes.  </w:t>
      </w:r>
    </w:p>
    <w:p w14:paraId="59DAC662" w14:textId="77777777" w:rsidR="006C7423" w:rsidRPr="00622DA7" w:rsidRDefault="006C7423" w:rsidP="006C7423">
      <w:pPr>
        <w:spacing w:line="480" w:lineRule="auto"/>
        <w:ind w:firstLine="720"/>
        <w:rPr>
          <w:sz w:val="23"/>
          <w:szCs w:val="23"/>
        </w:rPr>
      </w:pPr>
      <w:r w:rsidRPr="00622DA7">
        <w:rPr>
          <w:sz w:val="23"/>
          <w:szCs w:val="23"/>
        </w:rPr>
        <w:t xml:space="preserve">Sharma et al. (2011) reference a third sub-Node, which is an article by one of the Node’s authors, </w:t>
      </w:r>
      <w:proofErr w:type="spellStart"/>
      <w:r w:rsidRPr="00622DA7">
        <w:rPr>
          <w:sz w:val="23"/>
          <w:szCs w:val="23"/>
        </w:rPr>
        <w:t>Suniti</w:t>
      </w:r>
      <w:proofErr w:type="spellEnd"/>
      <w:r w:rsidRPr="00622DA7">
        <w:rPr>
          <w:sz w:val="23"/>
          <w:szCs w:val="23"/>
        </w:rPr>
        <w:t xml:space="preserve"> Sharma, called “From the red-dot-Indian woman to jet-set-mangoes and all the hyphens in-between: Studying abroad and discovering myself”</w:t>
      </w:r>
      <w:r w:rsidRPr="00622DA7">
        <w:rPr>
          <w:i/>
          <w:iCs/>
          <w:sz w:val="23"/>
          <w:szCs w:val="23"/>
        </w:rPr>
        <w:t xml:space="preserve"> </w:t>
      </w:r>
      <w:r w:rsidRPr="00622DA7">
        <w:rPr>
          <w:sz w:val="23"/>
          <w:szCs w:val="23"/>
        </w:rPr>
        <w:t xml:space="preserve">(Sharma, 2009).  This non-peer reviewed article is a personal narrative describing Sharma’s experience as a researcher supporting a study abroad program in Honduras, a location in common with the Node and STEM.  Sharma (2009) explores her “hyphenated cultural schizophrenia” through an autobiography and life story (p. 119).  Living within a different culture as someone identifying with multiple identities becomes a trope in the narrative, culminating in recognizing the power of study abroad as something that “stirs the foundations of my intellectual cultural well-being….and creates a breakdown in the safety of experiences” (Sharma, 2009, p. 135).  Sharma’s (2009) focus on identity and the interactive dynamism within cultures serves as an example of critical reflection in action, a helpful context for the Node, which emphasizes critical reflection as a tool to transform “ways for framing multicultural experiences, constructing multiple perspectives, and reconceptualizing self and other as a continuous and systematic educational practice” (Sharma et al., 2011, p. 20).  Likewise, Newton et al. (2020) affirms critical reflection as a “crucial step” in pre-service teacher’s transformative learning (p. 264).  </w:t>
      </w:r>
    </w:p>
    <w:p w14:paraId="38F99629" w14:textId="77777777" w:rsidR="006C7423" w:rsidRPr="00622DA7" w:rsidRDefault="006C7423" w:rsidP="006C7423">
      <w:pPr>
        <w:spacing w:line="480" w:lineRule="auto"/>
        <w:ind w:firstLine="720"/>
        <w:rPr>
          <w:sz w:val="23"/>
          <w:szCs w:val="23"/>
        </w:rPr>
      </w:pPr>
      <w:r w:rsidRPr="00622DA7">
        <w:rPr>
          <w:sz w:val="23"/>
          <w:szCs w:val="23"/>
        </w:rPr>
        <w:t xml:space="preserve">A second Node used by Newton et al. (2020) is the article, “International education and service learning: Approaches toward cultural competency and social justice” (Smith, Jennings, &amp; Lakhan, 2014).  Rather than focused on pre-service teachers, this Node assesses psychology students on a four-week, study abroad program in Singapore and their associated development of intercultural competency and social justice concepts, such as recognizing power dynamics.  Like Newton et al. (2020), Smith et al. (2014) notes daily reflection, an international context, direct cultural contact, and service learning as key factors in transforming learning and developing awareness, knowledge, and </w:t>
      </w:r>
      <w:r w:rsidRPr="00622DA7">
        <w:rPr>
          <w:sz w:val="23"/>
          <w:szCs w:val="23"/>
        </w:rPr>
        <w:lastRenderedPageBreak/>
        <w:t xml:space="preserve">skills in intercultural competency.  Also cited is the challenge to “personal frameworks” and social justice perspectives (Smith et al., 2014, p. 1206), and how “studying abroad appeared to be effective at creating these transformations </w:t>
      </w:r>
      <w:proofErr w:type="gramStart"/>
      <w:r w:rsidRPr="00622DA7">
        <w:rPr>
          <w:sz w:val="23"/>
          <w:szCs w:val="23"/>
        </w:rPr>
        <w:t>as a result of</w:t>
      </w:r>
      <w:proofErr w:type="gramEnd"/>
      <w:r w:rsidRPr="00622DA7">
        <w:rPr>
          <w:sz w:val="23"/>
          <w:szCs w:val="23"/>
        </w:rPr>
        <w:t xml:space="preserve"> disorienting dilemmas” (Smith et al., 2014, p. 1207).  Likewise, Newton et al. (2020) also references “the interconnectedness and synthesis of the program components (which) serve to reinforce core ideas of social justice” (p. 265).</w:t>
      </w:r>
    </w:p>
    <w:p w14:paraId="5A0286B3" w14:textId="77777777" w:rsidR="006C7423" w:rsidRPr="00622DA7" w:rsidRDefault="006C7423" w:rsidP="006C7423">
      <w:pPr>
        <w:spacing w:line="480" w:lineRule="auto"/>
        <w:ind w:firstLine="720"/>
        <w:rPr>
          <w:sz w:val="23"/>
          <w:szCs w:val="23"/>
        </w:rPr>
      </w:pPr>
      <w:r w:rsidRPr="00622DA7">
        <w:rPr>
          <w:sz w:val="23"/>
          <w:szCs w:val="23"/>
        </w:rPr>
        <w:t>The work of Smith et al. (2014) is supported by the sub-Node, “Disorienting experiences during study abroad: Reflections of pre-service teacher candidates” (</w:t>
      </w:r>
      <w:proofErr w:type="spellStart"/>
      <w:r w:rsidRPr="00622DA7">
        <w:rPr>
          <w:sz w:val="23"/>
          <w:szCs w:val="23"/>
        </w:rPr>
        <w:t>Trilokekar</w:t>
      </w:r>
      <w:proofErr w:type="spellEnd"/>
      <w:r w:rsidRPr="00622DA7">
        <w:rPr>
          <w:sz w:val="23"/>
          <w:szCs w:val="23"/>
        </w:rPr>
        <w:t xml:space="preserve"> &amp; </w:t>
      </w:r>
      <w:proofErr w:type="spellStart"/>
      <w:r w:rsidRPr="00622DA7">
        <w:rPr>
          <w:sz w:val="23"/>
          <w:szCs w:val="23"/>
        </w:rPr>
        <w:t>Kukar</w:t>
      </w:r>
      <w:proofErr w:type="spellEnd"/>
      <w:r w:rsidRPr="00622DA7">
        <w:rPr>
          <w:sz w:val="23"/>
          <w:szCs w:val="23"/>
        </w:rPr>
        <w:t xml:space="preserve">, 2011).  </w:t>
      </w:r>
      <w:proofErr w:type="spellStart"/>
      <w:r w:rsidRPr="00622DA7">
        <w:rPr>
          <w:sz w:val="23"/>
          <w:szCs w:val="23"/>
        </w:rPr>
        <w:t>Trilokekar</w:t>
      </w:r>
      <w:proofErr w:type="spellEnd"/>
      <w:r w:rsidRPr="00622DA7">
        <w:rPr>
          <w:sz w:val="23"/>
          <w:szCs w:val="23"/>
        </w:rPr>
        <w:t xml:space="preserve"> and </w:t>
      </w:r>
      <w:proofErr w:type="spellStart"/>
      <w:r w:rsidRPr="00622DA7">
        <w:rPr>
          <w:sz w:val="23"/>
          <w:szCs w:val="23"/>
        </w:rPr>
        <w:t>Kukar</w:t>
      </w:r>
      <w:proofErr w:type="spellEnd"/>
      <w:r w:rsidRPr="00622DA7">
        <w:rPr>
          <w:sz w:val="23"/>
          <w:szCs w:val="23"/>
        </w:rPr>
        <w:t xml:space="preserve"> (2011) emphasize the point made in the Node and STEM that “international experiences alone do not make…a multicultural educator” (p. 1141).  In further alignment with the Node and STEM, </w:t>
      </w:r>
      <w:proofErr w:type="spellStart"/>
      <w:r w:rsidRPr="00622DA7">
        <w:rPr>
          <w:sz w:val="23"/>
          <w:szCs w:val="23"/>
        </w:rPr>
        <w:t>Trilokekar</w:t>
      </w:r>
      <w:proofErr w:type="spellEnd"/>
      <w:r w:rsidRPr="00622DA7">
        <w:rPr>
          <w:sz w:val="23"/>
          <w:szCs w:val="23"/>
        </w:rPr>
        <w:t xml:space="preserve"> and </w:t>
      </w:r>
      <w:proofErr w:type="spellStart"/>
      <w:r w:rsidRPr="00622DA7">
        <w:rPr>
          <w:sz w:val="23"/>
          <w:szCs w:val="23"/>
        </w:rPr>
        <w:t>Kukar</w:t>
      </w:r>
      <w:proofErr w:type="spellEnd"/>
      <w:r w:rsidRPr="00622DA7">
        <w:rPr>
          <w:sz w:val="23"/>
          <w:szCs w:val="23"/>
        </w:rPr>
        <w:t xml:space="preserve"> (2011) discuss the power of study abroad, and the importance of engaging with socio-cultural differences to help participants discover their culture when outside of it.  The transformative experience of an immersion program is well cited in Smith et al. (2014) and Newton et al. (2020), which like </w:t>
      </w:r>
      <w:proofErr w:type="spellStart"/>
      <w:r w:rsidRPr="00622DA7">
        <w:rPr>
          <w:sz w:val="23"/>
          <w:szCs w:val="23"/>
        </w:rPr>
        <w:t>Trilokekar</w:t>
      </w:r>
      <w:proofErr w:type="spellEnd"/>
      <w:r w:rsidRPr="00622DA7">
        <w:rPr>
          <w:sz w:val="23"/>
          <w:szCs w:val="23"/>
        </w:rPr>
        <w:t xml:space="preserve"> and </w:t>
      </w:r>
      <w:proofErr w:type="spellStart"/>
      <w:r w:rsidRPr="00622DA7">
        <w:rPr>
          <w:sz w:val="23"/>
          <w:szCs w:val="23"/>
        </w:rPr>
        <w:t>Kukar</w:t>
      </w:r>
      <w:proofErr w:type="spellEnd"/>
      <w:r w:rsidRPr="00622DA7">
        <w:rPr>
          <w:sz w:val="23"/>
          <w:szCs w:val="23"/>
        </w:rPr>
        <w:t xml:space="preserve"> (2011), call out the importance of critical reflection as part of that transformation.  </w:t>
      </w:r>
    </w:p>
    <w:p w14:paraId="2DF658C5" w14:textId="77777777" w:rsidR="006C7423" w:rsidRPr="00622DA7" w:rsidRDefault="006C7423" w:rsidP="006C7423">
      <w:pPr>
        <w:spacing w:line="480" w:lineRule="auto"/>
        <w:ind w:firstLine="720"/>
        <w:rPr>
          <w:sz w:val="23"/>
          <w:szCs w:val="23"/>
        </w:rPr>
      </w:pPr>
      <w:r w:rsidRPr="00622DA7">
        <w:rPr>
          <w:sz w:val="23"/>
          <w:szCs w:val="23"/>
        </w:rPr>
        <w:t>The second sub-Node, “Cultural competency: From philosophy to research and practice”</w:t>
      </w:r>
      <w:r w:rsidRPr="00622DA7">
        <w:rPr>
          <w:i/>
          <w:iCs/>
          <w:sz w:val="23"/>
          <w:szCs w:val="23"/>
        </w:rPr>
        <w:t xml:space="preserve"> </w:t>
      </w:r>
      <w:r w:rsidRPr="00622DA7">
        <w:rPr>
          <w:sz w:val="23"/>
          <w:szCs w:val="23"/>
        </w:rPr>
        <w:t xml:space="preserve">(Sue, 2006) focuses on therapists and the importance of possessing “scientific mindedness, dynamic sizing, and culture-specific skills” as a framework for developing intercultural competence and effectiveness with clients (Sue, 2006, p. 239).  This scientific framework of understanding cultural skills is recognized differently in Smith et al. (2014), who define cultural competency as the development of “awareness, knowledge and skills,” that is, the emotional, cognitive, and behaviors of intercultural competency (p. 1189).  Further, while Sue (2006) and Smith et al. (2014) are addressing the importance of cultural competence, Sue (2006) is focused on the audience of active psychologists while Smith et al. (2014) and Newton et al. (2020) are focused on pre-service teachers. This difference in audience suggests the shared need for intercultural competency among different </w:t>
      </w:r>
      <w:r w:rsidRPr="00622DA7">
        <w:rPr>
          <w:sz w:val="23"/>
          <w:szCs w:val="23"/>
        </w:rPr>
        <w:lastRenderedPageBreak/>
        <w:t xml:space="preserve">professionals, although Sue’s (2006) therapeutic standards framework is distinct from the pre-service teachers’ orientation and purpose. </w:t>
      </w:r>
    </w:p>
    <w:p w14:paraId="5EB84BF1" w14:textId="77777777" w:rsidR="006C7423" w:rsidRPr="00622DA7" w:rsidRDefault="006C7423" w:rsidP="006C7423">
      <w:pPr>
        <w:spacing w:line="480" w:lineRule="auto"/>
        <w:ind w:firstLine="720"/>
        <w:rPr>
          <w:sz w:val="23"/>
          <w:szCs w:val="23"/>
        </w:rPr>
      </w:pPr>
      <w:r w:rsidRPr="00622DA7">
        <w:rPr>
          <w:sz w:val="23"/>
          <w:szCs w:val="23"/>
        </w:rPr>
        <w:t>The third sub-Node, “Innovative practices in service-learning and curricular engagement” (</w:t>
      </w:r>
      <w:proofErr w:type="spellStart"/>
      <w:r w:rsidRPr="00622DA7">
        <w:rPr>
          <w:sz w:val="23"/>
          <w:szCs w:val="23"/>
        </w:rPr>
        <w:t>Bringle</w:t>
      </w:r>
      <w:proofErr w:type="spellEnd"/>
      <w:r w:rsidRPr="00622DA7">
        <w:rPr>
          <w:sz w:val="23"/>
          <w:szCs w:val="23"/>
        </w:rPr>
        <w:t xml:space="preserve"> &amp; Hatcher, 2009), takes a different angle from the other two sub-Nodes by focusing on the role of service learning in higher education institutions as a tool to increase civic and community engagement.  Service- learning courses, considered a “valued pedagogy for engaged campuses” (</w:t>
      </w:r>
      <w:proofErr w:type="spellStart"/>
      <w:r w:rsidRPr="00622DA7">
        <w:rPr>
          <w:sz w:val="23"/>
          <w:szCs w:val="23"/>
        </w:rPr>
        <w:t>Bringle</w:t>
      </w:r>
      <w:proofErr w:type="spellEnd"/>
      <w:r w:rsidRPr="00622DA7">
        <w:rPr>
          <w:sz w:val="23"/>
          <w:szCs w:val="23"/>
        </w:rPr>
        <w:t xml:space="preserve"> &amp; Hatcher, 2009, p. 44) should be “evenly distributed” across the academic curriculum and faculty (</w:t>
      </w:r>
      <w:proofErr w:type="spellStart"/>
      <w:r w:rsidRPr="00622DA7">
        <w:rPr>
          <w:sz w:val="23"/>
          <w:szCs w:val="23"/>
        </w:rPr>
        <w:t>Bringle</w:t>
      </w:r>
      <w:proofErr w:type="spellEnd"/>
      <w:r w:rsidRPr="00622DA7">
        <w:rPr>
          <w:sz w:val="23"/>
          <w:szCs w:val="23"/>
        </w:rPr>
        <w:t xml:space="preserve"> &amp; Hatcher, 2009, p. 41).  When referring to the work of </w:t>
      </w:r>
      <w:proofErr w:type="spellStart"/>
      <w:r w:rsidRPr="00622DA7">
        <w:rPr>
          <w:sz w:val="23"/>
          <w:szCs w:val="23"/>
        </w:rPr>
        <w:t>Bringle</w:t>
      </w:r>
      <w:proofErr w:type="spellEnd"/>
      <w:r w:rsidRPr="00622DA7">
        <w:rPr>
          <w:sz w:val="23"/>
          <w:szCs w:val="23"/>
        </w:rPr>
        <w:t xml:space="preserve"> and Hatcher (2009), Smith et al. (2014) indicate service learning is about working “with a particular community rather than providing a service for a particular community (Smith et al., 2014, p. 1192).  This reference does not clearly align with the work of </w:t>
      </w:r>
      <w:proofErr w:type="spellStart"/>
      <w:r w:rsidRPr="00622DA7">
        <w:rPr>
          <w:sz w:val="23"/>
          <w:szCs w:val="23"/>
        </w:rPr>
        <w:t>Bringle</w:t>
      </w:r>
      <w:proofErr w:type="spellEnd"/>
      <w:r w:rsidRPr="00622DA7">
        <w:rPr>
          <w:sz w:val="23"/>
          <w:szCs w:val="23"/>
        </w:rPr>
        <w:t xml:space="preserve"> and Hatcher (2009), whose discussion of service learning is focused on its frequency on campuses as a forum for civic involvement, faculty development, and university engagement.  Further, while service learning is a key learning opportunity during immersion programs, Newton et al. (2020) also does not examine the role of service learning as a function of university engagement.  Therefore, it appears the work of </w:t>
      </w:r>
      <w:proofErr w:type="spellStart"/>
      <w:r w:rsidRPr="00622DA7">
        <w:rPr>
          <w:sz w:val="23"/>
          <w:szCs w:val="23"/>
        </w:rPr>
        <w:t>Bringle</w:t>
      </w:r>
      <w:proofErr w:type="spellEnd"/>
      <w:r w:rsidRPr="00622DA7">
        <w:rPr>
          <w:sz w:val="23"/>
          <w:szCs w:val="23"/>
        </w:rPr>
        <w:t xml:space="preserve"> and Hatcher (2009), while important, does not align with how the Node, and by extension the STEM, references this sub-Node’s research study.</w:t>
      </w:r>
    </w:p>
    <w:p w14:paraId="5F46363D" w14:textId="77777777" w:rsidR="006C7423" w:rsidRPr="00622DA7" w:rsidRDefault="006C7423" w:rsidP="006C7423">
      <w:pPr>
        <w:spacing w:line="480" w:lineRule="auto"/>
        <w:ind w:firstLine="720"/>
        <w:rPr>
          <w:sz w:val="23"/>
          <w:szCs w:val="23"/>
        </w:rPr>
      </w:pPr>
      <w:r w:rsidRPr="00622DA7">
        <w:rPr>
          <w:sz w:val="23"/>
          <w:szCs w:val="23"/>
        </w:rPr>
        <w:t xml:space="preserve">The third Node is “(Un)becoming tourist-teachers: Unveiling white racial identity in cross-cultural teaching </w:t>
      </w:r>
      <w:proofErr w:type="spellStart"/>
      <w:r w:rsidRPr="00622DA7">
        <w:rPr>
          <w:sz w:val="23"/>
          <w:szCs w:val="23"/>
        </w:rPr>
        <w:t>programmes</w:t>
      </w:r>
      <w:proofErr w:type="spellEnd"/>
      <w:r w:rsidRPr="00622DA7">
        <w:rPr>
          <w:sz w:val="23"/>
          <w:szCs w:val="23"/>
        </w:rPr>
        <w:t>” (Enriquez-Gibson &amp; Gibson, 2015).  Reiterating the assertions of Newton et al., Enriquez-Gibson and Gibson (2015) assert critical reflection is essential during and after immersion programs, which they argue contributes to teachers developing culturally sensitive dispositions such as empathy and a sense of otherness.  Enriquez-Gibson and Gibson (2015) further emphasize the importance of engaging one’s racial identity and making whiteness visible, a point not explicit in the work of Newton et al. (2020).  Immersion programs, Enriquez-</w:t>
      </w:r>
      <w:proofErr w:type="gramStart"/>
      <w:r w:rsidRPr="00622DA7">
        <w:rPr>
          <w:sz w:val="23"/>
          <w:szCs w:val="23"/>
        </w:rPr>
        <w:t>Gibson</w:t>
      </w:r>
      <w:proofErr w:type="gramEnd"/>
      <w:r w:rsidRPr="00622DA7">
        <w:rPr>
          <w:sz w:val="23"/>
          <w:szCs w:val="23"/>
        </w:rPr>
        <w:t xml:space="preserve"> and Gibson (2015) argue, can lead to critical transformation among participants through community engagement </w:t>
      </w:r>
      <w:r w:rsidRPr="00622DA7">
        <w:rPr>
          <w:sz w:val="23"/>
          <w:szCs w:val="23"/>
        </w:rPr>
        <w:lastRenderedPageBreak/>
        <w:t>and attention to the “sense-</w:t>
      </w:r>
      <w:proofErr w:type="spellStart"/>
      <w:r w:rsidRPr="00622DA7">
        <w:rPr>
          <w:sz w:val="23"/>
          <w:szCs w:val="23"/>
        </w:rPr>
        <w:t>scapes</w:t>
      </w:r>
      <w:proofErr w:type="spellEnd"/>
      <w:r w:rsidRPr="00622DA7">
        <w:rPr>
          <w:sz w:val="23"/>
          <w:szCs w:val="23"/>
        </w:rPr>
        <w:t xml:space="preserve">,” that is, the embedded senses available through that immersion experience (p. 113).  In addition, the authors call out the need to shift from a “tourist gaze,” how individuals make sense of the world (Enriquez-Gibson &amp; Gibson, 2015, p. 112), to “an other-focused gaze” (Enriquez-Gibson &amp; Gibson, 2015, p. 113).  Newton et al. (2020) similarly </w:t>
      </w:r>
      <w:proofErr w:type="gramStart"/>
      <w:r w:rsidRPr="00622DA7">
        <w:rPr>
          <w:sz w:val="23"/>
          <w:szCs w:val="23"/>
        </w:rPr>
        <w:t>discuss</w:t>
      </w:r>
      <w:proofErr w:type="gramEnd"/>
      <w:r w:rsidRPr="00622DA7">
        <w:rPr>
          <w:sz w:val="23"/>
          <w:szCs w:val="23"/>
        </w:rPr>
        <w:t xml:space="preserve"> how the context, curriculum and co-curricular activities give participants a vehicle to shift perspectives and gain “opportunities to learn about social justice,” that is, the other-focused gaze (p. 264).  </w:t>
      </w:r>
    </w:p>
    <w:p w14:paraId="239BAC43" w14:textId="77777777" w:rsidR="006C7423" w:rsidRPr="00622DA7" w:rsidRDefault="006C7423" w:rsidP="006C7423">
      <w:pPr>
        <w:spacing w:line="480" w:lineRule="auto"/>
        <w:ind w:firstLine="720"/>
        <w:rPr>
          <w:sz w:val="23"/>
          <w:szCs w:val="23"/>
        </w:rPr>
      </w:pPr>
      <w:r w:rsidRPr="00622DA7">
        <w:rPr>
          <w:sz w:val="23"/>
          <w:szCs w:val="23"/>
        </w:rPr>
        <w:t xml:space="preserve">In support of this Node, the sub-Node, “Beyond educational tourism: Lessons learned while student teaching abroad” (Quezada, 2004) reviews different types of international immersion programs and their efficacy of improving cultural understanding based on “instructional pedagogy, self-learning and genuine multiculturalism” (p. 461).  Quezada (2004) highlights the importance of pre-departure training, service learning, re-entry follow-up, and funding support as key components of developing intercultural competence through study abroad programs, as well as the challenges of adapting curriculum, isolation, and language barriers for participants.  While the work of Quezada (2004) generally supports the work of Enriquez-Gibson and Gibson (2015), the Node presents the research of the sub-Node as conclusive and informed.  For example, in reference to Quezada (2004), Enriquez-Gibson and Gibson (2015) state university study abroad programs are limited when “presenting the same opportunities for students in primary and secondary education” (p. 108).  Problematically, Quezada (2004) is not supported by a robust literature review; in Quezada’s (2004) study, assertions frequently are made without research citations, which therefore limits the trustworthiness of the conclusions.  Further, Quezada (2004) does not contribute to or reflect the principal discussion points in the work of Enriquez-Gibson and Gibson (2015), and aside from the mention of service learning, Quezada’s (2004) work additionally does not strengthen the assertions of Newton et al. (2020). </w:t>
      </w:r>
    </w:p>
    <w:p w14:paraId="262C419C" w14:textId="77777777" w:rsidR="006C7423" w:rsidRPr="00622DA7" w:rsidRDefault="006C7423" w:rsidP="006C7423">
      <w:pPr>
        <w:spacing w:line="480" w:lineRule="auto"/>
        <w:ind w:firstLine="720"/>
        <w:rPr>
          <w:sz w:val="23"/>
          <w:szCs w:val="23"/>
        </w:rPr>
      </w:pPr>
      <w:r w:rsidRPr="00622DA7">
        <w:rPr>
          <w:sz w:val="23"/>
          <w:szCs w:val="23"/>
        </w:rPr>
        <w:t xml:space="preserve">The second sub-Node referenced in the research of Enriquez-Gibson and Gibson (2015) is Karen Lowenstein’s (2009) article, “The work of multicultural teacher education: Reconceptualizing </w:t>
      </w:r>
      <w:r w:rsidRPr="00622DA7">
        <w:rPr>
          <w:sz w:val="23"/>
          <w:szCs w:val="23"/>
        </w:rPr>
        <w:lastRenderedPageBreak/>
        <w:t xml:space="preserve">white teacher candidates as learners.” Lowenstein (2009) examines the concept of White teacher candidates being perceived as “deficient learners about issues of diversity” (p. 163).  Asserting that we must recalibrate our assumptions of White teachers, Lowenstein (2009) sees them as active participants in inquiry-based, reflective conversations, and notes field experiences, such as immersion programs, are helpful tools to extract such opportunities for reflection.  Further, White teachers are “not the problem,” but rather reflect the challenges embedded in the system, and moreover, teachers are too often viewed as “heroes to the rescue” </w:t>
      </w:r>
      <w:proofErr w:type="gramStart"/>
      <w:r w:rsidRPr="00622DA7">
        <w:rPr>
          <w:sz w:val="23"/>
          <w:szCs w:val="23"/>
        </w:rPr>
        <w:t>in regard to</w:t>
      </w:r>
      <w:proofErr w:type="gramEnd"/>
      <w:r w:rsidRPr="00622DA7">
        <w:rPr>
          <w:sz w:val="23"/>
          <w:szCs w:val="23"/>
        </w:rPr>
        <w:t xml:space="preserve"> pedagogical discussions of diversity (Lowenstein, 2009, p. 187). This sub-Node supports Enriquez-Gibson and Gibson’s (2015) contention of the importance of gaining an other-focused gaze rather than a tourist gaze in part by making Whiteness visible (Enriquez-Gibson &amp; Gibson, 2015), although Lowenstein (2009) shifts the conversation from the centrality of teachers to the system of education.  Additionally, Newton et al. (2020) </w:t>
      </w:r>
      <w:proofErr w:type="gramStart"/>
      <w:r w:rsidRPr="00622DA7">
        <w:rPr>
          <w:sz w:val="23"/>
          <w:szCs w:val="23"/>
        </w:rPr>
        <w:t>are</w:t>
      </w:r>
      <w:proofErr w:type="gramEnd"/>
      <w:r w:rsidRPr="00622DA7">
        <w:rPr>
          <w:sz w:val="23"/>
          <w:szCs w:val="23"/>
        </w:rPr>
        <w:t xml:space="preserve"> generally aligned with Lowenstein’s (2009) focus on social justice conceptions and perceptions, but Newton et al. (2020) do not explore the subject of Whiteness or Lowenstein’s (2009) assertion that White teacher candidates are not the problem.  </w:t>
      </w:r>
    </w:p>
    <w:p w14:paraId="0ADDCB27" w14:textId="77777777" w:rsidR="006C7423" w:rsidRPr="00622DA7" w:rsidRDefault="006C7423" w:rsidP="006C7423">
      <w:pPr>
        <w:spacing w:line="480" w:lineRule="auto"/>
        <w:ind w:firstLine="720"/>
        <w:rPr>
          <w:sz w:val="23"/>
          <w:szCs w:val="23"/>
        </w:rPr>
      </w:pPr>
      <w:r w:rsidRPr="00622DA7">
        <w:rPr>
          <w:sz w:val="23"/>
          <w:szCs w:val="23"/>
        </w:rPr>
        <w:t xml:space="preserve">Third, Enriquez-Gibson &amp; Gibson (2015) reference a sub-Node by Chaim Noy, “Performing identity: touristic narratives of self-change” (Noy, 2004).  Using the metaphor that tourists are performers, Noy (2004) argues that change occurs between the performer and the audience; “a personal narrative performance” is when social meaning “is fervently negotiated and constructed” (p. 117). The self emerges from this dialogue between the performer and the audience, that is, between the tourist and the new context with </w:t>
      </w:r>
      <w:proofErr w:type="gramStart"/>
      <w:r w:rsidRPr="00622DA7">
        <w:rPr>
          <w:sz w:val="23"/>
          <w:szCs w:val="23"/>
        </w:rPr>
        <w:t>story-telling</w:t>
      </w:r>
      <w:proofErr w:type="gramEnd"/>
      <w:r w:rsidRPr="00622DA7">
        <w:rPr>
          <w:sz w:val="23"/>
          <w:szCs w:val="23"/>
        </w:rPr>
        <w:t xml:space="preserve"> as the principle language (Noy, 2004).  Enriquez-Gibson and Gibson (2015) refer to these assertions by Noy (2004) that stories and performance lead to “a rite of passage perhaps of identity” (Enriquez-Gibson &amp; Gibson, 2015, p. 111), but the broader themes of the Node’s research in intercultural competence or immersion programs are not connected to the assertions offered by Noy (2004).  Further, Noy (2004), like Quezada (2004), offers few </w:t>
      </w:r>
      <w:r w:rsidRPr="00622DA7">
        <w:rPr>
          <w:sz w:val="23"/>
          <w:szCs w:val="23"/>
        </w:rPr>
        <w:lastRenderedPageBreak/>
        <w:t xml:space="preserve">citations to support his research, and does not address social justice, a key component of the STEM and Node. </w:t>
      </w:r>
    </w:p>
    <w:p w14:paraId="79C74399" w14:textId="77777777" w:rsidR="006C7423" w:rsidRPr="00622DA7" w:rsidRDefault="006C7423" w:rsidP="006C7423">
      <w:pPr>
        <w:spacing w:line="480" w:lineRule="auto"/>
        <w:ind w:firstLine="720"/>
        <w:rPr>
          <w:sz w:val="23"/>
          <w:szCs w:val="23"/>
        </w:rPr>
      </w:pPr>
      <w:r w:rsidRPr="00622DA7">
        <w:rPr>
          <w:sz w:val="23"/>
          <w:szCs w:val="23"/>
        </w:rPr>
        <w:t>The fourth Node is the article, “A study abroad program in Tanzania: The evolution of social justice action work”</w:t>
      </w:r>
      <w:r w:rsidRPr="00622DA7">
        <w:rPr>
          <w:i/>
          <w:iCs/>
          <w:sz w:val="23"/>
          <w:szCs w:val="23"/>
        </w:rPr>
        <w:t xml:space="preserve"> </w:t>
      </w:r>
      <w:r w:rsidRPr="00622DA7">
        <w:rPr>
          <w:sz w:val="23"/>
          <w:szCs w:val="23"/>
        </w:rPr>
        <w:t xml:space="preserve">(Cannon &amp; Heider, 2012).  Examining a short-term study abroad program conducted in 2008, 2010, and 2012, Cannon and Heider (2012) tease out aspects of immersion programs that increase social justice and intercultural awareness.  Examples of these components include the difference between “helping” and “doing for” in service-learning endeavors (Cannon &amp; Heider, 2012, p. 64); the need to maintain flexibility; and the challenge of student frustration as they navigate new environments, “homesickness, culture shock,” activities and assignments (Cannon &amp; Heider, 2012, p. 65).  Cannon and Heider (2012) use the term “justice learning” (p. 62) to refer to experiential learning that incorporates both social justice and service learning.  The authors also emphasize experiential learning as an opportunity for participants to actively engage, and the importance of pre-departure programming.  Newton et al. (2020) closely </w:t>
      </w:r>
      <w:proofErr w:type="gramStart"/>
      <w:r w:rsidRPr="00622DA7">
        <w:rPr>
          <w:sz w:val="23"/>
          <w:szCs w:val="23"/>
        </w:rPr>
        <w:t>align</w:t>
      </w:r>
      <w:proofErr w:type="gramEnd"/>
      <w:r w:rsidRPr="00622DA7">
        <w:rPr>
          <w:sz w:val="23"/>
          <w:szCs w:val="23"/>
        </w:rPr>
        <w:t xml:space="preserve"> with the principal points of Cannon and Heider (2012), including the use of immersion programs to advance conceptualizations of social justice; the goal of developing intercultural competency during these programs; and the element of service learning.  Both the STEM and Node also confirm the relevance of intentional reflection to generate learning.</w:t>
      </w:r>
    </w:p>
    <w:p w14:paraId="6C7939C4" w14:textId="77777777" w:rsidR="006C7423" w:rsidRPr="00622DA7" w:rsidRDefault="006C7423" w:rsidP="006C7423">
      <w:pPr>
        <w:spacing w:line="480" w:lineRule="auto"/>
        <w:ind w:firstLine="720"/>
        <w:rPr>
          <w:sz w:val="23"/>
          <w:szCs w:val="23"/>
        </w:rPr>
      </w:pPr>
      <w:r w:rsidRPr="00622DA7">
        <w:rPr>
          <w:sz w:val="23"/>
          <w:szCs w:val="23"/>
        </w:rPr>
        <w:t xml:space="preserve">In support of this Node is the sub-Node by Dan </w:t>
      </w:r>
      <w:proofErr w:type="spellStart"/>
      <w:r w:rsidRPr="00622DA7">
        <w:rPr>
          <w:sz w:val="23"/>
          <w:szCs w:val="23"/>
        </w:rPr>
        <w:t>Butin</w:t>
      </w:r>
      <w:proofErr w:type="spellEnd"/>
      <w:r w:rsidRPr="00622DA7">
        <w:rPr>
          <w:sz w:val="23"/>
          <w:szCs w:val="23"/>
        </w:rPr>
        <w:t xml:space="preserve"> (2007), “Justice-learning: Service-learning as justice-oriented education.”  </w:t>
      </w:r>
      <w:proofErr w:type="spellStart"/>
      <w:r w:rsidRPr="00622DA7">
        <w:rPr>
          <w:sz w:val="23"/>
          <w:szCs w:val="23"/>
        </w:rPr>
        <w:t>Butin</w:t>
      </w:r>
      <w:proofErr w:type="spellEnd"/>
      <w:r w:rsidRPr="00622DA7">
        <w:rPr>
          <w:sz w:val="23"/>
          <w:szCs w:val="23"/>
        </w:rPr>
        <w:t xml:space="preserve"> (2007) is the source of Canon and Heider’s (2012) concept of and reference to justice-learning.  </w:t>
      </w:r>
      <w:proofErr w:type="spellStart"/>
      <w:r w:rsidRPr="00622DA7">
        <w:rPr>
          <w:sz w:val="23"/>
          <w:szCs w:val="23"/>
        </w:rPr>
        <w:t>Butin</w:t>
      </w:r>
      <w:proofErr w:type="spellEnd"/>
      <w:r w:rsidRPr="00622DA7">
        <w:rPr>
          <w:sz w:val="23"/>
          <w:szCs w:val="23"/>
        </w:rPr>
        <w:t xml:space="preserve"> (2007) calls out the risk of service learning, which can have a “charity orientation,” while “social justice education is linked to activism,” together which are potentially “hampered by dilution and radicalization” (p. 178).  On the other hand, justice learning helps to make visible beliefs, perspectives, and ways of knowing, thereby </w:t>
      </w:r>
      <w:proofErr w:type="gramStart"/>
      <w:r w:rsidRPr="00622DA7">
        <w:rPr>
          <w:sz w:val="23"/>
          <w:szCs w:val="23"/>
        </w:rPr>
        <w:t>opening up</w:t>
      </w:r>
      <w:proofErr w:type="gramEnd"/>
      <w:r w:rsidRPr="00622DA7">
        <w:rPr>
          <w:sz w:val="23"/>
          <w:szCs w:val="23"/>
        </w:rPr>
        <w:t xml:space="preserve"> possibility and conversation, which appears through engagement with others (</w:t>
      </w:r>
      <w:proofErr w:type="spellStart"/>
      <w:r w:rsidRPr="00622DA7">
        <w:rPr>
          <w:sz w:val="23"/>
          <w:szCs w:val="23"/>
        </w:rPr>
        <w:t>Butin</w:t>
      </w:r>
      <w:proofErr w:type="spellEnd"/>
      <w:r w:rsidRPr="00622DA7">
        <w:rPr>
          <w:sz w:val="23"/>
          <w:szCs w:val="23"/>
        </w:rPr>
        <w:t xml:space="preserve">, 2007). Cannon and Heider (2012) capture </w:t>
      </w:r>
      <w:proofErr w:type="spellStart"/>
      <w:r w:rsidRPr="00622DA7">
        <w:rPr>
          <w:sz w:val="23"/>
          <w:szCs w:val="23"/>
        </w:rPr>
        <w:t>Butin’s</w:t>
      </w:r>
      <w:proofErr w:type="spellEnd"/>
      <w:r w:rsidRPr="00622DA7">
        <w:rPr>
          <w:sz w:val="23"/>
          <w:szCs w:val="23"/>
        </w:rPr>
        <w:t xml:space="preserve"> (2007) conceptualization of the risks of service learning, which </w:t>
      </w:r>
      <w:r w:rsidRPr="00622DA7">
        <w:rPr>
          <w:sz w:val="23"/>
          <w:szCs w:val="23"/>
        </w:rPr>
        <w:lastRenderedPageBreak/>
        <w:t>they call an “ethical concern” (Cannon &amp; Heider, 2012, p. 64), and later note how “</w:t>
      </w:r>
      <w:proofErr w:type="spellStart"/>
      <w:r w:rsidRPr="00622DA7">
        <w:rPr>
          <w:sz w:val="23"/>
          <w:szCs w:val="23"/>
        </w:rPr>
        <w:t>Butin</w:t>
      </w:r>
      <w:proofErr w:type="spellEnd"/>
      <w:r w:rsidRPr="00622DA7">
        <w:rPr>
          <w:sz w:val="23"/>
          <w:szCs w:val="23"/>
        </w:rPr>
        <w:t xml:space="preserve"> helped us clarify how service-learning and social justice work can be productively integrated” (Cannon &amp; Heider, 2012, p. 70). </w:t>
      </w:r>
    </w:p>
    <w:p w14:paraId="01AA17B5" w14:textId="77777777" w:rsidR="006C7423" w:rsidRPr="00622DA7" w:rsidRDefault="006C7423" w:rsidP="006C7423">
      <w:pPr>
        <w:spacing w:line="480" w:lineRule="auto"/>
        <w:ind w:firstLine="720"/>
        <w:rPr>
          <w:sz w:val="23"/>
          <w:szCs w:val="23"/>
        </w:rPr>
      </w:pPr>
      <w:r w:rsidRPr="00622DA7">
        <w:rPr>
          <w:sz w:val="23"/>
          <w:szCs w:val="23"/>
        </w:rPr>
        <w:t xml:space="preserve">A second sub-Node is by </w:t>
      </w:r>
      <w:proofErr w:type="spellStart"/>
      <w:r w:rsidRPr="00622DA7">
        <w:rPr>
          <w:sz w:val="23"/>
          <w:szCs w:val="23"/>
        </w:rPr>
        <w:t>Aixa</w:t>
      </w:r>
      <w:proofErr w:type="spellEnd"/>
      <w:r w:rsidRPr="00622DA7">
        <w:rPr>
          <w:sz w:val="23"/>
          <w:szCs w:val="23"/>
        </w:rPr>
        <w:t xml:space="preserve"> Ritz (2011), “The educational value of short-term study abroad programs as course components.”  Ritz (2011) explores how a study abroad program for hospitality students in Costa Rica facilitates transformative learning and a meaning-making process while illuminating how tourism appears in a developing country.  Ritz (2011) specifically names facilitated group discussions; careful planning; opportunities for feedback and assessment; and teaching activities as ways to link the classroom with “the real world” (p. 165). Aside from the mention of economic distribution challenges found in tourism, missing from Ritz (2011) study is discussion of the role of service learning and social justice – key components of the work of Cannon and Heider (2012) and Newton et al. (2020).  Cannon and Heider (2012) lean on Ritz to confirm the value of short-term study abroad programs.  However, this link is limited given the different goals of Ritz’ (2011) study, </w:t>
      </w:r>
      <w:proofErr w:type="gramStart"/>
      <w:r w:rsidRPr="00622DA7">
        <w:rPr>
          <w:sz w:val="23"/>
          <w:szCs w:val="23"/>
        </w:rPr>
        <w:t>namely</w:t>
      </w:r>
      <w:proofErr w:type="gramEnd"/>
      <w:r w:rsidRPr="00622DA7">
        <w:rPr>
          <w:sz w:val="23"/>
          <w:szCs w:val="23"/>
        </w:rPr>
        <w:t xml:space="preserve"> to study how tourism is conceived, and Cannon and Heider’s (2012) focus of justice learning during an immersion program.  Likewise, Newton et al. (2020) </w:t>
      </w:r>
      <w:proofErr w:type="gramStart"/>
      <w:r w:rsidRPr="00622DA7">
        <w:rPr>
          <w:sz w:val="23"/>
          <w:szCs w:val="23"/>
        </w:rPr>
        <w:t>are</w:t>
      </w:r>
      <w:proofErr w:type="gramEnd"/>
      <w:r w:rsidRPr="00622DA7">
        <w:rPr>
          <w:sz w:val="23"/>
          <w:szCs w:val="23"/>
        </w:rPr>
        <w:t xml:space="preserve"> examining the experience of preserve teachers rather than the intersection and engagement of a host country and tourists.</w:t>
      </w:r>
    </w:p>
    <w:p w14:paraId="755C25D6" w14:textId="77777777" w:rsidR="006C7423" w:rsidRPr="00622DA7" w:rsidRDefault="006C7423" w:rsidP="006C7423">
      <w:pPr>
        <w:spacing w:line="480" w:lineRule="auto"/>
        <w:ind w:firstLine="720"/>
        <w:rPr>
          <w:sz w:val="23"/>
          <w:szCs w:val="23"/>
        </w:rPr>
      </w:pPr>
      <w:r w:rsidRPr="00622DA7">
        <w:rPr>
          <w:sz w:val="23"/>
          <w:szCs w:val="23"/>
        </w:rPr>
        <w:t xml:space="preserve">The third sub-Node is “Becoming the change we want to see: Critical study abroad for a tumultuous world” (Reilly &amp; Senders, 2009).  The authors walk through the history of international immersion programs with particular focus on the U.S. government’s motivations for such programs, which has currently shifted the raison </w:t>
      </w:r>
      <w:proofErr w:type="spellStart"/>
      <w:r w:rsidRPr="00622DA7">
        <w:rPr>
          <w:sz w:val="23"/>
          <w:szCs w:val="23"/>
        </w:rPr>
        <w:t>d'etre</w:t>
      </w:r>
      <w:proofErr w:type="spellEnd"/>
      <w:r w:rsidRPr="00622DA7">
        <w:rPr>
          <w:sz w:val="23"/>
          <w:szCs w:val="23"/>
        </w:rPr>
        <w:t xml:space="preserve"> for study abroad to building global competence, considered a “strategic response” (Reilly &amp; Senders, 2009, p. 246).  Recognizing the “inherently interdisciplinary” aspect of study abroad, Reilly and Senders (2009) offer nine ways their notion of “critical study abroad” can constructively help participants respond to global crises (p. 250).  The authors argue a shift from the concept of “global competence” to “global citizenship” is essential in </w:t>
      </w:r>
      <w:r w:rsidRPr="00622DA7">
        <w:rPr>
          <w:sz w:val="23"/>
          <w:szCs w:val="23"/>
        </w:rPr>
        <w:lastRenderedPageBreak/>
        <w:t xml:space="preserve">“critical” study abroad, which asks participants to consider “not only what they have been given, but also what they owe” (Reilly &amp; Senders, 2009, p. 257).  Cannon and Heider (2012) highlight key attributes of study abroad programs described by Reilly and Senders (2009), such as facilitating active teaching, emphasizing responsibility, and inspiring student-led learning and teaching.  Cannon and Heider (2012) also recognize the political nature of study abroad, and the responsibility to consider new ways of knowing through engagement with the local audience.  Likewise, Newton et al. 2020) reference the political decision-making and “power dynamics within social relations” (p. 265) in their discussion of social justice, noting “education is not a purely meritocratic system” (p. 264). </w:t>
      </w:r>
    </w:p>
    <w:p w14:paraId="6B246D97" w14:textId="77777777" w:rsidR="006C7423" w:rsidRPr="00622DA7" w:rsidRDefault="006C7423" w:rsidP="006C7423">
      <w:pPr>
        <w:spacing w:line="480" w:lineRule="auto"/>
        <w:ind w:firstLine="720"/>
        <w:rPr>
          <w:sz w:val="23"/>
          <w:szCs w:val="23"/>
        </w:rPr>
      </w:pPr>
      <w:r w:rsidRPr="00622DA7">
        <w:rPr>
          <w:sz w:val="23"/>
          <w:szCs w:val="23"/>
        </w:rPr>
        <w:t xml:space="preserve">Reflecting on the four main Nodes and corresponding 12 sub-Nodes discussed in this study, a central theme appears: nearly every cited researcher reference or emphasize the importance of critical reflection during an intercultural experience. Newton et al. (2020) </w:t>
      </w:r>
      <w:proofErr w:type="gramStart"/>
      <w:r w:rsidRPr="00622DA7">
        <w:rPr>
          <w:sz w:val="23"/>
          <w:szCs w:val="23"/>
        </w:rPr>
        <w:t>recognize</w:t>
      </w:r>
      <w:proofErr w:type="gramEnd"/>
      <w:r w:rsidRPr="00622DA7">
        <w:rPr>
          <w:sz w:val="23"/>
          <w:szCs w:val="23"/>
        </w:rPr>
        <w:t xml:space="preserve"> the importance of ensuring participants reflect during their programs, even calling out a need to encourage a “lifetime of learning and reflection” (p. 266).  However, Newton et al. (2020), despite the overwhelming focus in their literature review, does not measure, frame, or assess critical reflection as a separate key component, and instead maintains an emphasis on the three components of context, curriculum, and co-curricular activities.  For example, Newton et al. (2020) does not seem to inquire of the participants how, when, or to what extent critical reflection occurred in the three immersion programs they studied despite each instructor citing reflection as important.  Further, Newton et al. (2020) seems not to acknowledge the role critical reflection plays in the success of the three assessed key components.  While acknowledging the “interconnectedness and synthesis of the program components,” the authors are silent on whether critical reflection is necessary for those components to have the desired effect – in this case, reinforcing awareness and ideas of social justice (Newton et al., 2020, p. 265).  </w:t>
      </w:r>
    </w:p>
    <w:p w14:paraId="6F8D1FFB" w14:textId="7E406153" w:rsidR="006C7423" w:rsidRPr="00622DA7" w:rsidRDefault="00F51CE1" w:rsidP="006C7423">
      <w:pPr>
        <w:spacing w:line="480" w:lineRule="auto"/>
        <w:ind w:firstLine="720"/>
        <w:rPr>
          <w:sz w:val="23"/>
          <w:szCs w:val="23"/>
        </w:rPr>
      </w:pPr>
      <w:r>
        <w:rPr>
          <w:sz w:val="23"/>
          <w:szCs w:val="23"/>
        </w:rPr>
        <w:t>In general, I suggest t</w:t>
      </w:r>
      <w:r w:rsidRPr="00622DA7">
        <w:rPr>
          <w:sz w:val="23"/>
          <w:szCs w:val="23"/>
        </w:rPr>
        <w:t xml:space="preserve">he Nodes </w:t>
      </w:r>
      <w:r>
        <w:rPr>
          <w:sz w:val="23"/>
          <w:szCs w:val="23"/>
        </w:rPr>
        <w:t xml:space="preserve">employed by Newton et al. (2020) and the corresponding </w:t>
      </w:r>
      <w:r w:rsidRPr="00622DA7">
        <w:rPr>
          <w:sz w:val="23"/>
          <w:szCs w:val="23"/>
        </w:rPr>
        <w:t xml:space="preserve">sub-Nodes support the STEM assertions.  </w:t>
      </w:r>
      <w:r w:rsidR="006C7423" w:rsidRPr="00622DA7">
        <w:rPr>
          <w:sz w:val="23"/>
          <w:szCs w:val="23"/>
        </w:rPr>
        <w:t xml:space="preserve">In their review of the three immersion programs in Germany, </w:t>
      </w:r>
      <w:r w:rsidR="006C7423" w:rsidRPr="00622DA7">
        <w:rPr>
          <w:sz w:val="23"/>
          <w:szCs w:val="23"/>
        </w:rPr>
        <w:lastRenderedPageBreak/>
        <w:t>Honduras, and Tanzania, Newton et al. (2020) seek to illuminate ways to enhance pre-service teachers’ understanding of social justice.  The tools they assess within these immersion programs</w:t>
      </w:r>
      <w:r>
        <w:rPr>
          <w:sz w:val="23"/>
          <w:szCs w:val="23"/>
        </w:rPr>
        <w:t xml:space="preserve"> – context</w:t>
      </w:r>
      <w:r w:rsidR="006C7423" w:rsidRPr="00622DA7">
        <w:rPr>
          <w:sz w:val="23"/>
          <w:szCs w:val="23"/>
        </w:rPr>
        <w:t>, curriculum</w:t>
      </w:r>
      <w:r>
        <w:rPr>
          <w:sz w:val="23"/>
          <w:szCs w:val="23"/>
        </w:rPr>
        <w:t>,</w:t>
      </w:r>
      <w:r w:rsidR="006C7423" w:rsidRPr="00622DA7">
        <w:rPr>
          <w:sz w:val="23"/>
          <w:szCs w:val="23"/>
        </w:rPr>
        <w:t xml:space="preserve"> and co-curricular activities</w:t>
      </w:r>
      <w:r>
        <w:rPr>
          <w:sz w:val="23"/>
          <w:szCs w:val="23"/>
        </w:rPr>
        <w:t xml:space="preserve"> – are </w:t>
      </w:r>
      <w:r w:rsidR="006C7423" w:rsidRPr="00622DA7">
        <w:rPr>
          <w:sz w:val="23"/>
          <w:szCs w:val="23"/>
        </w:rPr>
        <w:t>vehicles that can generate transformative learning when they are combined with critical reflection.  A challenge is that these vehicles are not experienced equitably by participants; depending on that participant’s backgrounds, cultures, ideologies, biases, and personal experiences with justice, they will approach the context, the curriculum</w:t>
      </w:r>
      <w:r>
        <w:rPr>
          <w:sz w:val="23"/>
          <w:szCs w:val="23"/>
        </w:rPr>
        <w:t>,</w:t>
      </w:r>
      <w:r w:rsidR="006C7423" w:rsidRPr="00622DA7">
        <w:rPr>
          <w:sz w:val="23"/>
          <w:szCs w:val="23"/>
        </w:rPr>
        <w:t xml:space="preserve"> and co-curricular activities uniquely.  These differences, I argue, must be incorporated in the contextualization, design, and implementation of these components to ensure </w:t>
      </w:r>
      <w:proofErr w:type="spellStart"/>
      <w:r w:rsidR="006C7423" w:rsidRPr="00622DA7">
        <w:rPr>
          <w:sz w:val="23"/>
          <w:szCs w:val="23"/>
        </w:rPr>
        <w:t>Butin’s</w:t>
      </w:r>
      <w:proofErr w:type="spellEnd"/>
      <w:r w:rsidR="006C7423" w:rsidRPr="00622DA7">
        <w:rPr>
          <w:sz w:val="23"/>
          <w:szCs w:val="23"/>
        </w:rPr>
        <w:t xml:space="preserve"> (2007) justice learning – the theory and action of social justice and service learning – can po</w:t>
      </w:r>
      <w:r>
        <w:rPr>
          <w:sz w:val="23"/>
          <w:szCs w:val="23"/>
        </w:rPr>
        <w:t>tentially</w:t>
      </w:r>
      <w:r w:rsidR="006C7423" w:rsidRPr="00622DA7">
        <w:rPr>
          <w:sz w:val="23"/>
          <w:szCs w:val="23"/>
        </w:rPr>
        <w:t xml:space="preserve"> be realized for all</w:t>
      </w:r>
      <w:r>
        <w:rPr>
          <w:sz w:val="23"/>
          <w:szCs w:val="23"/>
        </w:rPr>
        <w:t xml:space="preserve"> participants</w:t>
      </w:r>
      <w:r w:rsidR="006C7423" w:rsidRPr="00622DA7">
        <w:rPr>
          <w:sz w:val="23"/>
          <w:szCs w:val="23"/>
        </w:rPr>
        <w:t>.</w:t>
      </w:r>
      <w:r>
        <w:rPr>
          <w:sz w:val="23"/>
          <w:szCs w:val="23"/>
        </w:rPr>
        <w:t xml:space="preserve">  Newton et al. (2020) and the Nodes and sub-Nodes seem to address the issue of equity tangentially at times, but this group of researchers, including Newton et al. (2020), do not yet have an answer to the question posed by our STEM: how </w:t>
      </w:r>
      <w:r w:rsidR="00CA51AB">
        <w:rPr>
          <w:sz w:val="23"/>
          <w:szCs w:val="23"/>
        </w:rPr>
        <w:t xml:space="preserve">can we support preservice teachers to </w:t>
      </w:r>
      <w:r>
        <w:rPr>
          <w:sz w:val="23"/>
          <w:szCs w:val="23"/>
        </w:rPr>
        <w:t>fully and holistically understand social justice</w:t>
      </w:r>
      <w:r w:rsidR="00CA51AB">
        <w:rPr>
          <w:sz w:val="23"/>
          <w:szCs w:val="23"/>
        </w:rPr>
        <w:t>, particularly</w:t>
      </w:r>
      <w:r>
        <w:rPr>
          <w:sz w:val="23"/>
          <w:szCs w:val="23"/>
        </w:rPr>
        <w:t xml:space="preserve"> in the context of education-based immersion programs, and further</w:t>
      </w:r>
      <w:r w:rsidR="00CA51AB">
        <w:rPr>
          <w:sz w:val="23"/>
          <w:szCs w:val="23"/>
        </w:rPr>
        <w:t>,</w:t>
      </w:r>
      <w:r>
        <w:rPr>
          <w:sz w:val="23"/>
          <w:szCs w:val="23"/>
        </w:rPr>
        <w:t xml:space="preserve"> </w:t>
      </w:r>
      <w:r w:rsidR="00CA51AB">
        <w:rPr>
          <w:sz w:val="23"/>
          <w:szCs w:val="23"/>
        </w:rPr>
        <w:t xml:space="preserve">how does that understanding turn to action? </w:t>
      </w:r>
    </w:p>
    <w:p w14:paraId="16E43111" w14:textId="641023A5" w:rsidR="006C7423" w:rsidRDefault="006C7423" w:rsidP="00165C83">
      <w:pPr>
        <w:autoSpaceDE w:val="0"/>
        <w:autoSpaceDN w:val="0"/>
        <w:adjustRightInd w:val="0"/>
        <w:rPr>
          <w:color w:val="000080"/>
        </w:rPr>
      </w:pPr>
    </w:p>
    <w:p w14:paraId="5A345917" w14:textId="254AB3A1" w:rsidR="006C7423" w:rsidRDefault="006C7423" w:rsidP="00165C83">
      <w:pPr>
        <w:autoSpaceDE w:val="0"/>
        <w:autoSpaceDN w:val="0"/>
        <w:adjustRightInd w:val="0"/>
        <w:rPr>
          <w:color w:val="000080"/>
        </w:rPr>
      </w:pPr>
    </w:p>
    <w:p w14:paraId="3DD9ED06" w14:textId="6C66C83B" w:rsidR="006C7423" w:rsidRDefault="006C7423" w:rsidP="00165C83">
      <w:pPr>
        <w:autoSpaceDE w:val="0"/>
        <w:autoSpaceDN w:val="0"/>
        <w:adjustRightInd w:val="0"/>
        <w:rPr>
          <w:color w:val="000080"/>
        </w:rPr>
      </w:pPr>
    </w:p>
    <w:p w14:paraId="3E1C8375" w14:textId="66EBFB70" w:rsidR="006C7423" w:rsidRDefault="006C7423" w:rsidP="00165C83">
      <w:pPr>
        <w:autoSpaceDE w:val="0"/>
        <w:autoSpaceDN w:val="0"/>
        <w:adjustRightInd w:val="0"/>
        <w:rPr>
          <w:color w:val="000080"/>
        </w:rPr>
      </w:pPr>
    </w:p>
    <w:p w14:paraId="0619F306" w14:textId="2C8CDFE8" w:rsidR="006C7423" w:rsidRDefault="006C7423" w:rsidP="00165C83">
      <w:pPr>
        <w:autoSpaceDE w:val="0"/>
        <w:autoSpaceDN w:val="0"/>
        <w:adjustRightInd w:val="0"/>
        <w:rPr>
          <w:color w:val="000080"/>
        </w:rPr>
      </w:pPr>
    </w:p>
    <w:p w14:paraId="33769FFF" w14:textId="68E4D5DF" w:rsidR="006C7423" w:rsidRDefault="006C7423" w:rsidP="00165C83">
      <w:pPr>
        <w:autoSpaceDE w:val="0"/>
        <w:autoSpaceDN w:val="0"/>
        <w:adjustRightInd w:val="0"/>
        <w:rPr>
          <w:color w:val="000080"/>
        </w:rPr>
      </w:pPr>
    </w:p>
    <w:p w14:paraId="2DEDBCDB" w14:textId="1472E62B" w:rsidR="006C7423" w:rsidRDefault="006C7423" w:rsidP="00165C83">
      <w:pPr>
        <w:autoSpaceDE w:val="0"/>
        <w:autoSpaceDN w:val="0"/>
        <w:adjustRightInd w:val="0"/>
        <w:rPr>
          <w:color w:val="000080"/>
        </w:rPr>
      </w:pPr>
    </w:p>
    <w:p w14:paraId="16F4B379" w14:textId="5289FF66" w:rsidR="006C7423" w:rsidRDefault="006C7423" w:rsidP="00165C83">
      <w:pPr>
        <w:autoSpaceDE w:val="0"/>
        <w:autoSpaceDN w:val="0"/>
        <w:adjustRightInd w:val="0"/>
        <w:rPr>
          <w:color w:val="000080"/>
        </w:rPr>
      </w:pPr>
    </w:p>
    <w:p w14:paraId="1317DB8D" w14:textId="154E6E7E" w:rsidR="006C7423" w:rsidRDefault="006C7423" w:rsidP="00165C83">
      <w:pPr>
        <w:autoSpaceDE w:val="0"/>
        <w:autoSpaceDN w:val="0"/>
        <w:adjustRightInd w:val="0"/>
        <w:rPr>
          <w:color w:val="000080"/>
        </w:rPr>
      </w:pPr>
    </w:p>
    <w:p w14:paraId="7CF18913" w14:textId="59248BAC" w:rsidR="006C7423" w:rsidRDefault="006C7423" w:rsidP="00165C83">
      <w:pPr>
        <w:autoSpaceDE w:val="0"/>
        <w:autoSpaceDN w:val="0"/>
        <w:adjustRightInd w:val="0"/>
        <w:rPr>
          <w:color w:val="000080"/>
        </w:rPr>
      </w:pPr>
    </w:p>
    <w:p w14:paraId="6A0F235E" w14:textId="61CCBDD7" w:rsidR="006C7423" w:rsidRDefault="006C7423" w:rsidP="00165C83">
      <w:pPr>
        <w:autoSpaceDE w:val="0"/>
        <w:autoSpaceDN w:val="0"/>
        <w:adjustRightInd w:val="0"/>
        <w:rPr>
          <w:color w:val="000080"/>
        </w:rPr>
      </w:pPr>
    </w:p>
    <w:p w14:paraId="069BC224" w14:textId="20739B2C" w:rsidR="006C7423" w:rsidRDefault="006C7423" w:rsidP="00165C83">
      <w:pPr>
        <w:autoSpaceDE w:val="0"/>
        <w:autoSpaceDN w:val="0"/>
        <w:adjustRightInd w:val="0"/>
        <w:rPr>
          <w:color w:val="000080"/>
        </w:rPr>
      </w:pPr>
    </w:p>
    <w:p w14:paraId="0E14B464" w14:textId="4B5905CB" w:rsidR="006C7423" w:rsidRDefault="006C7423" w:rsidP="00165C83">
      <w:pPr>
        <w:autoSpaceDE w:val="0"/>
        <w:autoSpaceDN w:val="0"/>
        <w:adjustRightInd w:val="0"/>
        <w:rPr>
          <w:color w:val="000080"/>
        </w:rPr>
      </w:pPr>
    </w:p>
    <w:p w14:paraId="31400FB1" w14:textId="01A6D611" w:rsidR="006C7423" w:rsidRDefault="006C7423" w:rsidP="00165C83">
      <w:pPr>
        <w:autoSpaceDE w:val="0"/>
        <w:autoSpaceDN w:val="0"/>
        <w:adjustRightInd w:val="0"/>
        <w:rPr>
          <w:color w:val="000080"/>
        </w:rPr>
      </w:pPr>
    </w:p>
    <w:p w14:paraId="786EF8B4" w14:textId="544809E0" w:rsidR="006C7423" w:rsidRDefault="006C7423" w:rsidP="00165C83">
      <w:pPr>
        <w:autoSpaceDE w:val="0"/>
        <w:autoSpaceDN w:val="0"/>
        <w:adjustRightInd w:val="0"/>
        <w:rPr>
          <w:color w:val="000080"/>
        </w:rPr>
      </w:pPr>
    </w:p>
    <w:p w14:paraId="6AAFBEBF" w14:textId="7335A68F" w:rsidR="006C7423" w:rsidRDefault="006C7423" w:rsidP="00165C83">
      <w:pPr>
        <w:autoSpaceDE w:val="0"/>
        <w:autoSpaceDN w:val="0"/>
        <w:adjustRightInd w:val="0"/>
        <w:rPr>
          <w:color w:val="000080"/>
        </w:rPr>
      </w:pPr>
    </w:p>
    <w:p w14:paraId="6C43C1D8" w14:textId="7E706C15" w:rsidR="006C7423" w:rsidRDefault="006C7423" w:rsidP="00165C83">
      <w:pPr>
        <w:autoSpaceDE w:val="0"/>
        <w:autoSpaceDN w:val="0"/>
        <w:adjustRightInd w:val="0"/>
        <w:rPr>
          <w:color w:val="000080"/>
        </w:rPr>
      </w:pPr>
    </w:p>
    <w:p w14:paraId="39EF6222" w14:textId="2F94799C" w:rsidR="006C7423" w:rsidRDefault="006C7423" w:rsidP="00165C83">
      <w:pPr>
        <w:autoSpaceDE w:val="0"/>
        <w:autoSpaceDN w:val="0"/>
        <w:adjustRightInd w:val="0"/>
        <w:rPr>
          <w:color w:val="000080"/>
        </w:rPr>
      </w:pPr>
    </w:p>
    <w:p w14:paraId="6E0A258B" w14:textId="164F3777" w:rsidR="006C7423" w:rsidRDefault="006C7423" w:rsidP="00165C83">
      <w:pPr>
        <w:autoSpaceDE w:val="0"/>
        <w:autoSpaceDN w:val="0"/>
        <w:adjustRightInd w:val="0"/>
        <w:rPr>
          <w:color w:val="000080"/>
        </w:rPr>
      </w:pPr>
    </w:p>
    <w:p w14:paraId="2313D0E9" w14:textId="4A4242F4" w:rsidR="006C7423" w:rsidRDefault="006C7423" w:rsidP="00165C83">
      <w:pPr>
        <w:autoSpaceDE w:val="0"/>
        <w:autoSpaceDN w:val="0"/>
        <w:adjustRightInd w:val="0"/>
        <w:rPr>
          <w:color w:val="000080"/>
        </w:rPr>
      </w:pPr>
    </w:p>
    <w:p w14:paraId="6B0F5FFB" w14:textId="742546EE" w:rsidR="006C7423" w:rsidRPr="006C7423" w:rsidRDefault="006C7423" w:rsidP="006C7423">
      <w:pPr>
        <w:autoSpaceDE w:val="0"/>
        <w:autoSpaceDN w:val="0"/>
        <w:adjustRightInd w:val="0"/>
        <w:jc w:val="center"/>
        <w:rPr>
          <w:b/>
          <w:bCs/>
          <w:color w:val="000000" w:themeColor="text1"/>
          <w:sz w:val="23"/>
          <w:szCs w:val="23"/>
        </w:rPr>
      </w:pPr>
      <w:r w:rsidRPr="006C7423">
        <w:rPr>
          <w:b/>
          <w:bCs/>
          <w:color w:val="000000" w:themeColor="text1"/>
          <w:sz w:val="23"/>
          <w:szCs w:val="23"/>
        </w:rPr>
        <w:lastRenderedPageBreak/>
        <w:t>References</w:t>
      </w:r>
    </w:p>
    <w:p w14:paraId="485D6F28" w14:textId="77777777" w:rsidR="006C7423" w:rsidRPr="006C7423" w:rsidRDefault="006C7423" w:rsidP="00165C83">
      <w:pPr>
        <w:autoSpaceDE w:val="0"/>
        <w:autoSpaceDN w:val="0"/>
        <w:adjustRightInd w:val="0"/>
        <w:rPr>
          <w:color w:val="000080"/>
          <w:sz w:val="23"/>
          <w:szCs w:val="23"/>
        </w:rPr>
      </w:pPr>
    </w:p>
    <w:p w14:paraId="1BECE476" w14:textId="77777777" w:rsidR="008F76F2" w:rsidRPr="006C7423" w:rsidRDefault="0053132C" w:rsidP="00165C83">
      <w:pPr>
        <w:autoSpaceDE w:val="0"/>
        <w:autoSpaceDN w:val="0"/>
        <w:adjustRightInd w:val="0"/>
        <w:rPr>
          <w:color w:val="000000" w:themeColor="text1"/>
          <w:sz w:val="23"/>
          <w:szCs w:val="23"/>
        </w:rPr>
      </w:pPr>
      <w:proofErr w:type="spellStart"/>
      <w:r w:rsidRPr="006C7423">
        <w:rPr>
          <w:color w:val="000000" w:themeColor="text1"/>
          <w:sz w:val="23"/>
          <w:szCs w:val="23"/>
        </w:rPr>
        <w:t>Bringle</w:t>
      </w:r>
      <w:proofErr w:type="spellEnd"/>
      <w:r w:rsidRPr="006C7423">
        <w:rPr>
          <w:color w:val="000000" w:themeColor="text1"/>
          <w:sz w:val="23"/>
          <w:szCs w:val="23"/>
        </w:rPr>
        <w:t xml:space="preserve">, R. &amp; Hatcher, J. (2009). Innovative practices in service learning and curricular </w:t>
      </w:r>
    </w:p>
    <w:p w14:paraId="3F71962D" w14:textId="6F58C4FD" w:rsidR="006C7423" w:rsidRPr="006C7423" w:rsidRDefault="0053132C" w:rsidP="006C7423">
      <w:pPr>
        <w:ind w:left="720"/>
        <w:rPr>
          <w:sz w:val="23"/>
          <w:szCs w:val="23"/>
        </w:rPr>
      </w:pPr>
      <w:r w:rsidRPr="006C7423">
        <w:rPr>
          <w:color w:val="000000" w:themeColor="text1"/>
          <w:sz w:val="23"/>
          <w:szCs w:val="23"/>
        </w:rPr>
        <w:t xml:space="preserve">engagement. In L. </w:t>
      </w:r>
      <w:proofErr w:type="spellStart"/>
      <w:r w:rsidRPr="006C7423">
        <w:rPr>
          <w:color w:val="000000" w:themeColor="text1"/>
          <w:sz w:val="23"/>
          <w:szCs w:val="23"/>
        </w:rPr>
        <w:t>Sandmann</w:t>
      </w:r>
      <w:proofErr w:type="spellEnd"/>
      <w:r w:rsidRPr="006C7423">
        <w:rPr>
          <w:color w:val="000000" w:themeColor="text1"/>
          <w:sz w:val="23"/>
          <w:szCs w:val="23"/>
        </w:rPr>
        <w:t xml:space="preserve">, A. Jaeger, &amp; C. Thornton (Eds). </w:t>
      </w:r>
      <w:r w:rsidRPr="006C7423">
        <w:rPr>
          <w:i/>
          <w:iCs/>
          <w:color w:val="000000" w:themeColor="text1"/>
          <w:sz w:val="23"/>
          <w:szCs w:val="23"/>
        </w:rPr>
        <w:t>New Directions in Community Engagement</w:t>
      </w:r>
      <w:r w:rsidRPr="006C7423">
        <w:rPr>
          <w:color w:val="000000" w:themeColor="text1"/>
          <w:sz w:val="23"/>
          <w:szCs w:val="23"/>
        </w:rPr>
        <w:t>. San Francisco: Jossey-Bass.  37-46.</w:t>
      </w:r>
      <w:r w:rsidR="006C7423" w:rsidRPr="006C7423">
        <w:rPr>
          <w:color w:val="000000" w:themeColor="text1"/>
          <w:sz w:val="23"/>
          <w:szCs w:val="23"/>
        </w:rPr>
        <w:t xml:space="preserve">  </w:t>
      </w:r>
      <w:r w:rsidR="006C7423" w:rsidRPr="006C7423">
        <w:rPr>
          <w:sz w:val="23"/>
          <w:szCs w:val="23"/>
        </w:rPr>
        <w:t>https://doi.org/10.1002/he.356</w:t>
      </w:r>
    </w:p>
    <w:p w14:paraId="43E3A289" w14:textId="77777777" w:rsidR="0053132C" w:rsidRPr="006C7423" w:rsidRDefault="0053132C" w:rsidP="00165C83">
      <w:pPr>
        <w:autoSpaceDE w:val="0"/>
        <w:autoSpaceDN w:val="0"/>
        <w:adjustRightInd w:val="0"/>
        <w:rPr>
          <w:color w:val="000080"/>
          <w:sz w:val="23"/>
          <w:szCs w:val="23"/>
        </w:rPr>
      </w:pPr>
    </w:p>
    <w:p w14:paraId="4C23BD9E" w14:textId="77777777" w:rsidR="009934C0" w:rsidRPr="006C7423" w:rsidRDefault="009934C0" w:rsidP="009934C0">
      <w:pPr>
        <w:rPr>
          <w:i/>
          <w:iCs/>
          <w:sz w:val="23"/>
          <w:szCs w:val="23"/>
        </w:rPr>
      </w:pPr>
      <w:proofErr w:type="spellStart"/>
      <w:r w:rsidRPr="006C7423">
        <w:rPr>
          <w:sz w:val="23"/>
          <w:szCs w:val="23"/>
        </w:rPr>
        <w:t>Butin</w:t>
      </w:r>
      <w:proofErr w:type="spellEnd"/>
      <w:r w:rsidRPr="006C7423">
        <w:rPr>
          <w:sz w:val="23"/>
          <w:szCs w:val="23"/>
        </w:rPr>
        <w:t xml:space="preserve">, D. (2007). Justice-Learning: Service-Learning as Justice-Oriented Education. </w:t>
      </w:r>
      <w:r w:rsidRPr="006C7423">
        <w:rPr>
          <w:i/>
          <w:iCs/>
          <w:sz w:val="23"/>
          <w:szCs w:val="23"/>
        </w:rPr>
        <w:t xml:space="preserve">Equity &amp; </w:t>
      </w:r>
    </w:p>
    <w:p w14:paraId="122E33FD" w14:textId="77777777" w:rsidR="009934C0" w:rsidRPr="006C7423" w:rsidRDefault="009934C0" w:rsidP="009934C0">
      <w:pPr>
        <w:ind w:firstLine="720"/>
        <w:rPr>
          <w:sz w:val="23"/>
          <w:szCs w:val="23"/>
        </w:rPr>
      </w:pPr>
      <w:r w:rsidRPr="006C7423">
        <w:rPr>
          <w:i/>
          <w:iCs/>
          <w:sz w:val="23"/>
          <w:szCs w:val="23"/>
        </w:rPr>
        <w:t>Excellence in Education</w:t>
      </w:r>
      <w:r w:rsidRPr="006C7423">
        <w:rPr>
          <w:sz w:val="23"/>
          <w:szCs w:val="23"/>
        </w:rPr>
        <w:t xml:space="preserve">. </w:t>
      </w:r>
      <w:r w:rsidRPr="006C7423">
        <w:rPr>
          <w:i/>
          <w:iCs/>
          <w:sz w:val="23"/>
          <w:szCs w:val="23"/>
        </w:rPr>
        <w:t>40</w:t>
      </w:r>
      <w:r w:rsidRPr="006C7423">
        <w:rPr>
          <w:sz w:val="23"/>
          <w:szCs w:val="23"/>
        </w:rPr>
        <w:t xml:space="preserve">(2), 177–183. </w:t>
      </w:r>
      <w:hyperlink r:id="rId7" w:history="1">
        <w:r w:rsidRPr="006C7423">
          <w:rPr>
            <w:rStyle w:val="Hyperlink"/>
            <w:sz w:val="23"/>
            <w:szCs w:val="23"/>
          </w:rPr>
          <w:t>https://doi.org/10.1080/10665680701246492</w:t>
        </w:r>
      </w:hyperlink>
    </w:p>
    <w:p w14:paraId="118D1F5E" w14:textId="77777777" w:rsidR="009934C0" w:rsidRPr="006C7423" w:rsidRDefault="009934C0" w:rsidP="009934C0">
      <w:pPr>
        <w:rPr>
          <w:sz w:val="23"/>
          <w:szCs w:val="23"/>
        </w:rPr>
      </w:pPr>
    </w:p>
    <w:p w14:paraId="38623AD5" w14:textId="77777777" w:rsidR="006C7423" w:rsidRPr="006C7423" w:rsidRDefault="006C7423" w:rsidP="006C7423">
      <w:pPr>
        <w:autoSpaceDE w:val="0"/>
        <w:autoSpaceDN w:val="0"/>
        <w:adjustRightInd w:val="0"/>
        <w:rPr>
          <w:color w:val="000000"/>
          <w:sz w:val="23"/>
          <w:szCs w:val="23"/>
        </w:rPr>
      </w:pPr>
      <w:r w:rsidRPr="006C7423">
        <w:rPr>
          <w:color w:val="000000"/>
          <w:sz w:val="23"/>
          <w:szCs w:val="23"/>
        </w:rPr>
        <w:t xml:space="preserve">Cannon, E., &amp; Heider, </w:t>
      </w:r>
      <w:r w:rsidRPr="006C7423">
        <w:rPr>
          <w:color w:val="000000" w:themeColor="text1"/>
          <w:sz w:val="23"/>
          <w:szCs w:val="23"/>
        </w:rPr>
        <w:t xml:space="preserve">C. (2012). </w:t>
      </w:r>
      <w:r w:rsidRPr="006C7423">
        <w:rPr>
          <w:color w:val="000000"/>
          <w:sz w:val="23"/>
          <w:szCs w:val="23"/>
        </w:rPr>
        <w:t xml:space="preserve">A study abroad program in Tanzania: The evolution of </w:t>
      </w:r>
    </w:p>
    <w:p w14:paraId="2B77C5B0" w14:textId="77777777" w:rsidR="006C7423" w:rsidRPr="006C7423" w:rsidRDefault="006C7423" w:rsidP="006C7423">
      <w:pPr>
        <w:autoSpaceDE w:val="0"/>
        <w:autoSpaceDN w:val="0"/>
        <w:adjustRightInd w:val="0"/>
        <w:ind w:left="720"/>
        <w:rPr>
          <w:color w:val="000000"/>
          <w:sz w:val="23"/>
          <w:szCs w:val="23"/>
        </w:rPr>
      </w:pPr>
      <w:r w:rsidRPr="006C7423">
        <w:rPr>
          <w:color w:val="000000"/>
          <w:sz w:val="23"/>
          <w:szCs w:val="23"/>
        </w:rPr>
        <w:t xml:space="preserve">social justice action work. </w:t>
      </w:r>
      <w:r w:rsidRPr="006C7423">
        <w:rPr>
          <w:i/>
          <w:iCs/>
          <w:color w:val="000000"/>
          <w:sz w:val="23"/>
          <w:szCs w:val="23"/>
        </w:rPr>
        <w:t>Humboldt Journal of Social Relations</w:t>
      </w:r>
      <w:r w:rsidRPr="006C7423">
        <w:rPr>
          <w:color w:val="000000"/>
          <w:sz w:val="23"/>
          <w:szCs w:val="23"/>
        </w:rPr>
        <w:t>. 34, 61–84. https://www.jstor.org/stable/humjsocrel.34.61</w:t>
      </w:r>
    </w:p>
    <w:p w14:paraId="75E0B4A1" w14:textId="77777777" w:rsidR="006C7423" w:rsidRPr="006C7423" w:rsidRDefault="006C7423" w:rsidP="008F76F2">
      <w:pPr>
        <w:rPr>
          <w:sz w:val="23"/>
          <w:szCs w:val="23"/>
        </w:rPr>
      </w:pPr>
    </w:p>
    <w:p w14:paraId="379131D3" w14:textId="77777777" w:rsidR="006C7423" w:rsidRPr="006C7423" w:rsidRDefault="006C7423" w:rsidP="006C7423">
      <w:pPr>
        <w:autoSpaceDE w:val="0"/>
        <w:autoSpaceDN w:val="0"/>
        <w:adjustRightInd w:val="0"/>
        <w:rPr>
          <w:color w:val="000000" w:themeColor="text1"/>
          <w:sz w:val="23"/>
          <w:szCs w:val="23"/>
        </w:rPr>
      </w:pPr>
      <w:r w:rsidRPr="006C7423">
        <w:rPr>
          <w:color w:val="000000"/>
          <w:sz w:val="23"/>
          <w:szCs w:val="23"/>
        </w:rPr>
        <w:t xml:space="preserve">Enriquez-Gibson, J., &amp; </w:t>
      </w:r>
      <w:r w:rsidRPr="006C7423">
        <w:rPr>
          <w:color w:val="000000" w:themeColor="text1"/>
          <w:sz w:val="23"/>
          <w:szCs w:val="23"/>
        </w:rPr>
        <w:t>Gibson, I. (2015). (Un)becoming tourist-teachers: Unveiling white racial</w:t>
      </w:r>
    </w:p>
    <w:p w14:paraId="58312DAA" w14:textId="77777777" w:rsidR="006C7423" w:rsidRPr="006C7423" w:rsidRDefault="006C7423" w:rsidP="006C7423">
      <w:pPr>
        <w:autoSpaceDE w:val="0"/>
        <w:autoSpaceDN w:val="0"/>
        <w:adjustRightInd w:val="0"/>
        <w:ind w:firstLine="720"/>
        <w:rPr>
          <w:i/>
          <w:iCs/>
          <w:color w:val="000000" w:themeColor="text1"/>
          <w:sz w:val="23"/>
          <w:szCs w:val="23"/>
        </w:rPr>
      </w:pPr>
      <w:r w:rsidRPr="006C7423">
        <w:rPr>
          <w:color w:val="000000" w:themeColor="text1"/>
          <w:sz w:val="23"/>
          <w:szCs w:val="23"/>
        </w:rPr>
        <w:t xml:space="preserve">identity in cross-cultural teaching </w:t>
      </w:r>
      <w:proofErr w:type="spellStart"/>
      <w:r w:rsidRPr="006C7423">
        <w:rPr>
          <w:color w:val="000000" w:themeColor="text1"/>
          <w:sz w:val="23"/>
          <w:szCs w:val="23"/>
        </w:rPr>
        <w:t>programmes</w:t>
      </w:r>
      <w:proofErr w:type="spellEnd"/>
      <w:r w:rsidRPr="006C7423">
        <w:rPr>
          <w:color w:val="000000" w:themeColor="text1"/>
          <w:sz w:val="23"/>
          <w:szCs w:val="23"/>
        </w:rPr>
        <w:t xml:space="preserve">. </w:t>
      </w:r>
      <w:r w:rsidRPr="006C7423">
        <w:rPr>
          <w:i/>
          <w:iCs/>
          <w:color w:val="000000" w:themeColor="text1"/>
          <w:sz w:val="23"/>
          <w:szCs w:val="23"/>
        </w:rPr>
        <w:t xml:space="preserve">International Journal of Pedagogies and </w:t>
      </w:r>
    </w:p>
    <w:p w14:paraId="71B1AD91" w14:textId="2123F047" w:rsidR="006C7423" w:rsidRPr="006C7423" w:rsidRDefault="006C7423" w:rsidP="006C7423">
      <w:pPr>
        <w:autoSpaceDE w:val="0"/>
        <w:autoSpaceDN w:val="0"/>
        <w:adjustRightInd w:val="0"/>
        <w:ind w:firstLine="720"/>
        <w:rPr>
          <w:color w:val="000000" w:themeColor="text1"/>
          <w:sz w:val="23"/>
          <w:szCs w:val="23"/>
        </w:rPr>
      </w:pPr>
      <w:r w:rsidRPr="006C7423">
        <w:rPr>
          <w:i/>
          <w:iCs/>
          <w:color w:val="000000" w:themeColor="text1"/>
          <w:sz w:val="23"/>
          <w:szCs w:val="23"/>
        </w:rPr>
        <w:t>Learning</w:t>
      </w:r>
      <w:r w:rsidRPr="006C7423">
        <w:rPr>
          <w:color w:val="000000" w:themeColor="text1"/>
          <w:sz w:val="23"/>
          <w:szCs w:val="23"/>
        </w:rPr>
        <w:t xml:space="preserve">. 10(2), 107–120. </w:t>
      </w:r>
      <w:r w:rsidRPr="006C7423">
        <w:rPr>
          <w:color w:val="000000" w:themeColor="text1"/>
          <w:sz w:val="23"/>
          <w:szCs w:val="23"/>
        </w:rPr>
        <w:t>https://doi.org/</w:t>
      </w:r>
      <w:r w:rsidRPr="006C7423">
        <w:rPr>
          <w:color w:val="000000" w:themeColor="text1"/>
          <w:sz w:val="23"/>
          <w:szCs w:val="23"/>
        </w:rPr>
        <w:t>10.1080/22040552.2015.1113845</w:t>
      </w:r>
    </w:p>
    <w:p w14:paraId="78CAD799" w14:textId="77777777" w:rsidR="008F76F2" w:rsidRPr="006C7423" w:rsidRDefault="008F76F2" w:rsidP="009934C0">
      <w:pPr>
        <w:rPr>
          <w:sz w:val="23"/>
          <w:szCs w:val="23"/>
        </w:rPr>
      </w:pPr>
    </w:p>
    <w:p w14:paraId="1EFC11F9" w14:textId="77777777" w:rsidR="008F76F2" w:rsidRPr="006C7423" w:rsidRDefault="0053132C" w:rsidP="0053132C">
      <w:pPr>
        <w:rPr>
          <w:sz w:val="23"/>
          <w:szCs w:val="23"/>
        </w:rPr>
      </w:pPr>
      <w:proofErr w:type="spellStart"/>
      <w:r w:rsidRPr="006C7423">
        <w:rPr>
          <w:sz w:val="23"/>
          <w:szCs w:val="23"/>
        </w:rPr>
        <w:t>Keengwe</w:t>
      </w:r>
      <w:proofErr w:type="spellEnd"/>
      <w:r w:rsidRPr="006C7423">
        <w:rPr>
          <w:sz w:val="23"/>
          <w:szCs w:val="23"/>
        </w:rPr>
        <w:t xml:space="preserve">, J. (2010).  Fostering cross cultural competence in preservice teachers through </w:t>
      </w:r>
    </w:p>
    <w:p w14:paraId="07F89B8B" w14:textId="77777777" w:rsidR="006C7423" w:rsidRPr="006C7423" w:rsidRDefault="0053132C" w:rsidP="006C7423">
      <w:pPr>
        <w:ind w:left="720"/>
        <w:rPr>
          <w:sz w:val="23"/>
          <w:szCs w:val="23"/>
        </w:rPr>
      </w:pPr>
      <w:r w:rsidRPr="006C7423">
        <w:rPr>
          <w:sz w:val="23"/>
          <w:szCs w:val="23"/>
        </w:rPr>
        <w:t xml:space="preserve">multicultural education experiences. </w:t>
      </w:r>
      <w:r w:rsidRPr="006C7423">
        <w:rPr>
          <w:i/>
          <w:iCs/>
          <w:sz w:val="23"/>
          <w:szCs w:val="23"/>
        </w:rPr>
        <w:t>Early Childhood Education Journal</w:t>
      </w:r>
      <w:r w:rsidRPr="006C7423">
        <w:rPr>
          <w:sz w:val="23"/>
          <w:szCs w:val="23"/>
        </w:rPr>
        <w:t>. 38(3), 197-220.</w:t>
      </w:r>
      <w:r w:rsidR="006C7423" w:rsidRPr="006C7423">
        <w:rPr>
          <w:sz w:val="23"/>
          <w:szCs w:val="23"/>
        </w:rPr>
        <w:t xml:space="preserve"> </w:t>
      </w:r>
      <w:r w:rsidR="006C7423" w:rsidRPr="006C7423">
        <w:rPr>
          <w:sz w:val="23"/>
          <w:szCs w:val="23"/>
        </w:rPr>
        <w:t>https://doi.org/10.1007/s10643-010-0401-5</w:t>
      </w:r>
    </w:p>
    <w:p w14:paraId="49BD46BA" w14:textId="7D4F1978" w:rsidR="00BD24BD" w:rsidRPr="006C7423" w:rsidRDefault="00BD24BD" w:rsidP="006C7423">
      <w:pPr>
        <w:rPr>
          <w:sz w:val="23"/>
          <w:szCs w:val="23"/>
        </w:rPr>
      </w:pPr>
    </w:p>
    <w:p w14:paraId="5AD30A4B" w14:textId="77777777" w:rsidR="008F76F2" w:rsidRPr="006C7423" w:rsidRDefault="00BD24BD" w:rsidP="00BD24BD">
      <w:pPr>
        <w:rPr>
          <w:color w:val="000000" w:themeColor="text1"/>
          <w:sz w:val="23"/>
          <w:szCs w:val="23"/>
        </w:rPr>
      </w:pPr>
      <w:r w:rsidRPr="006C7423">
        <w:rPr>
          <w:sz w:val="23"/>
          <w:szCs w:val="23"/>
        </w:rPr>
        <w:t xml:space="preserve">Lowenstein. (2009). The </w:t>
      </w:r>
      <w:r w:rsidRPr="006C7423">
        <w:rPr>
          <w:color w:val="000000" w:themeColor="text1"/>
          <w:sz w:val="23"/>
          <w:szCs w:val="23"/>
        </w:rPr>
        <w:t xml:space="preserve">Work of Multicultural Teacher Education: Reconceptualizing White </w:t>
      </w:r>
    </w:p>
    <w:p w14:paraId="26E3B196" w14:textId="71E489D5" w:rsidR="00BD24BD" w:rsidRPr="006C7423" w:rsidRDefault="00BD24BD" w:rsidP="008F76F2">
      <w:pPr>
        <w:ind w:left="720"/>
        <w:rPr>
          <w:color w:val="000000" w:themeColor="text1"/>
          <w:sz w:val="23"/>
          <w:szCs w:val="23"/>
        </w:rPr>
      </w:pPr>
      <w:r w:rsidRPr="006C7423">
        <w:rPr>
          <w:color w:val="000000" w:themeColor="text1"/>
          <w:sz w:val="23"/>
          <w:szCs w:val="23"/>
        </w:rPr>
        <w:t xml:space="preserve">Teacher Candidates as Learners. </w:t>
      </w:r>
      <w:r w:rsidRPr="006C7423">
        <w:rPr>
          <w:i/>
          <w:iCs/>
          <w:color w:val="000000" w:themeColor="text1"/>
          <w:sz w:val="23"/>
          <w:szCs w:val="23"/>
        </w:rPr>
        <w:t>Review of Educational Research</w:t>
      </w:r>
      <w:r w:rsidR="008F76F2" w:rsidRPr="006C7423">
        <w:rPr>
          <w:color w:val="000000" w:themeColor="text1"/>
          <w:sz w:val="23"/>
          <w:szCs w:val="23"/>
        </w:rPr>
        <w:t>.</w:t>
      </w:r>
      <w:r w:rsidRPr="006C7423">
        <w:rPr>
          <w:color w:val="000000" w:themeColor="text1"/>
          <w:sz w:val="23"/>
          <w:szCs w:val="23"/>
        </w:rPr>
        <w:t xml:space="preserve"> </w:t>
      </w:r>
      <w:r w:rsidRPr="006C7423">
        <w:rPr>
          <w:i/>
          <w:iCs/>
          <w:color w:val="000000" w:themeColor="text1"/>
          <w:sz w:val="23"/>
          <w:szCs w:val="23"/>
        </w:rPr>
        <w:t>79</w:t>
      </w:r>
      <w:r w:rsidRPr="006C7423">
        <w:rPr>
          <w:color w:val="000000" w:themeColor="text1"/>
          <w:sz w:val="23"/>
          <w:szCs w:val="23"/>
        </w:rPr>
        <w:t>(1), 163–196.</w:t>
      </w:r>
      <w:r w:rsidR="00951CF9" w:rsidRPr="006C7423">
        <w:rPr>
          <w:color w:val="000000" w:themeColor="text1"/>
          <w:sz w:val="23"/>
          <w:szCs w:val="23"/>
        </w:rPr>
        <w:t xml:space="preserve">  </w:t>
      </w:r>
      <w:r w:rsidR="006C7423" w:rsidRPr="006C7423">
        <w:rPr>
          <w:color w:val="000000" w:themeColor="text1"/>
          <w:sz w:val="23"/>
          <w:szCs w:val="23"/>
        </w:rPr>
        <w:t>https://doi.org/</w:t>
      </w:r>
      <w:r w:rsidR="00951CF9" w:rsidRPr="006C7423">
        <w:rPr>
          <w:color w:val="000000" w:themeColor="text1"/>
          <w:sz w:val="23"/>
          <w:szCs w:val="23"/>
        </w:rPr>
        <w:t>10.3102/0034654308326161.</w:t>
      </w:r>
    </w:p>
    <w:p w14:paraId="61F7A3CE" w14:textId="3EE44AA5" w:rsidR="00BD24BD" w:rsidRPr="006C7423" w:rsidRDefault="00BD24BD" w:rsidP="00BD24BD">
      <w:pPr>
        <w:rPr>
          <w:color w:val="000000" w:themeColor="text1"/>
          <w:sz w:val="23"/>
          <w:szCs w:val="23"/>
        </w:rPr>
      </w:pPr>
    </w:p>
    <w:p w14:paraId="0AD47B8D" w14:textId="77777777" w:rsidR="006C7423" w:rsidRPr="006C7423" w:rsidRDefault="006C7423" w:rsidP="006C7423">
      <w:pPr>
        <w:rPr>
          <w:sz w:val="23"/>
          <w:szCs w:val="23"/>
        </w:rPr>
      </w:pPr>
      <w:r w:rsidRPr="006C7423">
        <w:rPr>
          <w:sz w:val="23"/>
          <w:szCs w:val="23"/>
        </w:rPr>
        <w:t xml:space="preserve">Newton, J., </w:t>
      </w:r>
      <w:proofErr w:type="spellStart"/>
      <w:r w:rsidRPr="006C7423">
        <w:rPr>
          <w:sz w:val="23"/>
          <w:szCs w:val="23"/>
        </w:rPr>
        <w:t>Oudghiri</w:t>
      </w:r>
      <w:proofErr w:type="spellEnd"/>
      <w:r w:rsidRPr="006C7423">
        <w:rPr>
          <w:sz w:val="23"/>
          <w:szCs w:val="23"/>
        </w:rPr>
        <w:t xml:space="preserve">, S., </w:t>
      </w:r>
      <w:proofErr w:type="spellStart"/>
      <w:r w:rsidRPr="006C7423">
        <w:rPr>
          <w:sz w:val="23"/>
          <w:szCs w:val="23"/>
        </w:rPr>
        <w:t>Obenchain</w:t>
      </w:r>
      <w:proofErr w:type="spellEnd"/>
      <w:r w:rsidRPr="006C7423">
        <w:rPr>
          <w:sz w:val="23"/>
          <w:szCs w:val="23"/>
        </w:rPr>
        <w:t xml:space="preserve">, K. &amp; </w:t>
      </w:r>
      <w:proofErr w:type="spellStart"/>
      <w:r w:rsidRPr="006C7423">
        <w:rPr>
          <w:sz w:val="23"/>
          <w:szCs w:val="23"/>
        </w:rPr>
        <w:t>Phillion</w:t>
      </w:r>
      <w:proofErr w:type="spellEnd"/>
      <w:r w:rsidRPr="006C7423">
        <w:rPr>
          <w:sz w:val="23"/>
          <w:szCs w:val="23"/>
        </w:rPr>
        <w:t xml:space="preserve">, J. (2020). Preservice teachers’ </w:t>
      </w:r>
    </w:p>
    <w:p w14:paraId="14948D84" w14:textId="376CC545" w:rsidR="006C7423" w:rsidRPr="006C7423" w:rsidRDefault="006C7423" w:rsidP="006C7423">
      <w:pPr>
        <w:ind w:left="720"/>
        <w:rPr>
          <w:sz w:val="23"/>
          <w:szCs w:val="23"/>
        </w:rPr>
      </w:pPr>
      <w:r w:rsidRPr="006C7423">
        <w:rPr>
          <w:sz w:val="23"/>
          <w:szCs w:val="23"/>
        </w:rPr>
        <w:t xml:space="preserve">understandings of social justice within the context of study abroad programs. </w:t>
      </w:r>
      <w:r w:rsidRPr="006C7423">
        <w:rPr>
          <w:i/>
          <w:iCs/>
          <w:sz w:val="23"/>
          <w:szCs w:val="23"/>
        </w:rPr>
        <w:t>Theory into Practice</w:t>
      </w:r>
      <w:r w:rsidRPr="006C7423">
        <w:rPr>
          <w:sz w:val="23"/>
          <w:szCs w:val="23"/>
        </w:rPr>
        <w:t xml:space="preserve">. 59(3), 259-268.  </w:t>
      </w:r>
      <w:r w:rsidRPr="006C7423">
        <w:rPr>
          <w:sz w:val="23"/>
          <w:szCs w:val="23"/>
        </w:rPr>
        <w:t>https://doi.org/</w:t>
      </w:r>
      <w:r w:rsidRPr="006C7423">
        <w:rPr>
          <w:sz w:val="23"/>
          <w:szCs w:val="23"/>
        </w:rPr>
        <w:t>10.1080/00405841.2020.1739956</w:t>
      </w:r>
    </w:p>
    <w:p w14:paraId="170DE345" w14:textId="77777777" w:rsidR="006C7423" w:rsidRPr="006C7423" w:rsidRDefault="006C7423" w:rsidP="00BD24BD">
      <w:pPr>
        <w:rPr>
          <w:color w:val="000000" w:themeColor="text1"/>
          <w:sz w:val="23"/>
          <w:szCs w:val="23"/>
        </w:rPr>
      </w:pPr>
    </w:p>
    <w:p w14:paraId="0AC317CC" w14:textId="50D6D3F9" w:rsidR="00951CF9" w:rsidRPr="006C7423" w:rsidRDefault="00BD24BD" w:rsidP="00BD24BD">
      <w:pPr>
        <w:rPr>
          <w:i/>
          <w:iCs/>
          <w:sz w:val="23"/>
          <w:szCs w:val="23"/>
        </w:rPr>
      </w:pPr>
      <w:r w:rsidRPr="006C7423">
        <w:rPr>
          <w:sz w:val="23"/>
          <w:szCs w:val="23"/>
        </w:rPr>
        <w:t>Noy</w:t>
      </w:r>
      <w:r w:rsidR="006C7423" w:rsidRPr="006C7423">
        <w:rPr>
          <w:sz w:val="23"/>
          <w:szCs w:val="23"/>
        </w:rPr>
        <w:t>, C.</w:t>
      </w:r>
      <w:r w:rsidRPr="006C7423">
        <w:rPr>
          <w:sz w:val="23"/>
          <w:szCs w:val="23"/>
        </w:rPr>
        <w:t xml:space="preserve"> (2004). Performing identity: Touristic narratives of self-change. </w:t>
      </w:r>
      <w:r w:rsidRPr="006C7423">
        <w:rPr>
          <w:i/>
          <w:iCs/>
          <w:sz w:val="23"/>
          <w:szCs w:val="23"/>
        </w:rPr>
        <w:t xml:space="preserve">Text and Performance </w:t>
      </w:r>
    </w:p>
    <w:p w14:paraId="07675755" w14:textId="3D029F50" w:rsidR="00BD24BD" w:rsidRPr="006C7423" w:rsidRDefault="00BD24BD" w:rsidP="00951CF9">
      <w:pPr>
        <w:ind w:firstLine="720"/>
        <w:rPr>
          <w:sz w:val="23"/>
          <w:szCs w:val="23"/>
        </w:rPr>
      </w:pPr>
      <w:r w:rsidRPr="006C7423">
        <w:rPr>
          <w:i/>
          <w:iCs/>
          <w:sz w:val="23"/>
          <w:szCs w:val="23"/>
        </w:rPr>
        <w:t>Quarterly</w:t>
      </w:r>
      <w:r w:rsidR="00951CF9" w:rsidRPr="006C7423">
        <w:rPr>
          <w:sz w:val="23"/>
          <w:szCs w:val="23"/>
        </w:rPr>
        <w:t>.</w:t>
      </w:r>
      <w:r w:rsidRPr="006C7423">
        <w:rPr>
          <w:sz w:val="23"/>
          <w:szCs w:val="23"/>
        </w:rPr>
        <w:t xml:space="preserve"> 24(2), 115–138. </w:t>
      </w:r>
      <w:r w:rsidR="006C7423" w:rsidRPr="006C7423">
        <w:rPr>
          <w:sz w:val="23"/>
          <w:szCs w:val="23"/>
        </w:rPr>
        <w:t>https://doi.org/</w:t>
      </w:r>
      <w:r w:rsidRPr="006C7423">
        <w:rPr>
          <w:sz w:val="23"/>
          <w:szCs w:val="23"/>
        </w:rPr>
        <w:t>10.1080/1046293042000288353</w:t>
      </w:r>
    </w:p>
    <w:p w14:paraId="51AFB69D" w14:textId="0B9DD87F" w:rsidR="00BD24BD" w:rsidRPr="006C7423" w:rsidRDefault="00BD24BD" w:rsidP="00BD24BD">
      <w:pPr>
        <w:rPr>
          <w:sz w:val="23"/>
          <w:szCs w:val="23"/>
        </w:rPr>
      </w:pPr>
    </w:p>
    <w:p w14:paraId="0983B4B4" w14:textId="77777777" w:rsidR="00951CF9" w:rsidRPr="006C7423" w:rsidRDefault="0053132C" w:rsidP="00BD24BD">
      <w:pPr>
        <w:rPr>
          <w:sz w:val="23"/>
          <w:szCs w:val="23"/>
        </w:rPr>
      </w:pPr>
      <w:r w:rsidRPr="006C7423">
        <w:rPr>
          <w:sz w:val="23"/>
          <w:szCs w:val="23"/>
        </w:rPr>
        <w:t xml:space="preserve">Quezada, R. L. (2004).  Beyond educational tourism: Lessons learned while student teaching </w:t>
      </w:r>
    </w:p>
    <w:p w14:paraId="418725D3" w14:textId="3D45004C" w:rsidR="009E0F17" w:rsidRPr="006C7423" w:rsidRDefault="0053132C" w:rsidP="00951CF9">
      <w:pPr>
        <w:ind w:firstLine="720"/>
        <w:rPr>
          <w:sz w:val="23"/>
          <w:szCs w:val="23"/>
        </w:rPr>
      </w:pPr>
      <w:r w:rsidRPr="006C7423">
        <w:rPr>
          <w:sz w:val="23"/>
          <w:szCs w:val="23"/>
        </w:rPr>
        <w:t xml:space="preserve">abroad.  </w:t>
      </w:r>
      <w:r w:rsidRPr="006C7423">
        <w:rPr>
          <w:i/>
          <w:iCs/>
          <w:sz w:val="23"/>
          <w:szCs w:val="23"/>
        </w:rPr>
        <w:t>International Education Journal</w:t>
      </w:r>
      <w:r w:rsidRPr="006C7423">
        <w:rPr>
          <w:sz w:val="23"/>
          <w:szCs w:val="23"/>
        </w:rPr>
        <w:t>. 5. 458-465.</w:t>
      </w:r>
      <w:r w:rsidR="006C7423" w:rsidRPr="006C7423">
        <w:rPr>
          <w:sz w:val="23"/>
          <w:szCs w:val="23"/>
        </w:rPr>
        <w:t xml:space="preserve">  </w:t>
      </w:r>
      <w:r w:rsidR="006C7423" w:rsidRPr="006C7423">
        <w:rPr>
          <w:sz w:val="23"/>
          <w:szCs w:val="23"/>
        </w:rPr>
        <w:t>http://iej.cjb.net</w:t>
      </w:r>
    </w:p>
    <w:p w14:paraId="6EA4D999" w14:textId="064CBADE" w:rsidR="009E0F17" w:rsidRPr="006C7423" w:rsidRDefault="009E0F17" w:rsidP="009E0F17">
      <w:pPr>
        <w:rPr>
          <w:sz w:val="23"/>
          <w:szCs w:val="23"/>
        </w:rPr>
      </w:pPr>
    </w:p>
    <w:p w14:paraId="7FF47581" w14:textId="77777777" w:rsidR="008F76F2" w:rsidRPr="006C7423" w:rsidRDefault="008F76F2" w:rsidP="008F76F2">
      <w:pPr>
        <w:rPr>
          <w:sz w:val="23"/>
          <w:szCs w:val="23"/>
        </w:rPr>
      </w:pPr>
      <w:r w:rsidRPr="006C7423">
        <w:rPr>
          <w:sz w:val="23"/>
          <w:szCs w:val="23"/>
        </w:rPr>
        <w:t xml:space="preserve">Reilly, D. &amp; Senders, S. (2009). Becoming the </w:t>
      </w:r>
      <w:proofErr w:type="gramStart"/>
      <w:r w:rsidRPr="006C7423">
        <w:rPr>
          <w:sz w:val="23"/>
          <w:szCs w:val="23"/>
        </w:rPr>
        <w:t>Change</w:t>
      </w:r>
      <w:proofErr w:type="gramEnd"/>
      <w:r w:rsidRPr="006C7423">
        <w:rPr>
          <w:sz w:val="23"/>
          <w:szCs w:val="23"/>
        </w:rPr>
        <w:t xml:space="preserve"> We Want to See: Critical Study </w:t>
      </w:r>
    </w:p>
    <w:p w14:paraId="604CC5F4" w14:textId="2F59F1CA" w:rsidR="008F76F2" w:rsidRPr="006C7423" w:rsidRDefault="008F76F2" w:rsidP="008F76F2">
      <w:pPr>
        <w:ind w:left="720"/>
        <w:rPr>
          <w:sz w:val="23"/>
          <w:szCs w:val="23"/>
        </w:rPr>
      </w:pPr>
      <w:r w:rsidRPr="006C7423">
        <w:rPr>
          <w:sz w:val="23"/>
          <w:szCs w:val="23"/>
        </w:rPr>
        <w:t xml:space="preserve">Abroad for a Tumultuous World. </w:t>
      </w:r>
      <w:r w:rsidRPr="006C7423">
        <w:rPr>
          <w:i/>
          <w:iCs/>
          <w:sz w:val="23"/>
          <w:szCs w:val="23"/>
        </w:rPr>
        <w:t>Frontiers</w:t>
      </w:r>
      <w:r w:rsidR="00951CF9" w:rsidRPr="006C7423">
        <w:rPr>
          <w:i/>
          <w:iCs/>
          <w:sz w:val="23"/>
          <w:szCs w:val="23"/>
        </w:rPr>
        <w:t>.</w:t>
      </w:r>
      <w:r w:rsidRPr="006C7423">
        <w:rPr>
          <w:sz w:val="23"/>
          <w:szCs w:val="23"/>
        </w:rPr>
        <w:t xml:space="preserve"> 18(1), 241–267. </w:t>
      </w:r>
      <w:r w:rsidR="00951CF9" w:rsidRPr="006C7423">
        <w:rPr>
          <w:sz w:val="23"/>
          <w:szCs w:val="23"/>
        </w:rPr>
        <w:t xml:space="preserve">  </w:t>
      </w:r>
      <w:r w:rsidR="006C7423" w:rsidRPr="006C7423">
        <w:rPr>
          <w:sz w:val="23"/>
          <w:szCs w:val="23"/>
        </w:rPr>
        <w:t>https://doi.org/</w:t>
      </w:r>
      <w:r w:rsidR="00951CF9" w:rsidRPr="006C7423">
        <w:rPr>
          <w:sz w:val="23"/>
          <w:szCs w:val="23"/>
        </w:rPr>
        <w:t xml:space="preserve"> 10.36366/</w:t>
      </w:r>
      <w:proofErr w:type="gramStart"/>
      <w:r w:rsidR="00951CF9" w:rsidRPr="006C7423">
        <w:rPr>
          <w:sz w:val="23"/>
          <w:szCs w:val="23"/>
        </w:rPr>
        <w:t>frontiers.v</w:t>
      </w:r>
      <w:proofErr w:type="gramEnd"/>
      <w:r w:rsidR="00951CF9" w:rsidRPr="006C7423">
        <w:rPr>
          <w:sz w:val="23"/>
          <w:szCs w:val="23"/>
        </w:rPr>
        <w:t xml:space="preserve">18i1.265. </w:t>
      </w:r>
    </w:p>
    <w:p w14:paraId="7C5317A6" w14:textId="77777777" w:rsidR="008F76F2" w:rsidRPr="006C7423" w:rsidRDefault="008F76F2" w:rsidP="008F76F2">
      <w:pPr>
        <w:rPr>
          <w:sz w:val="23"/>
          <w:szCs w:val="23"/>
        </w:rPr>
      </w:pPr>
    </w:p>
    <w:p w14:paraId="1ABF3EBB" w14:textId="77777777" w:rsidR="008F76F2" w:rsidRPr="006C7423" w:rsidRDefault="008F76F2" w:rsidP="008F76F2">
      <w:pPr>
        <w:rPr>
          <w:sz w:val="23"/>
          <w:szCs w:val="23"/>
        </w:rPr>
      </w:pPr>
      <w:r w:rsidRPr="006C7423">
        <w:rPr>
          <w:sz w:val="23"/>
          <w:szCs w:val="23"/>
        </w:rPr>
        <w:t xml:space="preserve">Ritz, A. (2011). The Educational Value of Short-Term Study Abroad Programs as Course </w:t>
      </w:r>
    </w:p>
    <w:p w14:paraId="35D6567D" w14:textId="6490F889" w:rsidR="008F76F2" w:rsidRPr="006C7423" w:rsidRDefault="008F76F2" w:rsidP="008F76F2">
      <w:pPr>
        <w:ind w:left="720"/>
        <w:rPr>
          <w:sz w:val="23"/>
          <w:szCs w:val="23"/>
        </w:rPr>
      </w:pPr>
      <w:r w:rsidRPr="006C7423">
        <w:rPr>
          <w:sz w:val="23"/>
          <w:szCs w:val="23"/>
        </w:rPr>
        <w:t xml:space="preserve">Components. </w:t>
      </w:r>
      <w:r w:rsidRPr="006C7423">
        <w:rPr>
          <w:i/>
          <w:iCs/>
          <w:sz w:val="23"/>
          <w:szCs w:val="23"/>
        </w:rPr>
        <w:t>Journal of Teaching in Travel &amp; Tourism</w:t>
      </w:r>
      <w:r w:rsidR="00951CF9" w:rsidRPr="006C7423">
        <w:rPr>
          <w:sz w:val="23"/>
          <w:szCs w:val="23"/>
        </w:rPr>
        <w:t>.</w:t>
      </w:r>
      <w:r w:rsidRPr="006C7423">
        <w:rPr>
          <w:sz w:val="23"/>
          <w:szCs w:val="23"/>
        </w:rPr>
        <w:t xml:space="preserve"> 11(2), 164–178. </w:t>
      </w:r>
      <w:r w:rsidR="00951CF9" w:rsidRPr="006C7423">
        <w:rPr>
          <w:sz w:val="23"/>
          <w:szCs w:val="23"/>
        </w:rPr>
        <w:t xml:space="preserve">  </w:t>
      </w:r>
      <w:r w:rsidR="006C7423" w:rsidRPr="006C7423">
        <w:rPr>
          <w:sz w:val="23"/>
          <w:szCs w:val="23"/>
        </w:rPr>
        <w:t>https://doi.org/</w:t>
      </w:r>
      <w:r w:rsidR="00951CF9" w:rsidRPr="006C7423">
        <w:rPr>
          <w:sz w:val="23"/>
          <w:szCs w:val="23"/>
        </w:rPr>
        <w:t xml:space="preserve"> 10.1080/15313220.2010.525968. </w:t>
      </w:r>
    </w:p>
    <w:p w14:paraId="6933F228" w14:textId="77777777" w:rsidR="006C7423" w:rsidRPr="006C7423" w:rsidRDefault="006C7423" w:rsidP="009E0F17">
      <w:pPr>
        <w:rPr>
          <w:sz w:val="23"/>
          <w:szCs w:val="23"/>
        </w:rPr>
      </w:pPr>
    </w:p>
    <w:p w14:paraId="1E9E8F74" w14:textId="77777777" w:rsidR="00951CF9" w:rsidRPr="006C7423" w:rsidRDefault="000424A5" w:rsidP="000424A5">
      <w:pPr>
        <w:rPr>
          <w:sz w:val="23"/>
          <w:szCs w:val="23"/>
        </w:rPr>
      </w:pPr>
      <w:r w:rsidRPr="006C7423">
        <w:rPr>
          <w:sz w:val="23"/>
          <w:szCs w:val="23"/>
        </w:rPr>
        <w:t>Sharma</w:t>
      </w:r>
      <w:r w:rsidR="0053132C" w:rsidRPr="006C7423">
        <w:rPr>
          <w:sz w:val="23"/>
          <w:szCs w:val="23"/>
        </w:rPr>
        <w:t>, S</w:t>
      </w:r>
      <w:r w:rsidRPr="006C7423">
        <w:rPr>
          <w:sz w:val="23"/>
          <w:szCs w:val="23"/>
        </w:rPr>
        <w:t xml:space="preserve">. (2009). From the Red-Dot-Indian Woman to Jet-Set-Mangoes and all the Hyphens </w:t>
      </w:r>
    </w:p>
    <w:p w14:paraId="5112EBE9" w14:textId="0C07B45A" w:rsidR="000424A5" w:rsidRPr="006C7423" w:rsidRDefault="000424A5" w:rsidP="00951CF9">
      <w:pPr>
        <w:ind w:left="720"/>
        <w:rPr>
          <w:sz w:val="23"/>
          <w:szCs w:val="23"/>
        </w:rPr>
      </w:pPr>
      <w:r w:rsidRPr="006C7423">
        <w:rPr>
          <w:sz w:val="23"/>
          <w:szCs w:val="23"/>
        </w:rPr>
        <w:t xml:space="preserve">In-Between: Studying Abroad and Discovering Myself. </w:t>
      </w:r>
      <w:r w:rsidRPr="006C7423">
        <w:rPr>
          <w:i/>
          <w:iCs/>
          <w:sz w:val="23"/>
          <w:szCs w:val="23"/>
        </w:rPr>
        <w:t>Journal of Curriculum Theorizing</w:t>
      </w:r>
      <w:r w:rsidR="0053132C" w:rsidRPr="006C7423">
        <w:rPr>
          <w:sz w:val="23"/>
          <w:szCs w:val="23"/>
        </w:rPr>
        <w:t>.</w:t>
      </w:r>
      <w:r w:rsidRPr="006C7423">
        <w:rPr>
          <w:sz w:val="23"/>
          <w:szCs w:val="23"/>
        </w:rPr>
        <w:t xml:space="preserve"> 25(3), 119–</w:t>
      </w:r>
      <w:r w:rsidR="0053132C" w:rsidRPr="006C7423">
        <w:rPr>
          <w:sz w:val="23"/>
          <w:szCs w:val="23"/>
        </w:rPr>
        <w:t>136</w:t>
      </w:r>
      <w:r w:rsidRPr="006C7423">
        <w:rPr>
          <w:sz w:val="23"/>
          <w:szCs w:val="23"/>
        </w:rPr>
        <w:t>.</w:t>
      </w:r>
    </w:p>
    <w:p w14:paraId="1E955C27" w14:textId="59B9B43D" w:rsidR="0053132C" w:rsidRPr="006C7423" w:rsidRDefault="0053132C" w:rsidP="000424A5">
      <w:pPr>
        <w:rPr>
          <w:sz w:val="23"/>
          <w:szCs w:val="23"/>
        </w:rPr>
      </w:pPr>
    </w:p>
    <w:p w14:paraId="2413835F" w14:textId="77777777" w:rsidR="006C7423" w:rsidRDefault="006C7423" w:rsidP="006C7423">
      <w:pPr>
        <w:autoSpaceDE w:val="0"/>
        <w:autoSpaceDN w:val="0"/>
        <w:adjustRightInd w:val="0"/>
        <w:rPr>
          <w:color w:val="000000"/>
          <w:sz w:val="23"/>
          <w:szCs w:val="23"/>
        </w:rPr>
      </w:pPr>
    </w:p>
    <w:p w14:paraId="6DC30F75" w14:textId="77777777" w:rsidR="006C7423" w:rsidRDefault="006C7423" w:rsidP="006C7423">
      <w:pPr>
        <w:autoSpaceDE w:val="0"/>
        <w:autoSpaceDN w:val="0"/>
        <w:adjustRightInd w:val="0"/>
        <w:rPr>
          <w:color w:val="000000"/>
          <w:sz w:val="23"/>
          <w:szCs w:val="23"/>
        </w:rPr>
      </w:pPr>
    </w:p>
    <w:p w14:paraId="798ADE5F" w14:textId="1BA39620" w:rsidR="006C7423" w:rsidRPr="006C7423" w:rsidRDefault="006C7423" w:rsidP="006C7423">
      <w:pPr>
        <w:autoSpaceDE w:val="0"/>
        <w:autoSpaceDN w:val="0"/>
        <w:adjustRightInd w:val="0"/>
        <w:rPr>
          <w:color w:val="000000" w:themeColor="text1"/>
          <w:sz w:val="23"/>
          <w:szCs w:val="23"/>
        </w:rPr>
      </w:pPr>
      <w:r w:rsidRPr="006C7423">
        <w:rPr>
          <w:color w:val="000000"/>
          <w:sz w:val="23"/>
          <w:szCs w:val="23"/>
        </w:rPr>
        <w:lastRenderedPageBreak/>
        <w:t xml:space="preserve">Sharma, S., </w:t>
      </w:r>
      <w:proofErr w:type="spellStart"/>
      <w:r w:rsidRPr="006C7423">
        <w:rPr>
          <w:color w:val="000000"/>
          <w:sz w:val="23"/>
          <w:szCs w:val="23"/>
        </w:rPr>
        <w:t>Phillion</w:t>
      </w:r>
      <w:proofErr w:type="spellEnd"/>
      <w:r w:rsidRPr="006C7423">
        <w:rPr>
          <w:color w:val="000000"/>
          <w:sz w:val="23"/>
          <w:szCs w:val="23"/>
        </w:rPr>
        <w:t>, J</w:t>
      </w:r>
      <w:r w:rsidRPr="006C7423">
        <w:rPr>
          <w:color w:val="000000" w:themeColor="text1"/>
          <w:sz w:val="23"/>
          <w:szCs w:val="23"/>
        </w:rPr>
        <w:t xml:space="preserve">., &amp; </w:t>
      </w:r>
      <w:proofErr w:type="spellStart"/>
      <w:r w:rsidRPr="006C7423">
        <w:rPr>
          <w:color w:val="000000" w:themeColor="text1"/>
          <w:sz w:val="23"/>
          <w:szCs w:val="23"/>
        </w:rPr>
        <w:t>Malewski</w:t>
      </w:r>
      <w:proofErr w:type="spellEnd"/>
      <w:r w:rsidRPr="006C7423">
        <w:rPr>
          <w:color w:val="000000" w:themeColor="text1"/>
          <w:sz w:val="23"/>
          <w:szCs w:val="23"/>
        </w:rPr>
        <w:t>, E. (2011). Examining the practice of critical reflection for</w:t>
      </w:r>
    </w:p>
    <w:p w14:paraId="5F81E004" w14:textId="77777777" w:rsidR="006C7423" w:rsidRPr="006C7423" w:rsidRDefault="006C7423" w:rsidP="006C7423">
      <w:pPr>
        <w:autoSpaceDE w:val="0"/>
        <w:autoSpaceDN w:val="0"/>
        <w:adjustRightInd w:val="0"/>
        <w:ind w:left="720"/>
        <w:rPr>
          <w:color w:val="000000" w:themeColor="text1"/>
          <w:sz w:val="23"/>
          <w:szCs w:val="23"/>
        </w:rPr>
      </w:pPr>
      <w:r w:rsidRPr="006C7423">
        <w:rPr>
          <w:color w:val="000000" w:themeColor="text1"/>
          <w:sz w:val="23"/>
          <w:szCs w:val="23"/>
        </w:rPr>
        <w:t xml:space="preserve">developing pre-service teachers’ multicultural competencies: Findings from a study abroad program in Honduras. </w:t>
      </w:r>
      <w:r w:rsidRPr="006C7423">
        <w:rPr>
          <w:i/>
          <w:iCs/>
          <w:color w:val="000000" w:themeColor="text1"/>
          <w:sz w:val="23"/>
          <w:szCs w:val="23"/>
        </w:rPr>
        <w:t>Issues in Teacher Education</w:t>
      </w:r>
      <w:r w:rsidRPr="006C7423">
        <w:rPr>
          <w:color w:val="000000" w:themeColor="text1"/>
          <w:sz w:val="23"/>
          <w:szCs w:val="23"/>
        </w:rPr>
        <w:t>. 20(2), 9–22. https://pdfs.semanticscholar.org/4656/fbb4ce08dedddc43226ed78e1ccdc62e114a.pdf</w:t>
      </w:r>
    </w:p>
    <w:p w14:paraId="147BDCE3" w14:textId="77777777" w:rsidR="006C7423" w:rsidRPr="006C7423" w:rsidRDefault="006C7423" w:rsidP="006C7423">
      <w:pPr>
        <w:autoSpaceDE w:val="0"/>
        <w:autoSpaceDN w:val="0"/>
        <w:adjustRightInd w:val="0"/>
        <w:rPr>
          <w:color w:val="000000" w:themeColor="text1"/>
          <w:sz w:val="23"/>
          <w:szCs w:val="23"/>
        </w:rPr>
      </w:pPr>
    </w:p>
    <w:p w14:paraId="6DA1B9BF" w14:textId="77777777" w:rsidR="006C7423" w:rsidRPr="006C7423" w:rsidRDefault="006C7423" w:rsidP="006C7423">
      <w:pPr>
        <w:rPr>
          <w:i/>
          <w:iCs/>
          <w:sz w:val="23"/>
          <w:szCs w:val="23"/>
        </w:rPr>
      </w:pPr>
      <w:proofErr w:type="spellStart"/>
      <w:r w:rsidRPr="006C7423">
        <w:rPr>
          <w:sz w:val="23"/>
          <w:szCs w:val="23"/>
        </w:rPr>
        <w:t>Sleeter</w:t>
      </w:r>
      <w:proofErr w:type="spellEnd"/>
      <w:r w:rsidRPr="006C7423">
        <w:rPr>
          <w:sz w:val="23"/>
          <w:szCs w:val="23"/>
        </w:rPr>
        <w:t xml:space="preserve">, C. (2008). An invitation to support diverse students through teacher education. </w:t>
      </w:r>
      <w:r w:rsidRPr="006C7423">
        <w:rPr>
          <w:i/>
          <w:iCs/>
          <w:sz w:val="23"/>
          <w:szCs w:val="23"/>
        </w:rPr>
        <w:t xml:space="preserve">Journal </w:t>
      </w:r>
    </w:p>
    <w:p w14:paraId="705FD569" w14:textId="77777777" w:rsidR="006C7423" w:rsidRPr="006C7423" w:rsidRDefault="006C7423" w:rsidP="006C7423">
      <w:pPr>
        <w:ind w:firstLine="720"/>
        <w:rPr>
          <w:sz w:val="23"/>
          <w:szCs w:val="23"/>
        </w:rPr>
      </w:pPr>
      <w:r w:rsidRPr="006C7423">
        <w:rPr>
          <w:i/>
          <w:iCs/>
          <w:sz w:val="23"/>
          <w:szCs w:val="23"/>
        </w:rPr>
        <w:t>of Teacher Education.</w:t>
      </w:r>
      <w:r w:rsidRPr="006C7423">
        <w:rPr>
          <w:sz w:val="23"/>
          <w:szCs w:val="23"/>
        </w:rPr>
        <w:t xml:space="preserve"> 59(3). 212-219.  https://doi.org/10.1177/0022487108317019</w:t>
      </w:r>
    </w:p>
    <w:p w14:paraId="60385F02" w14:textId="77777777" w:rsidR="006C7423" w:rsidRPr="006C7423" w:rsidRDefault="006C7423" w:rsidP="006C7423">
      <w:pPr>
        <w:autoSpaceDE w:val="0"/>
        <w:autoSpaceDN w:val="0"/>
        <w:adjustRightInd w:val="0"/>
        <w:rPr>
          <w:color w:val="000000" w:themeColor="text1"/>
          <w:sz w:val="23"/>
          <w:szCs w:val="23"/>
        </w:rPr>
      </w:pPr>
    </w:p>
    <w:p w14:paraId="6ED5A55D" w14:textId="64A6708B" w:rsidR="006C7423" w:rsidRPr="006C7423" w:rsidRDefault="006C7423" w:rsidP="006C7423">
      <w:pPr>
        <w:autoSpaceDE w:val="0"/>
        <w:autoSpaceDN w:val="0"/>
        <w:adjustRightInd w:val="0"/>
        <w:rPr>
          <w:color w:val="000000" w:themeColor="text1"/>
          <w:sz w:val="23"/>
          <w:szCs w:val="23"/>
        </w:rPr>
      </w:pPr>
      <w:r w:rsidRPr="006C7423">
        <w:rPr>
          <w:color w:val="000000" w:themeColor="text1"/>
          <w:sz w:val="23"/>
          <w:szCs w:val="23"/>
        </w:rPr>
        <w:t xml:space="preserve">Smith, M. D. M., Jennings, L., &amp; Lakhan, S. (2014). International education and service </w:t>
      </w:r>
    </w:p>
    <w:p w14:paraId="1535C3C5" w14:textId="43F5730E" w:rsidR="006C7423" w:rsidRPr="006C7423" w:rsidRDefault="006C7423" w:rsidP="006C7423">
      <w:pPr>
        <w:autoSpaceDE w:val="0"/>
        <w:autoSpaceDN w:val="0"/>
        <w:adjustRightInd w:val="0"/>
        <w:ind w:left="720"/>
        <w:rPr>
          <w:color w:val="000000" w:themeColor="text1"/>
          <w:sz w:val="23"/>
          <w:szCs w:val="23"/>
        </w:rPr>
      </w:pPr>
      <w:r w:rsidRPr="006C7423">
        <w:rPr>
          <w:color w:val="000000" w:themeColor="text1"/>
          <w:sz w:val="23"/>
          <w:szCs w:val="23"/>
        </w:rPr>
        <w:t xml:space="preserve">learning: Cultural competency and social justice. </w:t>
      </w:r>
      <w:r w:rsidRPr="006C7423">
        <w:rPr>
          <w:i/>
          <w:iCs/>
          <w:color w:val="000000" w:themeColor="text1"/>
          <w:sz w:val="23"/>
          <w:szCs w:val="23"/>
        </w:rPr>
        <w:t>The Counseling Psychologist</w:t>
      </w:r>
      <w:r w:rsidRPr="006C7423">
        <w:rPr>
          <w:color w:val="000000" w:themeColor="text1"/>
          <w:sz w:val="23"/>
          <w:szCs w:val="23"/>
        </w:rPr>
        <w:t xml:space="preserve">. 42(8), 1188–1214. </w:t>
      </w:r>
      <w:r w:rsidRPr="006C7423">
        <w:rPr>
          <w:color w:val="000000" w:themeColor="text1"/>
          <w:sz w:val="23"/>
          <w:szCs w:val="23"/>
        </w:rPr>
        <w:t xml:space="preserve"> https://doi.org/</w:t>
      </w:r>
      <w:r w:rsidRPr="006C7423">
        <w:rPr>
          <w:color w:val="000000" w:themeColor="text1"/>
          <w:sz w:val="23"/>
          <w:szCs w:val="23"/>
        </w:rPr>
        <w:t>10.1177/0011000014557499</w:t>
      </w:r>
    </w:p>
    <w:p w14:paraId="23418177" w14:textId="77777777" w:rsidR="0053132C" w:rsidRPr="006C7423" w:rsidRDefault="0053132C" w:rsidP="000424A5">
      <w:pPr>
        <w:rPr>
          <w:sz w:val="23"/>
          <w:szCs w:val="23"/>
        </w:rPr>
      </w:pPr>
    </w:p>
    <w:p w14:paraId="3BB8FAA2" w14:textId="77777777" w:rsidR="00951CF9" w:rsidRPr="006C7423" w:rsidRDefault="0053132C" w:rsidP="000424A5">
      <w:pPr>
        <w:rPr>
          <w:i/>
          <w:iCs/>
          <w:sz w:val="23"/>
          <w:szCs w:val="23"/>
        </w:rPr>
      </w:pPr>
      <w:r w:rsidRPr="006C7423">
        <w:rPr>
          <w:sz w:val="23"/>
          <w:szCs w:val="23"/>
        </w:rPr>
        <w:t>Sue, S. (2006). Multicultural competency: From philosophy to research and pra</w:t>
      </w:r>
      <w:r w:rsidR="00951CF9" w:rsidRPr="006C7423">
        <w:rPr>
          <w:sz w:val="23"/>
          <w:szCs w:val="23"/>
        </w:rPr>
        <w:t>c</w:t>
      </w:r>
      <w:r w:rsidRPr="006C7423">
        <w:rPr>
          <w:sz w:val="23"/>
          <w:szCs w:val="23"/>
        </w:rPr>
        <w:t xml:space="preserve">tice. </w:t>
      </w:r>
      <w:r w:rsidRPr="006C7423">
        <w:rPr>
          <w:i/>
          <w:iCs/>
          <w:sz w:val="23"/>
          <w:szCs w:val="23"/>
        </w:rPr>
        <w:t xml:space="preserve">Journal of </w:t>
      </w:r>
    </w:p>
    <w:p w14:paraId="723D32AD" w14:textId="1AE0E878" w:rsidR="0053132C" w:rsidRPr="006C7423" w:rsidRDefault="0053132C" w:rsidP="00951CF9">
      <w:pPr>
        <w:ind w:firstLine="720"/>
        <w:rPr>
          <w:sz w:val="23"/>
          <w:szCs w:val="23"/>
        </w:rPr>
      </w:pPr>
      <w:r w:rsidRPr="006C7423">
        <w:rPr>
          <w:i/>
          <w:iCs/>
          <w:sz w:val="23"/>
          <w:szCs w:val="23"/>
        </w:rPr>
        <w:t>Community Psychology</w:t>
      </w:r>
      <w:r w:rsidRPr="006C7423">
        <w:rPr>
          <w:sz w:val="23"/>
          <w:szCs w:val="23"/>
        </w:rPr>
        <w:t xml:space="preserve">. 34. 237-245.  </w:t>
      </w:r>
      <w:r w:rsidR="006C7423" w:rsidRPr="006C7423">
        <w:rPr>
          <w:sz w:val="23"/>
          <w:szCs w:val="23"/>
        </w:rPr>
        <w:t>https://doi.org/</w:t>
      </w:r>
      <w:r w:rsidRPr="006C7423">
        <w:rPr>
          <w:sz w:val="23"/>
          <w:szCs w:val="23"/>
        </w:rPr>
        <w:t>10.1002/jcop.20095</w:t>
      </w:r>
    </w:p>
    <w:p w14:paraId="56F2AE49" w14:textId="37150947" w:rsidR="008F76F2" w:rsidRPr="006C7423" w:rsidRDefault="008F76F2" w:rsidP="000424A5">
      <w:pPr>
        <w:rPr>
          <w:sz w:val="23"/>
          <w:szCs w:val="23"/>
        </w:rPr>
      </w:pPr>
    </w:p>
    <w:p w14:paraId="69F4FA18" w14:textId="77777777" w:rsidR="008F76F2" w:rsidRPr="006C7423" w:rsidRDefault="008F76F2" w:rsidP="008F76F2">
      <w:pPr>
        <w:autoSpaceDE w:val="0"/>
        <w:autoSpaceDN w:val="0"/>
        <w:adjustRightInd w:val="0"/>
        <w:rPr>
          <w:color w:val="000000" w:themeColor="text1"/>
          <w:sz w:val="23"/>
          <w:szCs w:val="23"/>
        </w:rPr>
      </w:pPr>
      <w:proofErr w:type="spellStart"/>
      <w:r w:rsidRPr="006C7423">
        <w:rPr>
          <w:color w:val="000000"/>
          <w:sz w:val="23"/>
          <w:szCs w:val="23"/>
        </w:rPr>
        <w:t>Trilokekar</w:t>
      </w:r>
      <w:proofErr w:type="spellEnd"/>
      <w:r w:rsidRPr="006C7423">
        <w:rPr>
          <w:color w:val="000000"/>
          <w:sz w:val="23"/>
          <w:szCs w:val="23"/>
        </w:rPr>
        <w:t xml:space="preserve">, R. &amp; </w:t>
      </w:r>
      <w:proofErr w:type="spellStart"/>
      <w:r w:rsidRPr="006C7423">
        <w:rPr>
          <w:color w:val="000000"/>
          <w:sz w:val="23"/>
          <w:szCs w:val="23"/>
        </w:rPr>
        <w:t>Kukar</w:t>
      </w:r>
      <w:proofErr w:type="spellEnd"/>
      <w:r w:rsidRPr="006C7423">
        <w:rPr>
          <w:color w:val="000000"/>
          <w:sz w:val="23"/>
          <w:szCs w:val="23"/>
        </w:rPr>
        <w:t xml:space="preserve">, </w:t>
      </w:r>
      <w:r w:rsidRPr="006C7423">
        <w:rPr>
          <w:color w:val="000000" w:themeColor="text1"/>
          <w:sz w:val="23"/>
          <w:szCs w:val="23"/>
        </w:rPr>
        <w:t xml:space="preserve">P. (2011). Disorienting experiences during study abroad: Reflections of </w:t>
      </w:r>
    </w:p>
    <w:p w14:paraId="762B6586" w14:textId="2C9265CC" w:rsidR="008F76F2" w:rsidRPr="006C7423" w:rsidRDefault="008F76F2" w:rsidP="008F76F2">
      <w:pPr>
        <w:autoSpaceDE w:val="0"/>
        <w:autoSpaceDN w:val="0"/>
        <w:adjustRightInd w:val="0"/>
        <w:ind w:left="720"/>
        <w:rPr>
          <w:color w:val="000000" w:themeColor="text1"/>
          <w:sz w:val="23"/>
          <w:szCs w:val="23"/>
        </w:rPr>
      </w:pPr>
      <w:r w:rsidRPr="006C7423">
        <w:rPr>
          <w:color w:val="000000" w:themeColor="text1"/>
          <w:sz w:val="23"/>
          <w:szCs w:val="23"/>
        </w:rPr>
        <w:t xml:space="preserve">pre-service teacher candidates. </w:t>
      </w:r>
      <w:r w:rsidRPr="006C7423">
        <w:rPr>
          <w:i/>
          <w:iCs/>
          <w:color w:val="000000" w:themeColor="text1"/>
          <w:sz w:val="23"/>
          <w:szCs w:val="23"/>
        </w:rPr>
        <w:t>Teaching and Teacher Education</w:t>
      </w:r>
      <w:r w:rsidRPr="006C7423">
        <w:rPr>
          <w:color w:val="000000" w:themeColor="text1"/>
          <w:sz w:val="23"/>
          <w:szCs w:val="23"/>
        </w:rPr>
        <w:t xml:space="preserve">. 27(7), 1141–1150. </w:t>
      </w:r>
      <w:r w:rsidR="006C7423" w:rsidRPr="006C7423">
        <w:rPr>
          <w:color w:val="000000" w:themeColor="text1"/>
          <w:sz w:val="23"/>
          <w:szCs w:val="23"/>
        </w:rPr>
        <w:t>https://doi.org/</w:t>
      </w:r>
      <w:r w:rsidRPr="006C7423">
        <w:rPr>
          <w:color w:val="000000" w:themeColor="text1"/>
          <w:sz w:val="23"/>
          <w:szCs w:val="23"/>
        </w:rPr>
        <w:t>10.1016/j.tate.2011.06.002</w:t>
      </w:r>
    </w:p>
    <w:p w14:paraId="79E2BAB7" w14:textId="77777777" w:rsidR="008F76F2" w:rsidRPr="006C7423" w:rsidRDefault="008F76F2" w:rsidP="008F76F2">
      <w:pPr>
        <w:autoSpaceDE w:val="0"/>
        <w:autoSpaceDN w:val="0"/>
        <w:adjustRightInd w:val="0"/>
        <w:rPr>
          <w:color w:val="000080"/>
          <w:sz w:val="23"/>
          <w:szCs w:val="23"/>
        </w:rPr>
      </w:pPr>
    </w:p>
    <w:p w14:paraId="3D11ABB4" w14:textId="77777777" w:rsidR="008F76F2" w:rsidRPr="008F76F2" w:rsidRDefault="008F76F2" w:rsidP="000424A5"/>
    <w:p w14:paraId="1F10CC64" w14:textId="77777777" w:rsidR="000424A5" w:rsidRPr="009E0F17" w:rsidRDefault="000424A5" w:rsidP="009E0F17"/>
    <w:p w14:paraId="3C01B0DA" w14:textId="77777777" w:rsidR="009E0F17" w:rsidRPr="00BD24BD" w:rsidRDefault="009E0F17" w:rsidP="00BD24BD"/>
    <w:p w14:paraId="5E9110DF" w14:textId="77777777" w:rsidR="00BD24BD" w:rsidRPr="009934C0" w:rsidRDefault="00BD24BD" w:rsidP="009934C0">
      <w:pPr>
        <w:ind w:left="720"/>
      </w:pPr>
    </w:p>
    <w:p w14:paraId="4B7E6CE0" w14:textId="77777777" w:rsidR="009934C0" w:rsidRPr="00165C83" w:rsidRDefault="009934C0" w:rsidP="00165C83">
      <w:pPr>
        <w:autoSpaceDE w:val="0"/>
        <w:autoSpaceDN w:val="0"/>
        <w:adjustRightInd w:val="0"/>
        <w:rPr>
          <w:rFonts w:ascii="0~:¬˛" w:hAnsi="0~:¬˛" w:cs="0~:¬˛"/>
          <w:sz w:val="20"/>
          <w:szCs w:val="20"/>
        </w:rPr>
      </w:pPr>
    </w:p>
    <w:sectPr w:rsidR="009934C0" w:rsidRPr="00165C8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CB53" w14:textId="77777777" w:rsidR="007D09D3" w:rsidRDefault="007D09D3" w:rsidP="006C7423">
      <w:r>
        <w:separator/>
      </w:r>
    </w:p>
  </w:endnote>
  <w:endnote w:type="continuationSeparator" w:id="0">
    <w:p w14:paraId="35530D41" w14:textId="77777777" w:rsidR="007D09D3" w:rsidRDefault="007D09D3" w:rsidP="006C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0~:¬˛">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E8AC" w14:textId="77777777" w:rsidR="007D09D3" w:rsidRDefault="007D09D3" w:rsidP="006C7423">
      <w:r>
        <w:separator/>
      </w:r>
    </w:p>
  </w:footnote>
  <w:footnote w:type="continuationSeparator" w:id="0">
    <w:p w14:paraId="0D6353DC" w14:textId="77777777" w:rsidR="007D09D3" w:rsidRDefault="007D09D3" w:rsidP="006C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4481652"/>
      <w:docPartObj>
        <w:docPartGallery w:val="Page Numbers (Top of Page)"/>
        <w:docPartUnique/>
      </w:docPartObj>
    </w:sdtPr>
    <w:sdtContent>
      <w:p w14:paraId="000D8F90" w14:textId="4BF3C276" w:rsidR="006C7423" w:rsidRDefault="006C7423" w:rsidP="009B21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7C5675" w14:textId="77777777" w:rsidR="006C7423" w:rsidRDefault="006C7423" w:rsidP="006C74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742177"/>
      <w:docPartObj>
        <w:docPartGallery w:val="Page Numbers (Top of Page)"/>
        <w:docPartUnique/>
      </w:docPartObj>
    </w:sdtPr>
    <w:sdtContent>
      <w:p w14:paraId="5C2B4B01" w14:textId="2F14F865" w:rsidR="006C7423" w:rsidRDefault="006C7423" w:rsidP="009B21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401325" w14:textId="77777777" w:rsidR="006C7423" w:rsidRDefault="006C7423" w:rsidP="006C7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43FB"/>
    <w:multiLevelType w:val="multilevel"/>
    <w:tmpl w:val="6B344C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83"/>
    <w:rsid w:val="000424A5"/>
    <w:rsid w:val="00165C83"/>
    <w:rsid w:val="001E569C"/>
    <w:rsid w:val="0053132C"/>
    <w:rsid w:val="006C7423"/>
    <w:rsid w:val="007D09D3"/>
    <w:rsid w:val="008F76F2"/>
    <w:rsid w:val="00951CF9"/>
    <w:rsid w:val="009934C0"/>
    <w:rsid w:val="009E0F17"/>
    <w:rsid w:val="00BD24BD"/>
    <w:rsid w:val="00CA51AB"/>
    <w:rsid w:val="00F5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A744"/>
  <w15:chartTrackingRefBased/>
  <w15:docId w15:val="{2ADCD6E9-EC4D-8942-86AD-D750177E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1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4C0"/>
    <w:rPr>
      <w:color w:val="0563C1" w:themeColor="hyperlink"/>
      <w:u w:val="single"/>
    </w:rPr>
  </w:style>
  <w:style w:type="character" w:styleId="UnresolvedMention">
    <w:name w:val="Unresolved Mention"/>
    <w:basedOn w:val="DefaultParagraphFont"/>
    <w:uiPriority w:val="99"/>
    <w:semiHidden/>
    <w:unhideWhenUsed/>
    <w:rsid w:val="009934C0"/>
    <w:rPr>
      <w:color w:val="605E5C"/>
      <w:shd w:val="clear" w:color="auto" w:fill="E1DFDD"/>
    </w:rPr>
  </w:style>
  <w:style w:type="character" w:styleId="FollowedHyperlink">
    <w:name w:val="FollowedHyperlink"/>
    <w:basedOn w:val="DefaultParagraphFont"/>
    <w:uiPriority w:val="99"/>
    <w:semiHidden/>
    <w:unhideWhenUsed/>
    <w:rsid w:val="008F76F2"/>
    <w:rPr>
      <w:color w:val="954F72" w:themeColor="followedHyperlink"/>
      <w:u w:val="single"/>
    </w:rPr>
  </w:style>
  <w:style w:type="character" w:styleId="CommentReference">
    <w:name w:val="annotation reference"/>
    <w:basedOn w:val="DefaultParagraphFont"/>
    <w:uiPriority w:val="99"/>
    <w:semiHidden/>
    <w:unhideWhenUsed/>
    <w:rsid w:val="006C7423"/>
    <w:rPr>
      <w:sz w:val="16"/>
      <w:szCs w:val="16"/>
    </w:rPr>
  </w:style>
  <w:style w:type="paragraph" w:styleId="CommentText">
    <w:name w:val="annotation text"/>
    <w:basedOn w:val="Normal"/>
    <w:link w:val="CommentTextChar"/>
    <w:uiPriority w:val="99"/>
    <w:semiHidden/>
    <w:unhideWhenUsed/>
    <w:rsid w:val="006C7423"/>
    <w:rPr>
      <w:sz w:val="20"/>
      <w:szCs w:val="20"/>
    </w:rPr>
  </w:style>
  <w:style w:type="character" w:customStyle="1" w:styleId="CommentTextChar">
    <w:name w:val="Comment Text Char"/>
    <w:basedOn w:val="DefaultParagraphFont"/>
    <w:link w:val="CommentText"/>
    <w:uiPriority w:val="99"/>
    <w:semiHidden/>
    <w:rsid w:val="006C742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74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7423"/>
    <w:rPr>
      <w:sz w:val="22"/>
      <w:szCs w:val="22"/>
    </w:rPr>
  </w:style>
  <w:style w:type="character" w:styleId="PageNumber">
    <w:name w:val="page number"/>
    <w:basedOn w:val="DefaultParagraphFont"/>
    <w:uiPriority w:val="99"/>
    <w:semiHidden/>
    <w:unhideWhenUsed/>
    <w:rsid w:val="006C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196">
      <w:bodyDiv w:val="1"/>
      <w:marLeft w:val="0"/>
      <w:marRight w:val="0"/>
      <w:marTop w:val="0"/>
      <w:marBottom w:val="0"/>
      <w:divBdr>
        <w:top w:val="none" w:sz="0" w:space="0" w:color="auto"/>
        <w:left w:val="none" w:sz="0" w:space="0" w:color="auto"/>
        <w:bottom w:val="none" w:sz="0" w:space="0" w:color="auto"/>
        <w:right w:val="none" w:sz="0" w:space="0" w:color="auto"/>
      </w:divBdr>
    </w:div>
    <w:div w:id="438649095">
      <w:bodyDiv w:val="1"/>
      <w:marLeft w:val="0"/>
      <w:marRight w:val="0"/>
      <w:marTop w:val="0"/>
      <w:marBottom w:val="0"/>
      <w:divBdr>
        <w:top w:val="none" w:sz="0" w:space="0" w:color="auto"/>
        <w:left w:val="none" w:sz="0" w:space="0" w:color="auto"/>
        <w:bottom w:val="none" w:sz="0" w:space="0" w:color="auto"/>
        <w:right w:val="none" w:sz="0" w:space="0" w:color="auto"/>
      </w:divBdr>
    </w:div>
    <w:div w:id="1118259616">
      <w:bodyDiv w:val="1"/>
      <w:marLeft w:val="0"/>
      <w:marRight w:val="0"/>
      <w:marTop w:val="0"/>
      <w:marBottom w:val="0"/>
      <w:divBdr>
        <w:top w:val="none" w:sz="0" w:space="0" w:color="auto"/>
        <w:left w:val="none" w:sz="0" w:space="0" w:color="auto"/>
        <w:bottom w:val="none" w:sz="0" w:space="0" w:color="auto"/>
        <w:right w:val="none" w:sz="0" w:space="0" w:color="auto"/>
      </w:divBdr>
    </w:div>
    <w:div w:id="1199388814">
      <w:bodyDiv w:val="1"/>
      <w:marLeft w:val="0"/>
      <w:marRight w:val="0"/>
      <w:marTop w:val="0"/>
      <w:marBottom w:val="0"/>
      <w:divBdr>
        <w:top w:val="none" w:sz="0" w:space="0" w:color="auto"/>
        <w:left w:val="none" w:sz="0" w:space="0" w:color="auto"/>
        <w:bottom w:val="none" w:sz="0" w:space="0" w:color="auto"/>
        <w:right w:val="none" w:sz="0" w:space="0" w:color="auto"/>
      </w:divBdr>
    </w:div>
    <w:div w:id="1238979452">
      <w:bodyDiv w:val="1"/>
      <w:marLeft w:val="0"/>
      <w:marRight w:val="0"/>
      <w:marTop w:val="0"/>
      <w:marBottom w:val="0"/>
      <w:divBdr>
        <w:top w:val="none" w:sz="0" w:space="0" w:color="auto"/>
        <w:left w:val="none" w:sz="0" w:space="0" w:color="auto"/>
        <w:bottom w:val="none" w:sz="0" w:space="0" w:color="auto"/>
        <w:right w:val="none" w:sz="0" w:space="0" w:color="auto"/>
      </w:divBdr>
    </w:div>
    <w:div w:id="1302686069">
      <w:bodyDiv w:val="1"/>
      <w:marLeft w:val="0"/>
      <w:marRight w:val="0"/>
      <w:marTop w:val="0"/>
      <w:marBottom w:val="0"/>
      <w:divBdr>
        <w:top w:val="none" w:sz="0" w:space="0" w:color="auto"/>
        <w:left w:val="none" w:sz="0" w:space="0" w:color="auto"/>
        <w:bottom w:val="none" w:sz="0" w:space="0" w:color="auto"/>
        <w:right w:val="none" w:sz="0" w:space="0" w:color="auto"/>
      </w:divBdr>
    </w:div>
    <w:div w:id="1320228546">
      <w:bodyDiv w:val="1"/>
      <w:marLeft w:val="0"/>
      <w:marRight w:val="0"/>
      <w:marTop w:val="0"/>
      <w:marBottom w:val="0"/>
      <w:divBdr>
        <w:top w:val="none" w:sz="0" w:space="0" w:color="auto"/>
        <w:left w:val="none" w:sz="0" w:space="0" w:color="auto"/>
        <w:bottom w:val="none" w:sz="0" w:space="0" w:color="auto"/>
        <w:right w:val="none" w:sz="0" w:space="0" w:color="auto"/>
      </w:divBdr>
    </w:div>
    <w:div w:id="1466387309">
      <w:bodyDiv w:val="1"/>
      <w:marLeft w:val="0"/>
      <w:marRight w:val="0"/>
      <w:marTop w:val="0"/>
      <w:marBottom w:val="0"/>
      <w:divBdr>
        <w:top w:val="none" w:sz="0" w:space="0" w:color="auto"/>
        <w:left w:val="none" w:sz="0" w:space="0" w:color="auto"/>
        <w:bottom w:val="none" w:sz="0" w:space="0" w:color="auto"/>
        <w:right w:val="none" w:sz="0" w:space="0" w:color="auto"/>
      </w:divBdr>
    </w:div>
    <w:div w:id="1600674237">
      <w:bodyDiv w:val="1"/>
      <w:marLeft w:val="0"/>
      <w:marRight w:val="0"/>
      <w:marTop w:val="0"/>
      <w:marBottom w:val="0"/>
      <w:divBdr>
        <w:top w:val="none" w:sz="0" w:space="0" w:color="auto"/>
        <w:left w:val="none" w:sz="0" w:space="0" w:color="auto"/>
        <w:bottom w:val="none" w:sz="0" w:space="0" w:color="auto"/>
        <w:right w:val="none" w:sz="0" w:space="0" w:color="auto"/>
      </w:divBdr>
    </w:div>
    <w:div w:id="1871796395">
      <w:bodyDiv w:val="1"/>
      <w:marLeft w:val="0"/>
      <w:marRight w:val="0"/>
      <w:marTop w:val="0"/>
      <w:marBottom w:val="0"/>
      <w:divBdr>
        <w:top w:val="none" w:sz="0" w:space="0" w:color="auto"/>
        <w:left w:val="none" w:sz="0" w:space="0" w:color="auto"/>
        <w:bottom w:val="none" w:sz="0" w:space="0" w:color="auto"/>
        <w:right w:val="none" w:sz="0" w:space="0" w:color="auto"/>
      </w:divBdr>
    </w:div>
    <w:div w:id="20437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80/10665680701246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4</cp:revision>
  <dcterms:created xsi:type="dcterms:W3CDTF">2021-12-04T21:16:00Z</dcterms:created>
  <dcterms:modified xsi:type="dcterms:W3CDTF">2021-12-05T02:48:00Z</dcterms:modified>
</cp:coreProperties>
</file>