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5CF8E" w14:textId="77777777" w:rsidR="003A1D67" w:rsidRDefault="00386CEA">
      <w:commentRangeStart w:id="0"/>
      <w:commentRangeEnd w:id="0"/>
      <w:r>
        <w:rPr>
          <w:rStyle w:val="CommentReference"/>
        </w:rPr>
        <w:commentReference w:id="0"/>
      </w:r>
    </w:p>
    <w:p w14:paraId="4542380D" w14:textId="77777777" w:rsidR="00065765" w:rsidRPr="006C428B" w:rsidRDefault="00065765" w:rsidP="006E37F0">
      <w:pPr>
        <w:jc w:val="center"/>
        <w:rPr>
          <w:b/>
          <w:bCs/>
          <w:sz w:val="22"/>
          <w:szCs w:val="22"/>
        </w:rPr>
      </w:pPr>
    </w:p>
    <w:p w14:paraId="2DC47E20" w14:textId="53D77BC5" w:rsidR="00065765" w:rsidRPr="006C428B" w:rsidRDefault="000A7E57" w:rsidP="000A7E57">
      <w:pPr>
        <w:jc w:val="right"/>
        <w:rPr>
          <w:b/>
          <w:bCs/>
          <w:sz w:val="22"/>
          <w:szCs w:val="22"/>
        </w:rPr>
      </w:pPr>
      <w:r w:rsidRPr="006C428B">
        <w:rPr>
          <w:b/>
          <w:bCs/>
          <w:sz w:val="22"/>
          <w:szCs w:val="22"/>
        </w:rPr>
        <w:t xml:space="preserve">Stephanie </w:t>
      </w:r>
      <w:proofErr w:type="spellStart"/>
      <w:r w:rsidRPr="006C428B">
        <w:rPr>
          <w:b/>
          <w:bCs/>
          <w:sz w:val="22"/>
          <w:szCs w:val="22"/>
        </w:rPr>
        <w:t>Mikulasek</w:t>
      </w:r>
      <w:proofErr w:type="spellEnd"/>
    </w:p>
    <w:p w14:paraId="0B3F90D2" w14:textId="6AE45135" w:rsidR="000A7E57" w:rsidRPr="006C428B" w:rsidRDefault="000A7E57" w:rsidP="000A7E57">
      <w:pPr>
        <w:jc w:val="right"/>
        <w:rPr>
          <w:b/>
          <w:bCs/>
          <w:sz w:val="22"/>
          <w:szCs w:val="22"/>
        </w:rPr>
      </w:pPr>
      <w:r w:rsidRPr="006C428B">
        <w:rPr>
          <w:b/>
          <w:bCs/>
          <w:sz w:val="22"/>
          <w:szCs w:val="22"/>
        </w:rPr>
        <w:t xml:space="preserve">EDLE 818: </w:t>
      </w:r>
      <w:proofErr w:type="spellStart"/>
      <w:r w:rsidRPr="006C428B">
        <w:rPr>
          <w:b/>
          <w:bCs/>
          <w:sz w:val="22"/>
          <w:szCs w:val="22"/>
        </w:rPr>
        <w:t>Landeryou</w:t>
      </w:r>
      <w:proofErr w:type="spellEnd"/>
    </w:p>
    <w:p w14:paraId="540C42A8" w14:textId="7D5D62D2" w:rsidR="000A7E57" w:rsidRPr="006C428B" w:rsidRDefault="000A7E57" w:rsidP="000A7E57">
      <w:pPr>
        <w:jc w:val="right"/>
        <w:rPr>
          <w:b/>
          <w:bCs/>
          <w:sz w:val="22"/>
          <w:szCs w:val="22"/>
        </w:rPr>
      </w:pPr>
      <w:r w:rsidRPr="006C428B">
        <w:rPr>
          <w:b/>
          <w:bCs/>
          <w:sz w:val="22"/>
          <w:szCs w:val="22"/>
        </w:rPr>
        <w:t>Paper #1</w:t>
      </w:r>
    </w:p>
    <w:p w14:paraId="52C4EFAD" w14:textId="75053284" w:rsidR="000A7E57" w:rsidRPr="006C428B" w:rsidRDefault="000A7E57" w:rsidP="000A7E57">
      <w:pPr>
        <w:jc w:val="right"/>
        <w:rPr>
          <w:b/>
          <w:bCs/>
          <w:sz w:val="22"/>
          <w:szCs w:val="22"/>
        </w:rPr>
      </w:pPr>
      <w:r w:rsidRPr="006C428B">
        <w:rPr>
          <w:b/>
          <w:bCs/>
          <w:sz w:val="22"/>
          <w:szCs w:val="22"/>
        </w:rPr>
        <w:t>18 June 2020</w:t>
      </w:r>
    </w:p>
    <w:p w14:paraId="1C9B517A" w14:textId="77777777" w:rsidR="000A7E57" w:rsidRPr="006C428B" w:rsidRDefault="000A7E57" w:rsidP="000A7E57">
      <w:pPr>
        <w:jc w:val="center"/>
        <w:rPr>
          <w:b/>
          <w:bCs/>
          <w:sz w:val="22"/>
          <w:szCs w:val="22"/>
        </w:rPr>
      </w:pPr>
    </w:p>
    <w:p w14:paraId="1FC71C44" w14:textId="77777777" w:rsidR="000A7E57" w:rsidRPr="006C428B" w:rsidRDefault="000A7E57" w:rsidP="000A7E57">
      <w:pPr>
        <w:jc w:val="center"/>
        <w:rPr>
          <w:b/>
          <w:bCs/>
          <w:sz w:val="22"/>
          <w:szCs w:val="22"/>
        </w:rPr>
      </w:pPr>
    </w:p>
    <w:p w14:paraId="502F705B" w14:textId="0D9171CA" w:rsidR="000A7E57" w:rsidRPr="006C428B" w:rsidRDefault="000A7E57" w:rsidP="000A7E57">
      <w:pPr>
        <w:jc w:val="center"/>
        <w:rPr>
          <w:b/>
          <w:bCs/>
          <w:sz w:val="22"/>
          <w:szCs w:val="22"/>
        </w:rPr>
      </w:pPr>
      <w:r w:rsidRPr="006C428B">
        <w:rPr>
          <w:b/>
          <w:bCs/>
          <w:sz w:val="22"/>
          <w:szCs w:val="22"/>
        </w:rPr>
        <w:t>Reframing the Lens:</w:t>
      </w:r>
    </w:p>
    <w:p w14:paraId="46F642B4" w14:textId="77777777" w:rsidR="000A7E57" w:rsidRPr="006C428B" w:rsidRDefault="000A7E57" w:rsidP="000A7E57">
      <w:pPr>
        <w:jc w:val="center"/>
        <w:rPr>
          <w:b/>
          <w:bCs/>
          <w:sz w:val="22"/>
          <w:szCs w:val="22"/>
        </w:rPr>
      </w:pPr>
      <w:r w:rsidRPr="006C428B">
        <w:rPr>
          <w:b/>
          <w:bCs/>
          <w:sz w:val="22"/>
          <w:szCs w:val="22"/>
        </w:rPr>
        <w:t>Fostering Global Competence through Teacher Immersion Programs</w:t>
      </w:r>
    </w:p>
    <w:p w14:paraId="45B88A2B" w14:textId="77777777" w:rsidR="000A7E57" w:rsidRPr="000A7E57" w:rsidRDefault="000A7E57" w:rsidP="000A7E57">
      <w:pPr>
        <w:jc w:val="center"/>
        <w:rPr>
          <w:b/>
          <w:bCs/>
        </w:rPr>
      </w:pPr>
    </w:p>
    <w:p w14:paraId="2CA7E9BB" w14:textId="77777777" w:rsidR="00A5475A" w:rsidRDefault="00A5475A" w:rsidP="00435267"/>
    <w:p w14:paraId="64CC98BF" w14:textId="76A9CDF0" w:rsidR="00A5475A" w:rsidRDefault="00F53FDA" w:rsidP="006C428B">
      <w:pPr>
        <w:spacing w:line="480" w:lineRule="auto"/>
        <w:ind w:firstLine="720"/>
        <w:rPr>
          <w:sz w:val="22"/>
          <w:szCs w:val="22"/>
        </w:rPr>
      </w:pPr>
      <w:r w:rsidRPr="000A7E57">
        <w:rPr>
          <w:sz w:val="22"/>
          <w:szCs w:val="22"/>
        </w:rPr>
        <w:t xml:space="preserve">Teachers convey more than a lesson plan. Their framing of questions, cultural assumptions, </w:t>
      </w:r>
      <w:r w:rsidR="002656AB" w:rsidRPr="000A7E57">
        <w:rPr>
          <w:sz w:val="22"/>
          <w:szCs w:val="22"/>
        </w:rPr>
        <w:t xml:space="preserve">biases, </w:t>
      </w:r>
      <w:r w:rsidRPr="000A7E57">
        <w:rPr>
          <w:sz w:val="22"/>
          <w:szCs w:val="22"/>
        </w:rPr>
        <w:t>approach to different genders, personal background</w:t>
      </w:r>
      <w:r w:rsidR="002656AB" w:rsidRPr="000A7E57">
        <w:rPr>
          <w:sz w:val="22"/>
          <w:szCs w:val="22"/>
        </w:rPr>
        <w:t>, life experiences</w:t>
      </w:r>
      <w:r w:rsidRPr="000A7E57">
        <w:rPr>
          <w:sz w:val="22"/>
          <w:szCs w:val="22"/>
        </w:rPr>
        <w:t xml:space="preserve"> and a host of other factors </w:t>
      </w:r>
      <w:r w:rsidR="009022CA" w:rsidRPr="000A7E57">
        <w:rPr>
          <w:sz w:val="22"/>
          <w:szCs w:val="22"/>
        </w:rPr>
        <w:t xml:space="preserve">form a </w:t>
      </w:r>
      <w:r w:rsidR="002656AB" w:rsidRPr="000A7E57">
        <w:rPr>
          <w:sz w:val="22"/>
          <w:szCs w:val="22"/>
        </w:rPr>
        <w:t xml:space="preserve">lens, or </w:t>
      </w:r>
      <w:r w:rsidR="009022CA" w:rsidRPr="000A7E57">
        <w:rPr>
          <w:sz w:val="22"/>
          <w:szCs w:val="22"/>
        </w:rPr>
        <w:t>framework</w:t>
      </w:r>
      <w:r w:rsidR="002656AB" w:rsidRPr="000A7E57">
        <w:rPr>
          <w:sz w:val="22"/>
          <w:szCs w:val="22"/>
        </w:rPr>
        <w:t>,</w:t>
      </w:r>
      <w:r w:rsidR="009022CA" w:rsidRPr="000A7E57">
        <w:rPr>
          <w:sz w:val="22"/>
          <w:szCs w:val="22"/>
        </w:rPr>
        <w:t xml:space="preserve"> through which they teach. Like all of us, </w:t>
      </w:r>
      <w:r w:rsidR="002656AB" w:rsidRPr="000A7E57">
        <w:rPr>
          <w:sz w:val="22"/>
          <w:szCs w:val="22"/>
        </w:rPr>
        <w:t xml:space="preserve">however, </w:t>
      </w:r>
      <w:r w:rsidR="009022CA" w:rsidRPr="000A7E57">
        <w:rPr>
          <w:sz w:val="22"/>
          <w:szCs w:val="22"/>
        </w:rPr>
        <w:t xml:space="preserve">teachers </w:t>
      </w:r>
      <w:r w:rsidR="002656AB" w:rsidRPr="000A7E57">
        <w:rPr>
          <w:sz w:val="22"/>
          <w:szCs w:val="22"/>
        </w:rPr>
        <w:t xml:space="preserve">generally </w:t>
      </w:r>
      <w:r w:rsidR="009022CA" w:rsidRPr="000A7E57">
        <w:rPr>
          <w:sz w:val="22"/>
          <w:szCs w:val="22"/>
        </w:rPr>
        <w:t xml:space="preserve">are not aware of those frameworks. </w:t>
      </w:r>
      <w:r w:rsidR="00A33E06" w:rsidRPr="000A7E57">
        <w:rPr>
          <w:sz w:val="22"/>
          <w:szCs w:val="22"/>
        </w:rPr>
        <w:t xml:space="preserve">In particular, teachers often lack </w:t>
      </w:r>
      <w:r w:rsidR="002656AB" w:rsidRPr="000A7E57">
        <w:rPr>
          <w:sz w:val="22"/>
          <w:szCs w:val="22"/>
        </w:rPr>
        <w:t xml:space="preserve">intercultural competency </w:t>
      </w:r>
      <w:r w:rsidR="001248BB" w:rsidRPr="000A7E57">
        <w:rPr>
          <w:sz w:val="22"/>
          <w:szCs w:val="22"/>
        </w:rPr>
        <w:t xml:space="preserve">and </w:t>
      </w:r>
      <w:r w:rsidR="002656AB" w:rsidRPr="000A7E57">
        <w:rPr>
          <w:sz w:val="22"/>
          <w:szCs w:val="22"/>
        </w:rPr>
        <w:t>global understanding</w:t>
      </w:r>
      <w:r w:rsidR="001248BB" w:rsidRPr="000A7E57">
        <w:rPr>
          <w:sz w:val="22"/>
          <w:szCs w:val="22"/>
        </w:rPr>
        <w:t xml:space="preserve"> </w:t>
      </w:r>
      <w:r w:rsidR="002656AB" w:rsidRPr="000A7E57">
        <w:rPr>
          <w:sz w:val="22"/>
          <w:szCs w:val="22"/>
        </w:rPr>
        <w:t xml:space="preserve">of how those frameworks affect their teaching of students who come from different countries, cultures, traditions and ways of knowing information. A short-hand way of describing this type of competency is “global citizenship.” </w:t>
      </w:r>
      <w:r w:rsidR="000A2FF7" w:rsidRPr="000A7E57">
        <w:rPr>
          <w:sz w:val="22"/>
          <w:szCs w:val="22"/>
        </w:rPr>
        <w:t>As we ask our students to be globally competent citizens, we must look to the teacher and assess his/her own global competency</w:t>
      </w:r>
      <w:r w:rsidR="00A5475A" w:rsidRPr="000A7E57">
        <w:rPr>
          <w:sz w:val="22"/>
          <w:szCs w:val="22"/>
        </w:rPr>
        <w:t xml:space="preserve">. </w:t>
      </w:r>
      <w:r w:rsidR="000A2FF7" w:rsidRPr="000A7E57">
        <w:rPr>
          <w:sz w:val="22"/>
          <w:szCs w:val="22"/>
        </w:rPr>
        <w:t xml:space="preserve"> </w:t>
      </w:r>
      <w:r w:rsidR="00435267" w:rsidRPr="000A7E57">
        <w:rPr>
          <w:sz w:val="22"/>
          <w:szCs w:val="22"/>
        </w:rPr>
        <w:t>As Sutton notes in her historical overview of global education in the United States,</w:t>
      </w:r>
      <w:r w:rsidR="00A5475A" w:rsidRPr="000A7E57">
        <w:rPr>
          <w:sz w:val="22"/>
          <w:szCs w:val="22"/>
        </w:rPr>
        <w:t xml:space="preserve"> </w:t>
      </w:r>
      <w:r w:rsidR="00435267" w:rsidRPr="00435267">
        <w:rPr>
          <w:sz w:val="22"/>
          <w:szCs w:val="22"/>
        </w:rPr>
        <w:t>‘the strength of global studies rests on the strengths of individual teachers’ (1998</w:t>
      </w:r>
      <w:r w:rsidR="00435267" w:rsidRPr="000A7E57">
        <w:rPr>
          <w:sz w:val="22"/>
          <w:szCs w:val="22"/>
        </w:rPr>
        <w:t>).</w:t>
      </w:r>
      <w:r w:rsidR="00A5475A" w:rsidRPr="000A7E57">
        <w:rPr>
          <w:sz w:val="22"/>
          <w:szCs w:val="22"/>
        </w:rPr>
        <w:t xml:space="preserve">  </w:t>
      </w:r>
      <w:r w:rsidR="00435267" w:rsidRPr="000A7E57">
        <w:rPr>
          <w:sz w:val="22"/>
          <w:szCs w:val="22"/>
        </w:rPr>
        <w:t>Some researchers suggest schools and colleges of education are often the</w:t>
      </w:r>
      <w:r w:rsidR="00A5475A" w:rsidRPr="000A7E57">
        <w:rPr>
          <w:sz w:val="22"/>
          <w:szCs w:val="22"/>
        </w:rPr>
        <w:t xml:space="preserve"> </w:t>
      </w:r>
      <w:r w:rsidR="00435267" w:rsidRPr="00435267">
        <w:rPr>
          <w:sz w:val="22"/>
          <w:szCs w:val="22"/>
        </w:rPr>
        <w:t>least internationali</w:t>
      </w:r>
      <w:r w:rsidR="00435267" w:rsidRPr="000A7E57">
        <w:rPr>
          <w:sz w:val="22"/>
          <w:szCs w:val="22"/>
        </w:rPr>
        <w:t>z</w:t>
      </w:r>
      <w:r w:rsidR="00435267" w:rsidRPr="00435267">
        <w:rPr>
          <w:sz w:val="22"/>
          <w:szCs w:val="22"/>
        </w:rPr>
        <w:t xml:space="preserve">ed </w:t>
      </w:r>
      <w:r w:rsidR="00435267" w:rsidRPr="000A7E57">
        <w:rPr>
          <w:sz w:val="22"/>
          <w:szCs w:val="22"/>
        </w:rPr>
        <w:t>divisions in U.S. post</w:t>
      </w:r>
      <w:r w:rsidR="006E37F0" w:rsidRPr="000A7E57">
        <w:rPr>
          <w:sz w:val="22"/>
          <w:szCs w:val="22"/>
        </w:rPr>
        <w:t>-</w:t>
      </w:r>
      <w:r w:rsidR="00435267" w:rsidRPr="000A7E57">
        <w:rPr>
          <w:sz w:val="22"/>
          <w:szCs w:val="22"/>
        </w:rPr>
        <w:t xml:space="preserve">secondary institutions </w:t>
      </w:r>
      <w:r w:rsidR="00435267" w:rsidRPr="00435267">
        <w:rPr>
          <w:sz w:val="22"/>
          <w:szCs w:val="22"/>
        </w:rPr>
        <w:t>(Schneider</w:t>
      </w:r>
      <w:r w:rsidR="000A7E57" w:rsidRPr="000A7E57">
        <w:rPr>
          <w:sz w:val="22"/>
          <w:szCs w:val="22"/>
        </w:rPr>
        <w:t>,</w:t>
      </w:r>
      <w:r w:rsidR="00A33E06" w:rsidRPr="000A7E57">
        <w:rPr>
          <w:sz w:val="22"/>
          <w:szCs w:val="22"/>
        </w:rPr>
        <w:t xml:space="preserve"> </w:t>
      </w:r>
      <w:r w:rsidR="00435267" w:rsidRPr="00435267">
        <w:rPr>
          <w:sz w:val="22"/>
          <w:szCs w:val="22"/>
        </w:rPr>
        <w:t>2003) and that consequently, ‘most teachers begin their careers with little more than</w:t>
      </w:r>
      <w:r w:rsidR="00A33E06" w:rsidRPr="000A7E57">
        <w:rPr>
          <w:sz w:val="22"/>
          <w:szCs w:val="22"/>
        </w:rPr>
        <w:t xml:space="preserve"> </w:t>
      </w:r>
      <w:r w:rsidR="00435267" w:rsidRPr="000A7E57">
        <w:rPr>
          <w:sz w:val="22"/>
          <w:szCs w:val="22"/>
        </w:rPr>
        <w:t>superficial knowledge of the world’ (Longview Foundation</w:t>
      </w:r>
      <w:r w:rsidR="000A7E57" w:rsidRPr="000A7E57">
        <w:rPr>
          <w:sz w:val="22"/>
          <w:szCs w:val="22"/>
        </w:rPr>
        <w:t>,</w:t>
      </w:r>
      <w:r w:rsidR="00435267" w:rsidRPr="000A7E57">
        <w:rPr>
          <w:sz w:val="22"/>
          <w:szCs w:val="22"/>
        </w:rPr>
        <w:t xml:space="preserve"> </w:t>
      </w:r>
      <w:commentRangeStart w:id="1"/>
      <w:r w:rsidR="00435267" w:rsidRPr="000A7E57">
        <w:rPr>
          <w:sz w:val="22"/>
          <w:szCs w:val="22"/>
        </w:rPr>
        <w:t>2008</w:t>
      </w:r>
      <w:commentRangeEnd w:id="1"/>
      <w:r w:rsidR="00EE787C">
        <w:rPr>
          <w:rStyle w:val="CommentReference"/>
        </w:rPr>
        <w:commentReference w:id="1"/>
      </w:r>
      <w:r w:rsidR="00435267" w:rsidRPr="000A7E57">
        <w:rPr>
          <w:sz w:val="22"/>
          <w:szCs w:val="22"/>
        </w:rPr>
        <w:t xml:space="preserve">). </w:t>
      </w:r>
      <w:r w:rsidR="002656AB" w:rsidRPr="000A7E57">
        <w:rPr>
          <w:sz w:val="22"/>
          <w:szCs w:val="22"/>
        </w:rPr>
        <w:t xml:space="preserve">The question is how to most efficiently and effectively build global competency and understanding among teachers? This research paper examines one tool to build global citizenship among teachers, namely through international immersion programs. The purpose of this study is to examine </w:t>
      </w:r>
      <w:r w:rsidR="002656AB" w:rsidRPr="00EE787C">
        <w:rPr>
          <w:b/>
          <w:bCs/>
          <w:sz w:val="22"/>
          <w:szCs w:val="22"/>
        </w:rPr>
        <w:t>how international immersion experiences for teachers affect th</w:t>
      </w:r>
      <w:r w:rsidR="00B45834">
        <w:rPr>
          <w:b/>
          <w:bCs/>
          <w:sz w:val="22"/>
          <w:szCs w:val="22"/>
        </w:rPr>
        <w:t>e</w:t>
      </w:r>
      <w:r w:rsidR="002656AB" w:rsidRPr="00EE787C">
        <w:rPr>
          <w:b/>
          <w:bCs/>
          <w:sz w:val="22"/>
          <w:szCs w:val="22"/>
        </w:rPr>
        <w:t xml:space="preserve"> percent of students who identify themselves as global</w:t>
      </w:r>
      <w:r w:rsidR="000A2FF7" w:rsidRPr="00EE787C">
        <w:rPr>
          <w:b/>
          <w:bCs/>
          <w:sz w:val="22"/>
          <w:szCs w:val="22"/>
        </w:rPr>
        <w:t>ly competent</w:t>
      </w:r>
      <w:r w:rsidR="002656AB" w:rsidRPr="00EE787C">
        <w:rPr>
          <w:b/>
          <w:bCs/>
          <w:sz w:val="22"/>
          <w:szCs w:val="22"/>
        </w:rPr>
        <w:t xml:space="preserve"> </w:t>
      </w:r>
      <w:commentRangeStart w:id="2"/>
      <w:r w:rsidR="002656AB" w:rsidRPr="00EE787C">
        <w:rPr>
          <w:b/>
          <w:bCs/>
          <w:sz w:val="22"/>
          <w:szCs w:val="22"/>
        </w:rPr>
        <w:t>citizens</w:t>
      </w:r>
      <w:commentRangeEnd w:id="2"/>
      <w:r w:rsidR="00EE787C">
        <w:rPr>
          <w:rStyle w:val="CommentReference"/>
        </w:rPr>
        <w:commentReference w:id="2"/>
      </w:r>
      <w:r w:rsidR="002656AB" w:rsidRPr="00EE787C">
        <w:rPr>
          <w:b/>
          <w:bCs/>
          <w:sz w:val="22"/>
          <w:szCs w:val="22"/>
        </w:rPr>
        <w:t>.</w:t>
      </w:r>
      <w:r w:rsidR="002656AB" w:rsidRPr="00EE787C">
        <w:rPr>
          <w:sz w:val="22"/>
          <w:szCs w:val="22"/>
        </w:rPr>
        <w:t xml:space="preserve">  </w:t>
      </w:r>
    </w:p>
    <w:p w14:paraId="7B7EE605" w14:textId="77777777" w:rsidR="006C428B" w:rsidRPr="000A7E57" w:rsidRDefault="006C428B" w:rsidP="006C428B">
      <w:pPr>
        <w:spacing w:line="480" w:lineRule="auto"/>
        <w:ind w:firstLine="720"/>
        <w:rPr>
          <w:sz w:val="22"/>
          <w:szCs w:val="22"/>
        </w:rPr>
      </w:pPr>
    </w:p>
    <w:p w14:paraId="3CE32E1E" w14:textId="20DD45B3" w:rsidR="00A5475A" w:rsidRPr="000A7E57" w:rsidRDefault="00A5475A" w:rsidP="006C428B">
      <w:pPr>
        <w:spacing w:line="480" w:lineRule="auto"/>
        <w:rPr>
          <w:b/>
          <w:bCs/>
          <w:sz w:val="22"/>
          <w:szCs w:val="22"/>
        </w:rPr>
      </w:pPr>
      <w:r w:rsidRPr="000A7E57">
        <w:rPr>
          <w:b/>
          <w:bCs/>
          <w:sz w:val="22"/>
          <w:szCs w:val="22"/>
        </w:rPr>
        <w:t>Theoretical Framework</w:t>
      </w:r>
    </w:p>
    <w:p w14:paraId="7DFF3510" w14:textId="42A39A21" w:rsidR="001632D4" w:rsidRPr="000A7E57" w:rsidRDefault="001632D4" w:rsidP="006C428B">
      <w:pPr>
        <w:spacing w:line="480" w:lineRule="auto"/>
        <w:rPr>
          <w:sz w:val="22"/>
          <w:szCs w:val="22"/>
        </w:rPr>
      </w:pPr>
    </w:p>
    <w:p w14:paraId="06B83340" w14:textId="4E4B4361" w:rsidR="00065765" w:rsidRPr="000A7E57" w:rsidRDefault="001632D4" w:rsidP="006C428B">
      <w:pPr>
        <w:spacing w:line="480" w:lineRule="auto"/>
        <w:ind w:firstLine="720"/>
        <w:rPr>
          <w:sz w:val="22"/>
          <w:szCs w:val="22"/>
        </w:rPr>
      </w:pPr>
      <w:r w:rsidRPr="000A7E57">
        <w:rPr>
          <w:sz w:val="22"/>
          <w:szCs w:val="22"/>
        </w:rPr>
        <w:t>To answer this question, I would normally use an exploratory case study approach</w:t>
      </w:r>
      <w:r w:rsidR="006C428B">
        <w:rPr>
          <w:sz w:val="22"/>
          <w:szCs w:val="22"/>
        </w:rPr>
        <w:t xml:space="preserve"> including questionnaires, surveys, interviews and other qualitative tools</w:t>
      </w:r>
      <w:r w:rsidRPr="000A7E57">
        <w:rPr>
          <w:sz w:val="22"/>
          <w:szCs w:val="22"/>
        </w:rPr>
        <w:t>, but in this research study we will rely on a literature review only.  I will include articles only if they focus on: (1) defining global citizenship/international mindedness; (2) include teachers and international experiences for teachers; (3) discuss an assessment of global identity among students; and</w:t>
      </w:r>
      <w:r w:rsidR="000A7E57" w:rsidRPr="000A7E57">
        <w:rPr>
          <w:sz w:val="22"/>
          <w:szCs w:val="22"/>
        </w:rPr>
        <w:t>/or</w:t>
      </w:r>
      <w:r w:rsidRPr="000A7E57">
        <w:rPr>
          <w:sz w:val="22"/>
          <w:szCs w:val="22"/>
        </w:rPr>
        <w:t xml:space="preserve"> (4) examine intercultural competency</w:t>
      </w:r>
      <w:r w:rsidR="000A7E57" w:rsidRPr="000A7E57">
        <w:rPr>
          <w:sz w:val="22"/>
          <w:szCs w:val="22"/>
        </w:rPr>
        <w:t xml:space="preserve"> among teachers and students</w:t>
      </w:r>
      <w:r w:rsidRPr="000A7E57">
        <w:rPr>
          <w:sz w:val="22"/>
          <w:szCs w:val="22"/>
        </w:rPr>
        <w:t xml:space="preserve">. I will not include articles if they: (1) only focus on international immersion programs for students; and (2) do not include international programs, i.e. are local </w:t>
      </w:r>
      <w:r w:rsidR="001248BB" w:rsidRPr="000A7E57">
        <w:rPr>
          <w:sz w:val="22"/>
          <w:szCs w:val="22"/>
        </w:rPr>
        <w:t xml:space="preserve">programs </w:t>
      </w:r>
      <w:commentRangeStart w:id="3"/>
      <w:r w:rsidRPr="000A7E57">
        <w:rPr>
          <w:sz w:val="22"/>
          <w:szCs w:val="22"/>
        </w:rPr>
        <w:t>only</w:t>
      </w:r>
      <w:commentRangeEnd w:id="3"/>
      <w:r w:rsidR="00EE787C">
        <w:rPr>
          <w:rStyle w:val="CommentReference"/>
        </w:rPr>
        <w:commentReference w:id="3"/>
      </w:r>
      <w:r w:rsidRPr="000A7E57">
        <w:rPr>
          <w:sz w:val="22"/>
          <w:szCs w:val="22"/>
        </w:rPr>
        <w:t xml:space="preserve">. </w:t>
      </w:r>
    </w:p>
    <w:p w14:paraId="44478789" w14:textId="3864B9EE" w:rsidR="000A2FF7" w:rsidRPr="000A7E57" w:rsidRDefault="00065765" w:rsidP="006C428B">
      <w:pPr>
        <w:spacing w:line="480" w:lineRule="auto"/>
        <w:ind w:firstLine="720"/>
        <w:rPr>
          <w:sz w:val="22"/>
          <w:szCs w:val="22"/>
        </w:rPr>
      </w:pPr>
      <w:r w:rsidRPr="000A7E57">
        <w:rPr>
          <w:sz w:val="22"/>
          <w:szCs w:val="22"/>
        </w:rPr>
        <w:t>This research is based in the assumption that we want our students and teachers to be globally competent. Reimers refers to the necessity of global competence given the frequency and type of interactions among different cultures and worldviews</w:t>
      </w:r>
      <w:r w:rsidR="000A7E57" w:rsidRPr="000A7E57">
        <w:rPr>
          <w:sz w:val="22"/>
          <w:szCs w:val="22"/>
        </w:rPr>
        <w:t xml:space="preserve"> (2009)</w:t>
      </w:r>
      <w:r w:rsidRPr="000A7E57">
        <w:rPr>
          <w:sz w:val="22"/>
          <w:szCs w:val="22"/>
        </w:rPr>
        <w:t xml:space="preserve">. Schools serve the purpose of preparing students to effectively develop tolerance, a deep knowledge of global affairs, a commitment to peace, and how to live their lives in a highly globalized socio-economic and political construct (Reimers, 2009). </w:t>
      </w:r>
    </w:p>
    <w:p w14:paraId="71B30E40" w14:textId="63898956" w:rsidR="00435267" w:rsidRPr="000A7E57" w:rsidRDefault="00065765" w:rsidP="006C428B">
      <w:pPr>
        <w:spacing w:line="480" w:lineRule="auto"/>
        <w:ind w:firstLine="720"/>
        <w:rPr>
          <w:sz w:val="22"/>
          <w:szCs w:val="22"/>
        </w:rPr>
      </w:pPr>
      <w:r w:rsidRPr="000A7E57">
        <w:rPr>
          <w:sz w:val="22"/>
          <w:szCs w:val="22"/>
        </w:rPr>
        <w:t>The</w:t>
      </w:r>
      <w:r w:rsidR="001248BB" w:rsidRPr="000A7E57">
        <w:rPr>
          <w:sz w:val="22"/>
          <w:szCs w:val="22"/>
        </w:rPr>
        <w:t xml:space="preserve"> framework</w:t>
      </w:r>
      <w:r w:rsidR="00435267" w:rsidRPr="000A7E57">
        <w:rPr>
          <w:sz w:val="22"/>
          <w:szCs w:val="22"/>
        </w:rPr>
        <w:t xml:space="preserve"> </w:t>
      </w:r>
      <w:r w:rsidRPr="000A7E57">
        <w:rPr>
          <w:sz w:val="22"/>
          <w:szCs w:val="22"/>
        </w:rPr>
        <w:t xml:space="preserve">used in this research </w:t>
      </w:r>
      <w:r w:rsidR="00435267" w:rsidRPr="000A7E57">
        <w:rPr>
          <w:sz w:val="22"/>
          <w:szCs w:val="22"/>
        </w:rPr>
        <w:t>proposes a definition for two terms. First, the</w:t>
      </w:r>
      <w:r w:rsidR="001248BB" w:rsidRPr="000A7E57">
        <w:rPr>
          <w:sz w:val="22"/>
          <w:szCs w:val="22"/>
        </w:rPr>
        <w:t xml:space="preserve"> notion of “global citizenship” or “global competency” does not have a uniform or consistent definition, although there are common themes in those definitions. </w:t>
      </w:r>
      <w:r w:rsidR="00557134" w:rsidRPr="000A7E57">
        <w:rPr>
          <w:sz w:val="22"/>
          <w:szCs w:val="22"/>
        </w:rPr>
        <w:t xml:space="preserve">In addition, different </w:t>
      </w:r>
      <w:r w:rsidR="00435267" w:rsidRPr="000A7E57">
        <w:rPr>
          <w:sz w:val="22"/>
          <w:szCs w:val="22"/>
        </w:rPr>
        <w:t>terminology</w:t>
      </w:r>
      <w:r w:rsidR="00557134" w:rsidRPr="000A7E57">
        <w:rPr>
          <w:sz w:val="22"/>
          <w:szCs w:val="22"/>
        </w:rPr>
        <w:t xml:space="preserve"> </w:t>
      </w:r>
      <w:r w:rsidR="000A7E57" w:rsidRPr="000A7E57">
        <w:rPr>
          <w:sz w:val="22"/>
          <w:szCs w:val="22"/>
        </w:rPr>
        <w:t>is</w:t>
      </w:r>
      <w:r w:rsidR="00557134" w:rsidRPr="000A7E57">
        <w:rPr>
          <w:sz w:val="22"/>
          <w:szCs w:val="22"/>
        </w:rPr>
        <w:t xml:space="preserve"> used, such as “intercultural competence,” “critical global citizenship,” and “global cosmopolitan”</w:t>
      </w:r>
      <w:r w:rsidR="000A7E57" w:rsidRPr="000A7E57">
        <w:rPr>
          <w:sz w:val="22"/>
          <w:szCs w:val="22"/>
        </w:rPr>
        <w:t xml:space="preserve"> (Ramos, 2020).</w:t>
      </w:r>
      <w:r w:rsidR="00557134" w:rsidRPr="000A7E57">
        <w:rPr>
          <w:sz w:val="22"/>
          <w:szCs w:val="22"/>
        </w:rPr>
        <w:t xml:space="preserve"> Reimers defines global competency as the obtainment of attitudinal and ethical dispositions, and the collection of knowledge and skills to help people integrate across disciplinary domains to understand global issues and how to address them (2009).  For the purposes of this paper, </w:t>
      </w:r>
      <w:r w:rsidR="00435267" w:rsidRPr="000A7E57">
        <w:rPr>
          <w:sz w:val="22"/>
          <w:szCs w:val="22"/>
        </w:rPr>
        <w:t xml:space="preserve">the definition proposed by the </w:t>
      </w:r>
      <w:r w:rsidR="00F66AD4" w:rsidRPr="000A7E57">
        <w:rPr>
          <w:sz w:val="22"/>
          <w:szCs w:val="22"/>
        </w:rPr>
        <w:t>Organi</w:t>
      </w:r>
      <w:r w:rsidR="00435267" w:rsidRPr="000A7E57">
        <w:rPr>
          <w:sz w:val="22"/>
          <w:szCs w:val="22"/>
        </w:rPr>
        <w:t>z</w:t>
      </w:r>
      <w:r w:rsidR="00F66AD4" w:rsidRPr="000A7E57">
        <w:rPr>
          <w:sz w:val="22"/>
          <w:szCs w:val="22"/>
        </w:rPr>
        <w:t>ation for Economic Co-operation and Development (OECD) and the Center for Global Education at Asia Society</w:t>
      </w:r>
      <w:r w:rsidR="00435267" w:rsidRPr="000A7E57">
        <w:rPr>
          <w:sz w:val="22"/>
          <w:szCs w:val="22"/>
        </w:rPr>
        <w:t xml:space="preserve"> will be used</w:t>
      </w:r>
      <w:r w:rsidR="0066055D" w:rsidRPr="000A7E57">
        <w:rPr>
          <w:sz w:val="22"/>
          <w:szCs w:val="22"/>
        </w:rPr>
        <w:t xml:space="preserve">: </w:t>
      </w:r>
    </w:p>
    <w:p w14:paraId="33EB80DC" w14:textId="77777777" w:rsidR="00435267" w:rsidRDefault="00435267" w:rsidP="002656AB"/>
    <w:p w14:paraId="626CB72F" w14:textId="2B1E92E1" w:rsidR="00F66AD4" w:rsidRDefault="0066055D" w:rsidP="00435267">
      <w:pPr>
        <w:ind w:left="1440"/>
      </w:pPr>
      <w:r>
        <w:rPr>
          <w:rStyle w:val="A3"/>
        </w:rPr>
        <w:t>Global competence is the capacity to examine local, global, and intercultural issues; to understand and appreciate the perspectives and world views of others; to engage in open, appropriate, and effective interactions with people from different cultures; and to act for collective well-being and sustainable development.</w:t>
      </w:r>
      <w:r w:rsidR="00435267">
        <w:rPr>
          <w:rStyle w:val="A3"/>
        </w:rPr>
        <w:t xml:space="preserve"> (OECD/Asia Society, 2018)</w:t>
      </w:r>
    </w:p>
    <w:p w14:paraId="46B43CC4" w14:textId="0B8C01F9" w:rsidR="0066055D" w:rsidRDefault="0066055D" w:rsidP="002656AB"/>
    <w:p w14:paraId="44F86176" w14:textId="2E1C59D8" w:rsidR="0066055D" w:rsidRPr="000A7E57" w:rsidRDefault="00435267" w:rsidP="006C428B">
      <w:pPr>
        <w:spacing w:line="480" w:lineRule="auto"/>
        <w:rPr>
          <w:sz w:val="22"/>
          <w:szCs w:val="22"/>
        </w:rPr>
      </w:pPr>
      <w:r w:rsidRPr="000A7E57">
        <w:rPr>
          <w:sz w:val="22"/>
          <w:szCs w:val="22"/>
        </w:rPr>
        <w:lastRenderedPageBreak/>
        <w:t>The</w:t>
      </w:r>
      <w:r w:rsidR="0066055D" w:rsidRPr="0066055D">
        <w:rPr>
          <w:sz w:val="22"/>
          <w:szCs w:val="22"/>
        </w:rPr>
        <w:t xml:space="preserve"> OECD and the Center for Global Education </w:t>
      </w:r>
      <w:r w:rsidRPr="000A7E57">
        <w:rPr>
          <w:sz w:val="22"/>
          <w:szCs w:val="22"/>
        </w:rPr>
        <w:t xml:space="preserve">name four key components of global competence (OECD/Asia Society, 2018).  </w:t>
      </w:r>
      <w:r w:rsidR="0066055D" w:rsidRPr="0066055D">
        <w:rPr>
          <w:sz w:val="22"/>
          <w:szCs w:val="22"/>
        </w:rPr>
        <w:t xml:space="preserve">Globally competent youth: </w:t>
      </w:r>
    </w:p>
    <w:p w14:paraId="07BFB4ED" w14:textId="77777777" w:rsidR="0066055D" w:rsidRPr="0066055D" w:rsidRDefault="0066055D" w:rsidP="006C428B">
      <w:pPr>
        <w:spacing w:line="360" w:lineRule="auto"/>
        <w:ind w:left="720"/>
        <w:rPr>
          <w:sz w:val="22"/>
          <w:szCs w:val="22"/>
        </w:rPr>
      </w:pPr>
      <w:r w:rsidRPr="0066055D">
        <w:rPr>
          <w:sz w:val="22"/>
          <w:szCs w:val="22"/>
        </w:rPr>
        <w:t xml:space="preserve">(1) investigate the world beyond their immediate environment by examining issues of local, global, and cultural significance; </w:t>
      </w:r>
    </w:p>
    <w:p w14:paraId="608C9F65" w14:textId="77777777" w:rsidR="0066055D" w:rsidRPr="0066055D" w:rsidRDefault="0066055D" w:rsidP="006C428B">
      <w:pPr>
        <w:spacing w:line="360" w:lineRule="auto"/>
        <w:ind w:firstLine="720"/>
        <w:rPr>
          <w:sz w:val="22"/>
          <w:szCs w:val="22"/>
        </w:rPr>
      </w:pPr>
      <w:r w:rsidRPr="0066055D">
        <w:rPr>
          <w:sz w:val="22"/>
          <w:szCs w:val="22"/>
        </w:rPr>
        <w:t xml:space="preserve">(2) recognize, understand, and appreciate the perspectives and world views of others; </w:t>
      </w:r>
    </w:p>
    <w:p w14:paraId="0DCBC17B" w14:textId="77777777" w:rsidR="0066055D" w:rsidRPr="0066055D" w:rsidRDefault="0066055D" w:rsidP="006C428B">
      <w:pPr>
        <w:spacing w:line="360" w:lineRule="auto"/>
        <w:ind w:left="720"/>
        <w:rPr>
          <w:sz w:val="22"/>
          <w:szCs w:val="22"/>
        </w:rPr>
      </w:pPr>
      <w:r w:rsidRPr="0066055D">
        <w:rPr>
          <w:sz w:val="22"/>
          <w:szCs w:val="22"/>
        </w:rPr>
        <w:t xml:space="preserve">(3) communicate ideas effectively with diverse audiences by engaging in open, appropriate, and effective interactions across cultures; and </w:t>
      </w:r>
    </w:p>
    <w:p w14:paraId="15346DF9" w14:textId="5CCA52B7" w:rsidR="0066055D" w:rsidRPr="000A7E57" w:rsidRDefault="0066055D" w:rsidP="006C428B">
      <w:pPr>
        <w:spacing w:line="360" w:lineRule="auto"/>
        <w:ind w:firstLine="720"/>
        <w:rPr>
          <w:sz w:val="22"/>
          <w:szCs w:val="22"/>
        </w:rPr>
      </w:pPr>
      <w:r w:rsidRPr="000A7E57">
        <w:rPr>
          <w:sz w:val="22"/>
          <w:szCs w:val="22"/>
        </w:rPr>
        <w:t>(4) take action for collective well-being and sustainable development both locally and globally.</w:t>
      </w:r>
    </w:p>
    <w:p w14:paraId="699E6FE5" w14:textId="7E378B11" w:rsidR="000A2FF7" w:rsidRPr="000A7E57" w:rsidRDefault="000A2FF7" w:rsidP="006C428B">
      <w:pPr>
        <w:spacing w:line="480" w:lineRule="auto"/>
        <w:rPr>
          <w:sz w:val="22"/>
          <w:szCs w:val="22"/>
        </w:rPr>
      </w:pPr>
    </w:p>
    <w:p w14:paraId="63FDFBD0" w14:textId="1F16112B" w:rsidR="001632D4" w:rsidRPr="000A7E57" w:rsidRDefault="000A2FF7" w:rsidP="006C428B">
      <w:pPr>
        <w:spacing w:line="480" w:lineRule="auto"/>
        <w:ind w:firstLine="720"/>
        <w:rPr>
          <w:sz w:val="22"/>
          <w:szCs w:val="22"/>
        </w:rPr>
      </w:pPr>
      <w:r w:rsidRPr="000A7E57">
        <w:rPr>
          <w:sz w:val="22"/>
          <w:szCs w:val="22"/>
        </w:rPr>
        <w:t xml:space="preserve">In addition, </w:t>
      </w:r>
      <w:r w:rsidR="00435267" w:rsidRPr="000A7E57">
        <w:rPr>
          <w:sz w:val="22"/>
          <w:szCs w:val="22"/>
        </w:rPr>
        <w:t>the term</w:t>
      </w:r>
      <w:r w:rsidRPr="000A7E57">
        <w:rPr>
          <w:sz w:val="22"/>
          <w:szCs w:val="22"/>
        </w:rPr>
        <w:t xml:space="preserve"> “international immersion programs”</w:t>
      </w:r>
      <w:r w:rsidR="00435267" w:rsidRPr="000A7E57">
        <w:rPr>
          <w:sz w:val="22"/>
          <w:szCs w:val="22"/>
        </w:rPr>
        <w:t xml:space="preserve"> is not uniformly defined. </w:t>
      </w:r>
      <w:r w:rsidR="001248BB" w:rsidRPr="000A7E57">
        <w:rPr>
          <w:sz w:val="22"/>
          <w:szCs w:val="22"/>
        </w:rPr>
        <w:t xml:space="preserve">What constitutes an immersion program? </w:t>
      </w:r>
      <w:r w:rsidRPr="000A7E57">
        <w:rPr>
          <w:sz w:val="22"/>
          <w:szCs w:val="22"/>
        </w:rPr>
        <w:t xml:space="preserve"> </w:t>
      </w:r>
      <w:r w:rsidR="00A5475A" w:rsidRPr="000A7E57">
        <w:rPr>
          <w:sz w:val="22"/>
          <w:szCs w:val="22"/>
        </w:rPr>
        <w:t xml:space="preserve">For the purposes of this study, an international immersion program occurs when a teacher leaves his/her home country and immerses in a different country for at least three weeks and no longer than 10 months.  In addition, an immersion program must include significant (defined as above 50 percent) of </w:t>
      </w:r>
      <w:r w:rsidR="000A7E57" w:rsidRPr="000A7E57">
        <w:rPr>
          <w:sz w:val="22"/>
          <w:szCs w:val="22"/>
        </w:rPr>
        <w:t>engagement</w:t>
      </w:r>
      <w:r w:rsidR="00A5475A" w:rsidRPr="000A7E57">
        <w:rPr>
          <w:sz w:val="22"/>
          <w:szCs w:val="22"/>
        </w:rPr>
        <w:t xml:space="preserve"> with local people in the host country</w:t>
      </w:r>
      <w:r w:rsidR="000A7E57" w:rsidRPr="000A7E57">
        <w:rPr>
          <w:sz w:val="22"/>
          <w:szCs w:val="22"/>
        </w:rPr>
        <w:t xml:space="preserve"> either by living with a host family and/or attending school or work with the local </w:t>
      </w:r>
      <w:commentRangeStart w:id="4"/>
      <w:r w:rsidR="000A7E57" w:rsidRPr="000A7E57">
        <w:rPr>
          <w:sz w:val="22"/>
          <w:szCs w:val="22"/>
        </w:rPr>
        <w:t>community</w:t>
      </w:r>
      <w:commentRangeEnd w:id="4"/>
      <w:r w:rsidR="00EE787C">
        <w:rPr>
          <w:rStyle w:val="CommentReference"/>
        </w:rPr>
        <w:commentReference w:id="4"/>
      </w:r>
      <w:r w:rsidR="00A5475A" w:rsidRPr="000A7E57">
        <w:rPr>
          <w:sz w:val="22"/>
          <w:szCs w:val="22"/>
        </w:rPr>
        <w:t xml:space="preserve">. </w:t>
      </w:r>
    </w:p>
    <w:p w14:paraId="6DAFF52A" w14:textId="3995C0C4" w:rsidR="001632D4" w:rsidRPr="000A7E57" w:rsidRDefault="000A7E57" w:rsidP="006C428B">
      <w:pPr>
        <w:spacing w:line="480" w:lineRule="auto"/>
        <w:ind w:firstLine="720"/>
        <w:rPr>
          <w:sz w:val="22"/>
          <w:szCs w:val="22"/>
        </w:rPr>
      </w:pPr>
      <w:r w:rsidRPr="000A7E57">
        <w:rPr>
          <w:sz w:val="22"/>
          <w:szCs w:val="22"/>
        </w:rPr>
        <w:t>To the extent possible, t</w:t>
      </w:r>
      <w:r w:rsidR="00A5475A" w:rsidRPr="000A7E57">
        <w:rPr>
          <w:sz w:val="22"/>
          <w:szCs w:val="22"/>
        </w:rPr>
        <w:t>his study will also</w:t>
      </w:r>
      <w:r w:rsidR="001248BB" w:rsidRPr="000A7E57">
        <w:rPr>
          <w:sz w:val="22"/>
          <w:szCs w:val="22"/>
        </w:rPr>
        <w:t xml:space="preserve"> </w:t>
      </w:r>
      <w:r w:rsidR="001632D4" w:rsidRPr="000A7E57">
        <w:rPr>
          <w:sz w:val="22"/>
          <w:szCs w:val="22"/>
        </w:rPr>
        <w:t xml:space="preserve">identify </w:t>
      </w:r>
      <w:r w:rsidR="00A5475A" w:rsidRPr="000A7E57">
        <w:rPr>
          <w:sz w:val="22"/>
          <w:szCs w:val="22"/>
        </w:rPr>
        <w:t xml:space="preserve">biographical </w:t>
      </w:r>
      <w:r w:rsidR="001632D4" w:rsidRPr="000A7E57">
        <w:rPr>
          <w:sz w:val="22"/>
          <w:szCs w:val="22"/>
        </w:rPr>
        <w:t>factors</w:t>
      </w:r>
      <w:r w:rsidR="00A5475A" w:rsidRPr="000A7E57">
        <w:rPr>
          <w:sz w:val="22"/>
          <w:szCs w:val="22"/>
        </w:rPr>
        <w:t xml:space="preserve"> of teachers </w:t>
      </w:r>
      <w:r w:rsidR="001632D4" w:rsidRPr="000A7E57">
        <w:rPr>
          <w:sz w:val="22"/>
          <w:szCs w:val="22"/>
        </w:rPr>
        <w:t>who have engaged in an immersion program</w:t>
      </w:r>
      <w:r w:rsidR="00A5475A" w:rsidRPr="000A7E57">
        <w:rPr>
          <w:sz w:val="22"/>
          <w:szCs w:val="22"/>
        </w:rPr>
        <w:t xml:space="preserve">s, including their age, </w:t>
      </w:r>
      <w:r w:rsidR="006E37F0" w:rsidRPr="000A7E57">
        <w:rPr>
          <w:sz w:val="22"/>
          <w:szCs w:val="22"/>
        </w:rPr>
        <w:t xml:space="preserve">gender, race, sexual orientation, length of time teaching, </w:t>
      </w:r>
      <w:r w:rsidR="001632D4" w:rsidRPr="000A7E57">
        <w:rPr>
          <w:sz w:val="22"/>
          <w:szCs w:val="22"/>
        </w:rPr>
        <w:t>country(s) visited, personal backgrounds</w:t>
      </w:r>
      <w:r w:rsidR="00A5475A" w:rsidRPr="000A7E57">
        <w:rPr>
          <w:sz w:val="22"/>
          <w:szCs w:val="22"/>
        </w:rPr>
        <w:t>, and length of time in the immersion program.  This information will be disaggregated to determine if certain variables affect the teacher’s perception of global competency and percent increase among students.</w:t>
      </w:r>
    </w:p>
    <w:p w14:paraId="408B6B0F" w14:textId="77777777" w:rsidR="006C428B" w:rsidRDefault="006C428B" w:rsidP="006C428B">
      <w:pPr>
        <w:spacing w:line="480" w:lineRule="auto"/>
        <w:rPr>
          <w:sz w:val="22"/>
          <w:szCs w:val="22"/>
        </w:rPr>
      </w:pPr>
    </w:p>
    <w:p w14:paraId="56D36E33" w14:textId="3F970134" w:rsidR="006E37F0" w:rsidRPr="006C428B" w:rsidRDefault="006E37F0" w:rsidP="006C428B">
      <w:pPr>
        <w:spacing w:line="480" w:lineRule="auto"/>
        <w:rPr>
          <w:b/>
          <w:bCs/>
          <w:sz w:val="22"/>
          <w:szCs w:val="22"/>
        </w:rPr>
      </w:pPr>
      <w:r w:rsidRPr="000A7E57">
        <w:rPr>
          <w:b/>
          <w:bCs/>
          <w:sz w:val="22"/>
          <w:szCs w:val="22"/>
        </w:rPr>
        <w:t>Conclusion</w:t>
      </w:r>
    </w:p>
    <w:p w14:paraId="3501D301" w14:textId="0B3DA333" w:rsidR="000A2FF7" w:rsidRPr="000A7E57" w:rsidRDefault="006E37F0" w:rsidP="006C428B">
      <w:pPr>
        <w:spacing w:line="480" w:lineRule="auto"/>
        <w:ind w:firstLine="720"/>
        <w:rPr>
          <w:sz w:val="22"/>
          <w:szCs w:val="22"/>
        </w:rPr>
      </w:pPr>
      <w:r w:rsidRPr="000A7E57">
        <w:rPr>
          <w:sz w:val="22"/>
          <w:szCs w:val="22"/>
        </w:rPr>
        <w:t xml:space="preserve">The hypothesis likely resulting from this study is that international immersion programs lead to greater global competency among teachers, which positively correlates with an increase percent in students identifying as globally competent citizens.  However, this study may also suggest that study abroad programs are not as effective, and instead intentionally facilitated programs focused on developing cross-cultural understanding, introspection, critical reflection, and global issues are more effective. </w:t>
      </w:r>
      <w:r w:rsidR="000A7E57" w:rsidRPr="000A7E57">
        <w:rPr>
          <w:sz w:val="22"/>
          <w:szCs w:val="22"/>
        </w:rPr>
        <w:t xml:space="preserve">In </w:t>
      </w:r>
      <w:r w:rsidR="000A7E57" w:rsidRPr="000A7E57">
        <w:rPr>
          <w:sz w:val="22"/>
          <w:szCs w:val="22"/>
        </w:rPr>
        <w:lastRenderedPageBreak/>
        <w:t xml:space="preserve">addition, this study may suggest a shorter time period (three weeks to three months) is more or as effective as a longer time period (three months or </w:t>
      </w:r>
      <w:commentRangeStart w:id="5"/>
      <w:r w:rsidR="000A7E57" w:rsidRPr="000A7E57">
        <w:rPr>
          <w:sz w:val="22"/>
          <w:szCs w:val="22"/>
        </w:rPr>
        <w:t>longer</w:t>
      </w:r>
      <w:commentRangeEnd w:id="5"/>
      <w:r w:rsidR="00EE787C">
        <w:rPr>
          <w:rStyle w:val="CommentReference"/>
        </w:rPr>
        <w:commentReference w:id="5"/>
      </w:r>
      <w:r w:rsidR="000A7E57" w:rsidRPr="000A7E57">
        <w:rPr>
          <w:sz w:val="22"/>
          <w:szCs w:val="22"/>
        </w:rPr>
        <w:t>).</w:t>
      </w:r>
    </w:p>
    <w:p w14:paraId="6C346D7B" w14:textId="68CB2725" w:rsidR="00A33E06" w:rsidRPr="000A7E57" w:rsidRDefault="000A2FF7" w:rsidP="006C428B">
      <w:pPr>
        <w:spacing w:line="480" w:lineRule="auto"/>
        <w:ind w:firstLine="720"/>
        <w:rPr>
          <w:sz w:val="22"/>
          <w:szCs w:val="22"/>
        </w:rPr>
      </w:pPr>
      <w:r w:rsidRPr="000A7E57">
        <w:rPr>
          <w:sz w:val="22"/>
          <w:szCs w:val="22"/>
        </w:rPr>
        <w:t xml:space="preserve">As our perceptions, learning and attitudes are most profoundly formed during our school years, the school domain is arguably an optimal place to begin to build a global citizenship mindset among students. The hope is that this global competency will take </w:t>
      </w:r>
      <w:r w:rsidR="000A7E57" w:rsidRPr="000A7E57">
        <w:rPr>
          <w:sz w:val="22"/>
          <w:szCs w:val="22"/>
        </w:rPr>
        <w:t>students</w:t>
      </w:r>
      <w:r w:rsidRPr="000A7E57">
        <w:rPr>
          <w:sz w:val="22"/>
          <w:szCs w:val="22"/>
        </w:rPr>
        <w:t xml:space="preserve"> into adulthood, and hopefully change the trajectory of the continuing, and now escalating, divisiveness facing our nation and broader global community. </w:t>
      </w:r>
    </w:p>
    <w:p w14:paraId="2F8E624D" w14:textId="045DFE1E" w:rsidR="00A33E06" w:rsidRPr="000A7E57" w:rsidRDefault="00A33E06" w:rsidP="00F66AD4">
      <w:pPr>
        <w:rPr>
          <w:sz w:val="22"/>
          <w:szCs w:val="22"/>
        </w:rPr>
      </w:pPr>
    </w:p>
    <w:p w14:paraId="716227D6" w14:textId="77777777" w:rsidR="00A33E06" w:rsidRPr="000A7E57" w:rsidRDefault="00A33E06" w:rsidP="00F66AD4">
      <w:pPr>
        <w:rPr>
          <w:sz w:val="22"/>
          <w:szCs w:val="22"/>
        </w:rPr>
      </w:pPr>
    </w:p>
    <w:p w14:paraId="41287F47" w14:textId="77777777" w:rsidR="00A33E06" w:rsidRPr="000A7E57" w:rsidRDefault="00A33E06" w:rsidP="00F66AD4">
      <w:pPr>
        <w:rPr>
          <w:sz w:val="22"/>
          <w:szCs w:val="22"/>
        </w:rPr>
      </w:pPr>
    </w:p>
    <w:p w14:paraId="409343F6" w14:textId="77777777" w:rsidR="00A33E06" w:rsidRPr="000A7E57" w:rsidRDefault="00A33E06" w:rsidP="00F66AD4">
      <w:pPr>
        <w:rPr>
          <w:sz w:val="22"/>
          <w:szCs w:val="22"/>
        </w:rPr>
      </w:pPr>
    </w:p>
    <w:p w14:paraId="45DDBF01" w14:textId="77777777" w:rsidR="00A33E06" w:rsidRDefault="00A33E06" w:rsidP="00F66AD4"/>
    <w:p w14:paraId="6F2510F9" w14:textId="77777777" w:rsidR="00A33E06" w:rsidRDefault="00A33E06" w:rsidP="00F66AD4"/>
    <w:p w14:paraId="044B0FC0" w14:textId="56AA96CB" w:rsidR="00A33E06" w:rsidRDefault="00A33E06" w:rsidP="00F66AD4"/>
    <w:p w14:paraId="6967DD95" w14:textId="50AC964A" w:rsidR="006C428B" w:rsidRDefault="006C428B" w:rsidP="00F66AD4"/>
    <w:p w14:paraId="080E63B6" w14:textId="2B13F3E4" w:rsidR="006C428B" w:rsidRDefault="006C428B" w:rsidP="00F66AD4"/>
    <w:p w14:paraId="37804333" w14:textId="4E9EDF68" w:rsidR="006C428B" w:rsidRDefault="006C428B" w:rsidP="00F66AD4"/>
    <w:p w14:paraId="3FED777E" w14:textId="140DE708" w:rsidR="006C428B" w:rsidRDefault="006C428B" w:rsidP="00F66AD4"/>
    <w:p w14:paraId="7464D19B" w14:textId="5ACA0DE2" w:rsidR="006C428B" w:rsidRDefault="006C428B" w:rsidP="00F66AD4"/>
    <w:p w14:paraId="14838A92" w14:textId="1567B2FF" w:rsidR="006C428B" w:rsidRDefault="006C428B" w:rsidP="00F66AD4"/>
    <w:p w14:paraId="464A9DB4" w14:textId="3790DDA7" w:rsidR="006C428B" w:rsidRDefault="006C428B" w:rsidP="00F66AD4"/>
    <w:p w14:paraId="4B9432A6" w14:textId="0F67E220" w:rsidR="006C428B" w:rsidRDefault="006C428B" w:rsidP="00F66AD4"/>
    <w:p w14:paraId="1F5A949B" w14:textId="7103D3E0" w:rsidR="006C428B" w:rsidRDefault="006C428B" w:rsidP="00F66AD4"/>
    <w:p w14:paraId="3AE422D9" w14:textId="5D19BD04" w:rsidR="006C428B" w:rsidRDefault="006C428B" w:rsidP="00F66AD4"/>
    <w:p w14:paraId="3F7528A8" w14:textId="0CA58595" w:rsidR="006C428B" w:rsidRDefault="006C428B" w:rsidP="00F66AD4"/>
    <w:p w14:paraId="450262B8" w14:textId="07921286" w:rsidR="006C428B" w:rsidRDefault="006C428B" w:rsidP="00F66AD4"/>
    <w:p w14:paraId="09DD64D1" w14:textId="0D715A01" w:rsidR="006C428B" w:rsidRDefault="006C428B" w:rsidP="00F66AD4"/>
    <w:p w14:paraId="5096950E" w14:textId="3BE118DF" w:rsidR="006C428B" w:rsidRDefault="006C428B" w:rsidP="00F66AD4"/>
    <w:p w14:paraId="4583F43C" w14:textId="723D77BD" w:rsidR="006C428B" w:rsidRDefault="006C428B" w:rsidP="00F66AD4"/>
    <w:p w14:paraId="3B27749D" w14:textId="73B174B0" w:rsidR="006C428B" w:rsidRDefault="006C428B" w:rsidP="00F66AD4"/>
    <w:p w14:paraId="79D672FA" w14:textId="3305E884" w:rsidR="006C428B" w:rsidRDefault="006C428B" w:rsidP="00F66AD4"/>
    <w:p w14:paraId="04B5E7FF" w14:textId="5191E585" w:rsidR="006C428B" w:rsidRDefault="006C428B" w:rsidP="00F66AD4"/>
    <w:p w14:paraId="651F0EE2" w14:textId="738ADFB2" w:rsidR="006C428B" w:rsidRDefault="006C428B" w:rsidP="00F66AD4"/>
    <w:p w14:paraId="31B4A993" w14:textId="7ADA3441" w:rsidR="006C428B" w:rsidRDefault="006C428B" w:rsidP="00F66AD4"/>
    <w:p w14:paraId="2013A93C" w14:textId="2D5033F2" w:rsidR="006C428B" w:rsidRDefault="006C428B" w:rsidP="00F66AD4"/>
    <w:p w14:paraId="78E599E3" w14:textId="1B4D848A" w:rsidR="006C428B" w:rsidRDefault="006C428B" w:rsidP="00F66AD4"/>
    <w:p w14:paraId="07E26B57" w14:textId="143CADD8" w:rsidR="006C428B" w:rsidRDefault="006C428B" w:rsidP="00F66AD4"/>
    <w:p w14:paraId="76E5E4A6" w14:textId="6C81A272" w:rsidR="006C428B" w:rsidRDefault="006C428B" w:rsidP="00F66AD4"/>
    <w:p w14:paraId="4441F037" w14:textId="30A9511D" w:rsidR="006C428B" w:rsidRDefault="006C428B" w:rsidP="00F66AD4"/>
    <w:p w14:paraId="6A9984EC" w14:textId="77777777" w:rsidR="006C428B" w:rsidRDefault="006C428B" w:rsidP="00F66AD4"/>
    <w:p w14:paraId="1B01800A" w14:textId="77777777" w:rsidR="00A33E06" w:rsidRDefault="00A33E06" w:rsidP="00F66AD4"/>
    <w:p w14:paraId="24EA65B8" w14:textId="4EA7EB7A" w:rsidR="00A33E06" w:rsidRPr="006C428B" w:rsidRDefault="00A33E06" w:rsidP="006C428B">
      <w:pPr>
        <w:jc w:val="center"/>
        <w:rPr>
          <w:b/>
          <w:bCs/>
          <w:sz w:val="22"/>
          <w:szCs w:val="22"/>
        </w:rPr>
      </w:pPr>
      <w:r w:rsidRPr="006C428B">
        <w:rPr>
          <w:b/>
          <w:bCs/>
          <w:sz w:val="22"/>
          <w:szCs w:val="22"/>
        </w:rPr>
        <w:lastRenderedPageBreak/>
        <w:t>References</w:t>
      </w:r>
    </w:p>
    <w:p w14:paraId="628A191B" w14:textId="77777777" w:rsidR="00A33E06" w:rsidRPr="00A33E06" w:rsidRDefault="00A33E06" w:rsidP="00F66AD4"/>
    <w:p w14:paraId="75AE8B0E" w14:textId="5F7F0F92" w:rsidR="006C428B" w:rsidRPr="006C428B" w:rsidRDefault="006C428B" w:rsidP="006C428B">
      <w:pPr>
        <w:rPr>
          <w:sz w:val="20"/>
          <w:szCs w:val="20"/>
        </w:rPr>
      </w:pPr>
      <w:r w:rsidRPr="006C428B">
        <w:rPr>
          <w:sz w:val="20"/>
          <w:szCs w:val="20"/>
        </w:rPr>
        <w:t xml:space="preserve">Aydin, H., </w:t>
      </w:r>
      <w:proofErr w:type="spellStart"/>
      <w:r w:rsidRPr="006C428B">
        <w:rPr>
          <w:sz w:val="20"/>
          <w:szCs w:val="20"/>
        </w:rPr>
        <w:t>Ogurlu</w:t>
      </w:r>
      <w:proofErr w:type="spellEnd"/>
      <w:r w:rsidRPr="006C428B">
        <w:rPr>
          <w:sz w:val="20"/>
          <w:szCs w:val="20"/>
        </w:rPr>
        <w:t xml:space="preserve">, U., Andrew, K., </w:t>
      </w:r>
      <w:proofErr w:type="spellStart"/>
      <w:r w:rsidRPr="006C428B">
        <w:rPr>
          <w:sz w:val="20"/>
          <w:szCs w:val="20"/>
        </w:rPr>
        <w:t>Masalimova</w:t>
      </w:r>
      <w:proofErr w:type="spellEnd"/>
      <w:r w:rsidRPr="006C428B">
        <w:rPr>
          <w:sz w:val="20"/>
          <w:szCs w:val="20"/>
        </w:rPr>
        <w:t xml:space="preserve">, A.R., </w:t>
      </w:r>
      <w:proofErr w:type="spellStart"/>
      <w:r w:rsidRPr="006C428B">
        <w:rPr>
          <w:sz w:val="20"/>
          <w:szCs w:val="20"/>
        </w:rPr>
        <w:t>Dorzhkin</w:t>
      </w:r>
      <w:proofErr w:type="spellEnd"/>
      <w:r w:rsidRPr="006C428B">
        <w:rPr>
          <w:sz w:val="20"/>
          <w:szCs w:val="20"/>
        </w:rPr>
        <w:t xml:space="preserve">, E.M., &amp; </w:t>
      </w:r>
      <w:proofErr w:type="spellStart"/>
      <w:r w:rsidRPr="006C428B">
        <w:rPr>
          <w:sz w:val="20"/>
          <w:szCs w:val="20"/>
        </w:rPr>
        <w:t>Malygin</w:t>
      </w:r>
      <w:proofErr w:type="spellEnd"/>
      <w:r w:rsidRPr="006C428B">
        <w:rPr>
          <w:sz w:val="20"/>
          <w:szCs w:val="20"/>
        </w:rPr>
        <w:t xml:space="preserve">, A.A. (2019). High school students' Perceptions of </w:t>
      </w:r>
      <w:r w:rsidRPr="006C428B">
        <w:rPr>
          <w:rStyle w:val="hithilite"/>
          <w:sz w:val="20"/>
          <w:szCs w:val="20"/>
        </w:rPr>
        <w:t>Global Citizenship</w:t>
      </w:r>
      <w:r w:rsidRPr="006C428B">
        <w:rPr>
          <w:sz w:val="20"/>
          <w:szCs w:val="20"/>
        </w:rPr>
        <w:t xml:space="preserve"> in Central Public High Schools: Implications for Teacher Educators. </w:t>
      </w:r>
      <w:proofErr w:type="spellStart"/>
      <w:r w:rsidRPr="006C428B">
        <w:rPr>
          <w:i/>
          <w:iCs/>
          <w:sz w:val="20"/>
          <w:szCs w:val="20"/>
        </w:rPr>
        <w:t>Revista</w:t>
      </w:r>
      <w:proofErr w:type="spellEnd"/>
      <w:r w:rsidRPr="006C428B">
        <w:rPr>
          <w:i/>
          <w:iCs/>
          <w:sz w:val="20"/>
          <w:szCs w:val="20"/>
        </w:rPr>
        <w:t xml:space="preserve"> de </w:t>
      </w:r>
      <w:proofErr w:type="spellStart"/>
      <w:r w:rsidRPr="006C428B">
        <w:rPr>
          <w:i/>
          <w:iCs/>
          <w:sz w:val="20"/>
          <w:szCs w:val="20"/>
        </w:rPr>
        <w:t>Cercetare</w:t>
      </w:r>
      <w:proofErr w:type="spellEnd"/>
      <w:r w:rsidRPr="006C428B">
        <w:rPr>
          <w:i/>
          <w:iCs/>
          <w:sz w:val="20"/>
          <w:szCs w:val="20"/>
        </w:rPr>
        <w:t xml:space="preserve"> Si </w:t>
      </w:r>
      <w:proofErr w:type="spellStart"/>
      <w:r w:rsidRPr="006C428B">
        <w:rPr>
          <w:i/>
          <w:iCs/>
          <w:sz w:val="20"/>
          <w:szCs w:val="20"/>
        </w:rPr>
        <w:t>Interventie</w:t>
      </w:r>
      <w:proofErr w:type="spellEnd"/>
      <w:r w:rsidRPr="006C428B">
        <w:rPr>
          <w:i/>
          <w:iCs/>
          <w:sz w:val="20"/>
          <w:szCs w:val="20"/>
        </w:rPr>
        <w:t xml:space="preserve"> </w:t>
      </w:r>
      <w:proofErr w:type="spellStart"/>
      <w:r w:rsidRPr="006C428B">
        <w:rPr>
          <w:i/>
          <w:iCs/>
          <w:sz w:val="20"/>
          <w:szCs w:val="20"/>
        </w:rPr>
        <w:t>Sociala</w:t>
      </w:r>
      <w:proofErr w:type="spellEnd"/>
      <w:r w:rsidRPr="006C428B">
        <w:rPr>
          <w:sz w:val="20"/>
          <w:szCs w:val="20"/>
        </w:rPr>
        <w:t xml:space="preserve">, 65, 187-205. </w:t>
      </w:r>
      <w:r w:rsidRPr="006C428B">
        <w:rPr>
          <w:rStyle w:val="frlabel"/>
          <w:sz w:val="20"/>
          <w:szCs w:val="20"/>
        </w:rPr>
        <w:t>DOI:</w:t>
      </w:r>
      <w:r w:rsidRPr="006C428B">
        <w:rPr>
          <w:sz w:val="20"/>
          <w:szCs w:val="20"/>
        </w:rPr>
        <w:t xml:space="preserve"> 10.33788/rcis.65.12 </w:t>
      </w:r>
    </w:p>
    <w:p w14:paraId="28853EF7" w14:textId="77777777" w:rsidR="006C428B" w:rsidRPr="006C428B" w:rsidRDefault="006C428B" w:rsidP="006C428B">
      <w:pPr>
        <w:rPr>
          <w:sz w:val="20"/>
          <w:szCs w:val="20"/>
        </w:rPr>
      </w:pPr>
    </w:p>
    <w:p w14:paraId="29DB2C63" w14:textId="101E4E4D" w:rsidR="0018097C" w:rsidRPr="006C428B" w:rsidRDefault="0018097C" w:rsidP="00A33E06">
      <w:pPr>
        <w:autoSpaceDE w:val="0"/>
        <w:autoSpaceDN w:val="0"/>
        <w:adjustRightInd w:val="0"/>
        <w:spacing w:after="240" w:line="280" w:lineRule="atLeast"/>
        <w:rPr>
          <w:color w:val="000000"/>
          <w:sz w:val="20"/>
          <w:szCs w:val="20"/>
        </w:rPr>
      </w:pPr>
      <w:proofErr w:type="spellStart"/>
      <w:r w:rsidRPr="006C428B">
        <w:rPr>
          <w:color w:val="000000"/>
          <w:sz w:val="20"/>
          <w:szCs w:val="20"/>
        </w:rPr>
        <w:t>Baecher</w:t>
      </w:r>
      <w:proofErr w:type="spellEnd"/>
      <w:r w:rsidRPr="006C428B">
        <w:rPr>
          <w:color w:val="000000"/>
          <w:sz w:val="20"/>
          <w:szCs w:val="20"/>
        </w:rPr>
        <w:t xml:space="preserve">, L. (2019). Global Education Review: Special Issue on Study Abroad in Teacher Education, 6(3). </w:t>
      </w:r>
    </w:p>
    <w:p w14:paraId="415B886F" w14:textId="77777777" w:rsidR="006C428B" w:rsidRPr="0018097C" w:rsidRDefault="006C428B" w:rsidP="006C428B">
      <w:pPr>
        <w:rPr>
          <w:sz w:val="20"/>
          <w:szCs w:val="20"/>
        </w:rPr>
      </w:pPr>
      <w:r w:rsidRPr="0018097C">
        <w:rPr>
          <w:sz w:val="20"/>
          <w:szCs w:val="20"/>
        </w:rPr>
        <w:t xml:space="preserve">Cunningham, H. (2019). Responding to what we notice: International student teaching as a </w:t>
      </w:r>
    </w:p>
    <w:p w14:paraId="573C8F0A" w14:textId="3251671A" w:rsidR="006C428B" w:rsidRPr="006C428B" w:rsidRDefault="006C428B" w:rsidP="00A65F31">
      <w:pPr>
        <w:rPr>
          <w:sz w:val="20"/>
          <w:szCs w:val="20"/>
        </w:rPr>
      </w:pPr>
      <w:r w:rsidRPr="0018097C">
        <w:rPr>
          <w:sz w:val="20"/>
          <w:szCs w:val="20"/>
        </w:rPr>
        <w:t xml:space="preserve">pathway to cultural responsiveness. </w:t>
      </w:r>
      <w:r w:rsidRPr="0018097C">
        <w:rPr>
          <w:i/>
          <w:iCs/>
          <w:sz w:val="20"/>
          <w:szCs w:val="20"/>
        </w:rPr>
        <w:t>Urban Education</w:t>
      </w:r>
      <w:r w:rsidRPr="0018097C">
        <w:rPr>
          <w:sz w:val="20"/>
          <w:szCs w:val="20"/>
        </w:rPr>
        <w:t xml:space="preserve">, 54(9), 1262–1289. </w:t>
      </w:r>
      <w:r w:rsidRPr="006C428B">
        <w:rPr>
          <w:sz w:val="20"/>
          <w:szCs w:val="20"/>
        </w:rPr>
        <w:t xml:space="preserve">DOI: </w:t>
      </w:r>
      <w:r w:rsidRPr="0018097C">
        <w:rPr>
          <w:sz w:val="20"/>
          <w:szCs w:val="20"/>
        </w:rPr>
        <w:t xml:space="preserve">10.1177/0042085919860569 </w:t>
      </w:r>
    </w:p>
    <w:p w14:paraId="74998A4C" w14:textId="77777777" w:rsidR="006C428B" w:rsidRPr="006C428B" w:rsidRDefault="006C428B" w:rsidP="00A65F31">
      <w:pPr>
        <w:rPr>
          <w:sz w:val="20"/>
          <w:szCs w:val="20"/>
        </w:rPr>
      </w:pPr>
    </w:p>
    <w:p w14:paraId="77D6D9BC" w14:textId="4948455B" w:rsidR="00A65F31" w:rsidRPr="006C428B" w:rsidRDefault="00A65F31" w:rsidP="00A65F31">
      <w:pPr>
        <w:rPr>
          <w:sz w:val="20"/>
          <w:szCs w:val="20"/>
        </w:rPr>
      </w:pPr>
      <w:r w:rsidRPr="006C428B">
        <w:rPr>
          <w:sz w:val="20"/>
          <w:szCs w:val="20"/>
        </w:rPr>
        <w:t>da Costa, M</w:t>
      </w:r>
      <w:r w:rsidR="007E1A59" w:rsidRPr="006C428B">
        <w:rPr>
          <w:sz w:val="20"/>
          <w:szCs w:val="20"/>
        </w:rPr>
        <w:t xml:space="preserve">., </w:t>
      </w:r>
      <w:r w:rsidRPr="006C428B">
        <w:rPr>
          <w:sz w:val="20"/>
          <w:szCs w:val="20"/>
        </w:rPr>
        <w:t>Stein, S</w:t>
      </w:r>
      <w:r w:rsidR="007E1A59" w:rsidRPr="006C428B">
        <w:rPr>
          <w:sz w:val="20"/>
          <w:szCs w:val="20"/>
        </w:rPr>
        <w:t xml:space="preserve">., &amp; </w:t>
      </w:r>
      <w:r w:rsidRPr="006C428B">
        <w:rPr>
          <w:sz w:val="20"/>
          <w:szCs w:val="20"/>
        </w:rPr>
        <w:t>Andreotti, V</w:t>
      </w:r>
      <w:r w:rsidR="007E1A59" w:rsidRPr="006C428B">
        <w:rPr>
          <w:sz w:val="20"/>
          <w:szCs w:val="20"/>
        </w:rPr>
        <w:t>.</w:t>
      </w:r>
      <w:r w:rsidR="005F7BB8" w:rsidRPr="006C428B">
        <w:rPr>
          <w:sz w:val="20"/>
          <w:szCs w:val="20"/>
        </w:rPr>
        <w:t xml:space="preserve"> A meta-review of typologies of global citizenship education. </w:t>
      </w:r>
      <w:r w:rsidR="005F7BB8" w:rsidRPr="006C428B">
        <w:rPr>
          <w:i/>
          <w:iCs/>
          <w:sz w:val="20"/>
          <w:szCs w:val="20"/>
        </w:rPr>
        <w:t>Comparative Education</w:t>
      </w:r>
      <w:r w:rsidR="005F7BB8" w:rsidRPr="006C428B">
        <w:rPr>
          <w:sz w:val="20"/>
          <w:szCs w:val="20"/>
        </w:rPr>
        <w:t xml:space="preserve">, 56(2), 144-164. </w:t>
      </w:r>
      <w:r w:rsidRPr="006C428B">
        <w:rPr>
          <w:sz w:val="20"/>
          <w:szCs w:val="20"/>
        </w:rPr>
        <w:t>DOI: 10.1080/03050068.2020.1723352</w:t>
      </w:r>
    </w:p>
    <w:p w14:paraId="53041F4A" w14:textId="77777777" w:rsidR="00497036" w:rsidRPr="006C428B" w:rsidRDefault="00497036" w:rsidP="00497036">
      <w:pPr>
        <w:rPr>
          <w:sz w:val="20"/>
          <w:szCs w:val="20"/>
        </w:rPr>
      </w:pPr>
    </w:p>
    <w:p w14:paraId="009351E3" w14:textId="17FFB303" w:rsidR="003879C4" w:rsidRPr="006C428B" w:rsidRDefault="003879C4" w:rsidP="003879C4">
      <w:pPr>
        <w:autoSpaceDE w:val="0"/>
        <w:autoSpaceDN w:val="0"/>
        <w:adjustRightInd w:val="0"/>
        <w:rPr>
          <w:sz w:val="20"/>
          <w:szCs w:val="20"/>
        </w:rPr>
      </w:pPr>
      <w:r w:rsidRPr="006C428B">
        <w:rPr>
          <w:sz w:val="20"/>
          <w:szCs w:val="20"/>
        </w:rPr>
        <w:t>Klein</w:t>
      </w:r>
      <w:r w:rsidR="0018097C" w:rsidRPr="006C428B">
        <w:rPr>
          <w:sz w:val="20"/>
          <w:szCs w:val="20"/>
        </w:rPr>
        <w:t>, J.D.</w:t>
      </w:r>
      <w:r w:rsidRPr="006C428B">
        <w:rPr>
          <w:sz w:val="20"/>
          <w:szCs w:val="20"/>
        </w:rPr>
        <w:t xml:space="preserve"> (2013) Making Meaning in a Standards-Based World:</w:t>
      </w:r>
      <w:r w:rsidR="005F7BB8" w:rsidRPr="006C428B">
        <w:rPr>
          <w:sz w:val="20"/>
          <w:szCs w:val="20"/>
        </w:rPr>
        <w:t xml:space="preserve"> </w:t>
      </w:r>
      <w:r w:rsidRPr="006C428B">
        <w:rPr>
          <w:sz w:val="20"/>
          <w:szCs w:val="20"/>
        </w:rPr>
        <w:t>Negotiating Tensions in Global Education</w:t>
      </w:r>
      <w:r w:rsidR="00A33E06" w:rsidRPr="006C428B">
        <w:rPr>
          <w:sz w:val="20"/>
          <w:szCs w:val="20"/>
        </w:rPr>
        <w:t xml:space="preserve">. </w:t>
      </w:r>
      <w:r w:rsidRPr="006C428B">
        <w:rPr>
          <w:i/>
          <w:iCs/>
          <w:sz w:val="20"/>
          <w:szCs w:val="20"/>
        </w:rPr>
        <w:t>The Educational Forum</w:t>
      </w:r>
      <w:r w:rsidRPr="006C428B">
        <w:rPr>
          <w:sz w:val="20"/>
          <w:szCs w:val="20"/>
        </w:rPr>
        <w:t>, 77:4, 481-490, DOI:10.1080/00131725.2013.822044</w:t>
      </w:r>
    </w:p>
    <w:p w14:paraId="0D893D39" w14:textId="77777777" w:rsidR="003879C4" w:rsidRPr="006C428B" w:rsidRDefault="003879C4" w:rsidP="00435267">
      <w:pPr>
        <w:autoSpaceDE w:val="0"/>
        <w:autoSpaceDN w:val="0"/>
        <w:adjustRightInd w:val="0"/>
        <w:rPr>
          <w:sz w:val="20"/>
          <w:szCs w:val="20"/>
        </w:rPr>
      </w:pPr>
    </w:p>
    <w:p w14:paraId="167E5662" w14:textId="1FBD6AD0" w:rsidR="006C428B" w:rsidRPr="006C428B" w:rsidRDefault="006C428B" w:rsidP="006C428B">
      <w:pPr>
        <w:autoSpaceDE w:val="0"/>
        <w:autoSpaceDN w:val="0"/>
        <w:adjustRightInd w:val="0"/>
        <w:rPr>
          <w:sz w:val="20"/>
          <w:szCs w:val="20"/>
        </w:rPr>
      </w:pPr>
      <w:r w:rsidRPr="006C428B">
        <w:rPr>
          <w:sz w:val="20"/>
          <w:szCs w:val="20"/>
        </w:rPr>
        <w:t>Longview Foundation (2008). Teacher preparation for the global age: The imperative for change. Silver Spring, MD: Longview Foundation.</w:t>
      </w:r>
    </w:p>
    <w:p w14:paraId="40B76C0E" w14:textId="57B91B4B" w:rsidR="006C428B" w:rsidRPr="006C428B" w:rsidRDefault="006C428B" w:rsidP="006C428B">
      <w:pPr>
        <w:autoSpaceDE w:val="0"/>
        <w:autoSpaceDN w:val="0"/>
        <w:adjustRightInd w:val="0"/>
        <w:rPr>
          <w:sz w:val="20"/>
          <w:szCs w:val="20"/>
        </w:rPr>
      </w:pPr>
    </w:p>
    <w:p w14:paraId="35A1FE9A" w14:textId="77777777" w:rsidR="006C428B" w:rsidRPr="006C428B" w:rsidRDefault="006C428B" w:rsidP="006C428B">
      <w:pPr>
        <w:rPr>
          <w:color w:val="000000" w:themeColor="text1"/>
          <w:sz w:val="20"/>
          <w:szCs w:val="20"/>
        </w:rPr>
      </w:pPr>
      <w:r w:rsidRPr="006C428B">
        <w:rPr>
          <w:color w:val="000000" w:themeColor="text1"/>
          <w:sz w:val="20"/>
          <w:szCs w:val="20"/>
        </w:rPr>
        <w:t>OECD/Asia Society (2018). Teaching for Global Competence in a Rapidly Changing World.</w:t>
      </w:r>
    </w:p>
    <w:p w14:paraId="7358EDA6" w14:textId="22B1392E" w:rsidR="006C428B" w:rsidRPr="006C428B" w:rsidRDefault="00B45834" w:rsidP="006C428B">
      <w:pPr>
        <w:autoSpaceDE w:val="0"/>
        <w:autoSpaceDN w:val="0"/>
        <w:adjustRightInd w:val="0"/>
        <w:rPr>
          <w:sz w:val="20"/>
          <w:szCs w:val="20"/>
        </w:rPr>
      </w:pPr>
      <w:hyperlink r:id="rId8" w:anchor=":~:text=A%20new%20publication%20from%20both,guidance%20and%20examples%20of%20how" w:history="1">
        <w:r w:rsidR="006C428B" w:rsidRPr="006C428B">
          <w:rPr>
            <w:rStyle w:val="Hyperlink"/>
            <w:color w:val="000000" w:themeColor="text1"/>
            <w:sz w:val="20"/>
            <w:szCs w:val="20"/>
          </w:rPr>
          <w:t>https://asiasociety.org/education/teaching-global-competence-rapidly-changing-world#:~:text=A%20new%20publication%20from%20both,guidance%20and%20examples%20of%20how</w:t>
        </w:r>
      </w:hyperlink>
    </w:p>
    <w:p w14:paraId="79095739" w14:textId="77777777" w:rsidR="006C428B" w:rsidRPr="006C428B" w:rsidRDefault="006C428B" w:rsidP="005F7BB8">
      <w:pPr>
        <w:autoSpaceDE w:val="0"/>
        <w:autoSpaceDN w:val="0"/>
        <w:adjustRightInd w:val="0"/>
        <w:rPr>
          <w:sz w:val="20"/>
          <w:szCs w:val="20"/>
        </w:rPr>
      </w:pPr>
    </w:p>
    <w:p w14:paraId="34601B72" w14:textId="6609C452" w:rsidR="006C428B" w:rsidRPr="006C428B" w:rsidRDefault="006C428B" w:rsidP="006C428B">
      <w:pPr>
        <w:autoSpaceDE w:val="0"/>
        <w:autoSpaceDN w:val="0"/>
        <w:adjustRightInd w:val="0"/>
        <w:rPr>
          <w:sz w:val="20"/>
          <w:szCs w:val="20"/>
        </w:rPr>
      </w:pPr>
      <w:r w:rsidRPr="006C428B">
        <w:rPr>
          <w:sz w:val="20"/>
          <w:szCs w:val="20"/>
        </w:rPr>
        <w:t xml:space="preserve">O'Connor, K. &amp; </w:t>
      </w:r>
      <w:proofErr w:type="spellStart"/>
      <w:r w:rsidRPr="006C428B">
        <w:rPr>
          <w:sz w:val="20"/>
          <w:szCs w:val="20"/>
        </w:rPr>
        <w:t>Zeichner</w:t>
      </w:r>
      <w:proofErr w:type="spellEnd"/>
      <w:r w:rsidRPr="006C428B">
        <w:rPr>
          <w:sz w:val="20"/>
          <w:szCs w:val="20"/>
        </w:rPr>
        <w:t xml:space="preserve">, K. (2011). Preparing US teachers for critical global education. </w:t>
      </w:r>
      <w:r w:rsidRPr="006C428B">
        <w:rPr>
          <w:i/>
          <w:iCs/>
          <w:sz w:val="20"/>
          <w:szCs w:val="20"/>
        </w:rPr>
        <w:t>Globalization, Societies and Education</w:t>
      </w:r>
      <w:r w:rsidRPr="006C428B">
        <w:rPr>
          <w:sz w:val="20"/>
          <w:szCs w:val="20"/>
        </w:rPr>
        <w:t>, 9:3-4, 521-536, DOI: 10.1080/14767724.2011.605333</w:t>
      </w:r>
    </w:p>
    <w:p w14:paraId="76275EA2" w14:textId="5F6672AC" w:rsidR="006C428B" w:rsidRPr="006C428B" w:rsidRDefault="006C428B" w:rsidP="006C428B">
      <w:pPr>
        <w:autoSpaceDE w:val="0"/>
        <w:autoSpaceDN w:val="0"/>
        <w:adjustRightInd w:val="0"/>
        <w:rPr>
          <w:sz w:val="20"/>
          <w:szCs w:val="20"/>
        </w:rPr>
      </w:pPr>
    </w:p>
    <w:p w14:paraId="4DDC4868" w14:textId="51B2075D" w:rsidR="006C428B" w:rsidRDefault="006C428B" w:rsidP="006C428B">
      <w:pPr>
        <w:rPr>
          <w:sz w:val="20"/>
          <w:szCs w:val="20"/>
        </w:rPr>
      </w:pPr>
      <w:proofErr w:type="spellStart"/>
      <w:r w:rsidRPr="006C428B">
        <w:rPr>
          <w:sz w:val="20"/>
          <w:szCs w:val="20"/>
        </w:rPr>
        <w:t>Pais</w:t>
      </w:r>
      <w:proofErr w:type="spellEnd"/>
      <w:r w:rsidRPr="006C428B">
        <w:rPr>
          <w:sz w:val="20"/>
          <w:szCs w:val="20"/>
        </w:rPr>
        <w:t xml:space="preserve">, A., &amp; Costa, M. (2020). An ideology critique of </w:t>
      </w:r>
      <w:r w:rsidRPr="006C428B">
        <w:rPr>
          <w:rStyle w:val="hithilite"/>
          <w:sz w:val="20"/>
          <w:szCs w:val="20"/>
        </w:rPr>
        <w:t>global citizenship</w:t>
      </w:r>
      <w:r w:rsidRPr="006C428B">
        <w:rPr>
          <w:sz w:val="20"/>
          <w:szCs w:val="20"/>
        </w:rPr>
        <w:t xml:space="preserve"> education. </w:t>
      </w:r>
      <w:r w:rsidRPr="006C428B">
        <w:rPr>
          <w:i/>
          <w:iCs/>
          <w:sz w:val="20"/>
          <w:szCs w:val="20"/>
        </w:rPr>
        <w:t>Critical Studies in Education</w:t>
      </w:r>
      <w:r w:rsidRPr="006C428B">
        <w:rPr>
          <w:sz w:val="20"/>
          <w:szCs w:val="20"/>
        </w:rPr>
        <w:t xml:space="preserve">, 61, 1, 1-16.  </w:t>
      </w:r>
      <w:r w:rsidRPr="006C428B">
        <w:rPr>
          <w:rStyle w:val="frlabel"/>
          <w:sz w:val="20"/>
          <w:szCs w:val="20"/>
        </w:rPr>
        <w:t>DOI:</w:t>
      </w:r>
      <w:r w:rsidRPr="006C428B">
        <w:rPr>
          <w:sz w:val="20"/>
          <w:szCs w:val="20"/>
        </w:rPr>
        <w:t xml:space="preserve"> 10.1080/17508487.2017.1318772 </w:t>
      </w:r>
    </w:p>
    <w:p w14:paraId="35D1536D" w14:textId="3A7A51DE" w:rsidR="006C428B" w:rsidRDefault="006C428B" w:rsidP="006C428B">
      <w:pPr>
        <w:rPr>
          <w:sz w:val="20"/>
          <w:szCs w:val="20"/>
        </w:rPr>
      </w:pPr>
    </w:p>
    <w:p w14:paraId="01A38041" w14:textId="1E9CD26E" w:rsidR="006C428B" w:rsidRPr="006C428B" w:rsidRDefault="006C428B" w:rsidP="006C428B">
      <w:pPr>
        <w:rPr>
          <w:sz w:val="20"/>
          <w:szCs w:val="20"/>
        </w:rPr>
      </w:pPr>
      <w:r>
        <w:rPr>
          <w:sz w:val="20"/>
          <w:szCs w:val="20"/>
        </w:rPr>
        <w:t xml:space="preserve">Ramos, C. (2020). </w:t>
      </w:r>
      <w:r w:rsidR="009235C6">
        <w:rPr>
          <w:sz w:val="20"/>
          <w:szCs w:val="20"/>
        </w:rPr>
        <w:t>In-person i</w:t>
      </w:r>
      <w:r>
        <w:rPr>
          <w:sz w:val="20"/>
          <w:szCs w:val="20"/>
        </w:rPr>
        <w:t>nterview June</w:t>
      </w:r>
      <w:r w:rsidR="009235C6">
        <w:rPr>
          <w:sz w:val="20"/>
          <w:szCs w:val="20"/>
        </w:rPr>
        <w:t xml:space="preserve"> 17, 2020.</w:t>
      </w:r>
    </w:p>
    <w:p w14:paraId="784A1A35" w14:textId="295171F3" w:rsidR="006C428B" w:rsidRPr="006C428B" w:rsidRDefault="006C428B" w:rsidP="006C428B">
      <w:pPr>
        <w:autoSpaceDE w:val="0"/>
        <w:autoSpaceDN w:val="0"/>
        <w:adjustRightInd w:val="0"/>
        <w:rPr>
          <w:sz w:val="20"/>
          <w:szCs w:val="20"/>
        </w:rPr>
      </w:pPr>
    </w:p>
    <w:p w14:paraId="2C2E806B" w14:textId="77777777" w:rsidR="006C428B" w:rsidRPr="006C428B" w:rsidRDefault="006C428B" w:rsidP="006C428B">
      <w:pPr>
        <w:rPr>
          <w:sz w:val="20"/>
          <w:szCs w:val="20"/>
        </w:rPr>
      </w:pPr>
      <w:r w:rsidRPr="006C428B">
        <w:rPr>
          <w:sz w:val="20"/>
          <w:szCs w:val="20"/>
        </w:rPr>
        <w:t>Reimers, F. M. (2009). Educating for Global Competency. The NEA Foundation. https://www.neafoundation.org/content/assets/2012/11/Educating%20for%20Global%20Competence%20by%20Fernando%20Reimers.pdf</w:t>
      </w:r>
    </w:p>
    <w:p w14:paraId="348D4F78" w14:textId="77777777" w:rsidR="006C428B" w:rsidRPr="006C428B" w:rsidRDefault="006C428B" w:rsidP="006C428B">
      <w:pPr>
        <w:autoSpaceDE w:val="0"/>
        <w:autoSpaceDN w:val="0"/>
        <w:adjustRightInd w:val="0"/>
        <w:rPr>
          <w:sz w:val="20"/>
          <w:szCs w:val="20"/>
        </w:rPr>
      </w:pPr>
    </w:p>
    <w:p w14:paraId="795A410C" w14:textId="535C55D6" w:rsidR="006C428B" w:rsidRPr="006C428B" w:rsidRDefault="006C428B" w:rsidP="006C428B">
      <w:pPr>
        <w:autoSpaceDE w:val="0"/>
        <w:autoSpaceDN w:val="0"/>
        <w:adjustRightInd w:val="0"/>
        <w:spacing w:after="240" w:line="280" w:lineRule="atLeast"/>
        <w:rPr>
          <w:color w:val="000000"/>
          <w:sz w:val="20"/>
          <w:szCs w:val="20"/>
        </w:rPr>
      </w:pPr>
      <w:r w:rsidRPr="006C428B">
        <w:rPr>
          <w:color w:val="000000"/>
          <w:sz w:val="20"/>
          <w:szCs w:val="20"/>
        </w:rPr>
        <w:t xml:space="preserve">Santoro, N., &amp; Major, J. (2012). Learning to be a culturally responsive teacher through international study trips: transformation or </w:t>
      </w:r>
      <w:proofErr w:type="gramStart"/>
      <w:r w:rsidRPr="006C428B">
        <w:rPr>
          <w:color w:val="000000"/>
          <w:sz w:val="20"/>
          <w:szCs w:val="20"/>
        </w:rPr>
        <w:t>tourism?,</w:t>
      </w:r>
      <w:proofErr w:type="gramEnd"/>
      <w:r w:rsidRPr="006C428B">
        <w:rPr>
          <w:color w:val="000000"/>
          <w:sz w:val="20"/>
          <w:szCs w:val="20"/>
        </w:rPr>
        <w:t xml:space="preserve"> </w:t>
      </w:r>
      <w:r w:rsidRPr="006C428B">
        <w:rPr>
          <w:i/>
          <w:iCs/>
          <w:color w:val="000000"/>
          <w:sz w:val="20"/>
          <w:szCs w:val="20"/>
        </w:rPr>
        <w:t>Teaching Education</w:t>
      </w:r>
      <w:r w:rsidRPr="006C428B">
        <w:rPr>
          <w:color w:val="000000"/>
          <w:sz w:val="20"/>
          <w:szCs w:val="20"/>
        </w:rPr>
        <w:t>, 23(3), 309-322.</w:t>
      </w:r>
    </w:p>
    <w:p w14:paraId="023E567F" w14:textId="76641A84" w:rsidR="00F66AD4" w:rsidRPr="006C428B" w:rsidRDefault="00435267" w:rsidP="005F7BB8">
      <w:pPr>
        <w:autoSpaceDE w:val="0"/>
        <w:autoSpaceDN w:val="0"/>
        <w:adjustRightInd w:val="0"/>
        <w:rPr>
          <w:sz w:val="20"/>
          <w:szCs w:val="20"/>
        </w:rPr>
      </w:pPr>
      <w:r w:rsidRPr="006C428B">
        <w:rPr>
          <w:sz w:val="20"/>
          <w:szCs w:val="20"/>
        </w:rPr>
        <w:t xml:space="preserve">Schneider, A.M. </w:t>
      </w:r>
      <w:r w:rsidR="0018097C" w:rsidRPr="006C428B">
        <w:rPr>
          <w:sz w:val="20"/>
          <w:szCs w:val="20"/>
        </w:rPr>
        <w:t>(</w:t>
      </w:r>
      <w:r w:rsidRPr="006C428B">
        <w:rPr>
          <w:sz w:val="20"/>
          <w:szCs w:val="20"/>
        </w:rPr>
        <w:t>2003</w:t>
      </w:r>
      <w:r w:rsidR="0018097C" w:rsidRPr="006C428B">
        <w:rPr>
          <w:sz w:val="20"/>
          <w:szCs w:val="20"/>
        </w:rPr>
        <w:t>)</w:t>
      </w:r>
      <w:r w:rsidRPr="006C428B">
        <w:rPr>
          <w:sz w:val="20"/>
          <w:szCs w:val="20"/>
        </w:rPr>
        <w:t>. Internationalizing teacher education: What can be done? Washington,</w:t>
      </w:r>
      <w:r w:rsidR="005F7BB8" w:rsidRPr="006C428B">
        <w:rPr>
          <w:sz w:val="20"/>
          <w:szCs w:val="20"/>
        </w:rPr>
        <w:t xml:space="preserve"> </w:t>
      </w:r>
      <w:r w:rsidRPr="006C428B">
        <w:rPr>
          <w:sz w:val="20"/>
          <w:szCs w:val="20"/>
        </w:rPr>
        <w:t>DC: US Department of Education. (ERIC no. ED480869).</w:t>
      </w:r>
    </w:p>
    <w:p w14:paraId="698D818F" w14:textId="4213F925" w:rsidR="00435267" w:rsidRPr="006C428B" w:rsidRDefault="00435267" w:rsidP="00435267">
      <w:pPr>
        <w:rPr>
          <w:rFonts w:ascii="Verdana" w:hAnsi="Verdana"/>
          <w:b/>
          <w:bCs/>
          <w:color w:val="006600"/>
          <w:sz w:val="20"/>
          <w:szCs w:val="20"/>
        </w:rPr>
      </w:pPr>
    </w:p>
    <w:p w14:paraId="1349C56A" w14:textId="40911ADA" w:rsidR="00A5475A" w:rsidRPr="006C428B" w:rsidRDefault="00A5475A" w:rsidP="005F7BB8">
      <w:pPr>
        <w:autoSpaceDE w:val="0"/>
        <w:autoSpaceDN w:val="0"/>
        <w:adjustRightInd w:val="0"/>
        <w:rPr>
          <w:sz w:val="20"/>
          <w:szCs w:val="20"/>
        </w:rPr>
      </w:pPr>
      <w:r w:rsidRPr="006C428B">
        <w:rPr>
          <w:sz w:val="20"/>
          <w:szCs w:val="20"/>
        </w:rPr>
        <w:t xml:space="preserve">Sutton, M. </w:t>
      </w:r>
      <w:r w:rsidR="0018097C" w:rsidRPr="006C428B">
        <w:rPr>
          <w:sz w:val="20"/>
          <w:szCs w:val="20"/>
        </w:rPr>
        <w:t>(</w:t>
      </w:r>
      <w:r w:rsidRPr="006C428B">
        <w:rPr>
          <w:sz w:val="20"/>
          <w:szCs w:val="20"/>
        </w:rPr>
        <w:t>1998</w:t>
      </w:r>
      <w:r w:rsidR="0018097C" w:rsidRPr="006C428B">
        <w:rPr>
          <w:sz w:val="20"/>
          <w:szCs w:val="20"/>
        </w:rPr>
        <w:t>)</w:t>
      </w:r>
      <w:r w:rsidRPr="006C428B">
        <w:rPr>
          <w:sz w:val="20"/>
          <w:szCs w:val="20"/>
        </w:rPr>
        <w:t xml:space="preserve">. Global education and national interest: The last fifty years. </w:t>
      </w:r>
      <w:r w:rsidRPr="006C428B">
        <w:rPr>
          <w:i/>
          <w:iCs/>
          <w:sz w:val="20"/>
          <w:szCs w:val="20"/>
        </w:rPr>
        <w:t>International</w:t>
      </w:r>
      <w:r w:rsidR="005F7BB8" w:rsidRPr="006C428B">
        <w:rPr>
          <w:i/>
          <w:iCs/>
          <w:sz w:val="20"/>
          <w:szCs w:val="20"/>
        </w:rPr>
        <w:t xml:space="preserve"> </w:t>
      </w:r>
      <w:r w:rsidRPr="006C428B">
        <w:rPr>
          <w:i/>
          <w:iCs/>
          <w:sz w:val="20"/>
          <w:szCs w:val="20"/>
        </w:rPr>
        <w:t>Journal of Social Education</w:t>
      </w:r>
      <w:r w:rsidRPr="006C428B">
        <w:rPr>
          <w:sz w:val="20"/>
          <w:szCs w:val="20"/>
        </w:rPr>
        <w:t xml:space="preserve"> 13, no. 2: 6</w:t>
      </w:r>
      <w:r w:rsidR="0018097C" w:rsidRPr="006C428B">
        <w:rPr>
          <w:sz w:val="20"/>
          <w:szCs w:val="20"/>
        </w:rPr>
        <w:t>-</w:t>
      </w:r>
      <w:r w:rsidRPr="006C428B">
        <w:rPr>
          <w:sz w:val="20"/>
          <w:szCs w:val="20"/>
        </w:rPr>
        <w:t>28.</w:t>
      </w:r>
    </w:p>
    <w:p w14:paraId="6BEB7C1B" w14:textId="77777777" w:rsidR="0018097C" w:rsidRPr="003879C4" w:rsidRDefault="0018097C" w:rsidP="003879C4">
      <w:pPr>
        <w:rPr>
          <w:sz w:val="20"/>
          <w:szCs w:val="20"/>
        </w:rPr>
      </w:pPr>
    </w:p>
    <w:p w14:paraId="69068C8D" w14:textId="40E01EFF" w:rsidR="006E37F0" w:rsidRPr="006C428B" w:rsidRDefault="006E37F0" w:rsidP="005F7BB8">
      <w:pPr>
        <w:autoSpaceDE w:val="0"/>
        <w:autoSpaceDN w:val="0"/>
        <w:adjustRightInd w:val="0"/>
        <w:rPr>
          <w:color w:val="000000"/>
          <w:sz w:val="20"/>
          <w:szCs w:val="20"/>
        </w:rPr>
      </w:pPr>
      <w:proofErr w:type="spellStart"/>
      <w:r w:rsidRPr="006C428B">
        <w:rPr>
          <w:color w:val="000000"/>
          <w:sz w:val="20"/>
          <w:szCs w:val="20"/>
        </w:rPr>
        <w:t>Tichnor</w:t>
      </w:r>
      <w:proofErr w:type="spellEnd"/>
      <w:r w:rsidRPr="006C428B">
        <w:rPr>
          <w:color w:val="000000"/>
          <w:sz w:val="20"/>
          <w:szCs w:val="20"/>
        </w:rPr>
        <w:t>-Wagner, A., Parkhouse, H., Glazier, J., &amp; Cain, J. M. (2016). Expanding</w:t>
      </w:r>
      <w:r w:rsidR="005F7BB8" w:rsidRPr="006C428B">
        <w:rPr>
          <w:color w:val="000000"/>
          <w:sz w:val="20"/>
          <w:szCs w:val="20"/>
        </w:rPr>
        <w:t xml:space="preserve"> </w:t>
      </w:r>
      <w:r w:rsidRPr="006C428B">
        <w:rPr>
          <w:color w:val="000000"/>
          <w:sz w:val="20"/>
          <w:szCs w:val="20"/>
        </w:rPr>
        <w:t>approaches to teaching for diversity and social justice in K-12 education: Fostering global citizenship</w:t>
      </w:r>
      <w:r w:rsidR="0018097C" w:rsidRPr="006C428B">
        <w:rPr>
          <w:color w:val="000000"/>
          <w:sz w:val="20"/>
          <w:szCs w:val="20"/>
        </w:rPr>
        <w:t xml:space="preserve"> </w:t>
      </w:r>
      <w:r w:rsidRPr="006C428B">
        <w:rPr>
          <w:color w:val="000000"/>
          <w:sz w:val="20"/>
          <w:szCs w:val="20"/>
        </w:rPr>
        <w:t xml:space="preserve">across the content areas. </w:t>
      </w:r>
      <w:r w:rsidRPr="006C428B">
        <w:rPr>
          <w:i/>
          <w:iCs/>
          <w:color w:val="000000"/>
          <w:sz w:val="20"/>
          <w:szCs w:val="20"/>
        </w:rPr>
        <w:t>Education Policy Analysis Archives</w:t>
      </w:r>
      <w:r w:rsidRPr="006C428B">
        <w:rPr>
          <w:color w:val="000000"/>
          <w:sz w:val="20"/>
          <w:szCs w:val="20"/>
        </w:rPr>
        <w:t>, 24(59).</w:t>
      </w:r>
      <w:r w:rsidR="005F7BB8" w:rsidRPr="006C428B">
        <w:rPr>
          <w:color w:val="000000"/>
          <w:sz w:val="20"/>
          <w:szCs w:val="20"/>
        </w:rPr>
        <w:t xml:space="preserve"> DOI: </w:t>
      </w:r>
      <w:hyperlink r:id="rId9" w:history="1">
        <w:r w:rsidRPr="006C428B">
          <w:rPr>
            <w:rStyle w:val="Hyperlink"/>
            <w:sz w:val="20"/>
            <w:szCs w:val="20"/>
          </w:rPr>
          <w:t>10.14507/epaa.24.2138</w:t>
        </w:r>
      </w:hyperlink>
    </w:p>
    <w:p w14:paraId="7C39D51F" w14:textId="77777777" w:rsidR="006C428B" w:rsidRPr="006C428B" w:rsidRDefault="006C428B" w:rsidP="006C428B">
      <w:pPr>
        <w:pStyle w:val="Heading3"/>
        <w:rPr>
          <w:b w:val="0"/>
          <w:bCs w:val="0"/>
          <w:sz w:val="20"/>
          <w:szCs w:val="20"/>
        </w:rPr>
      </w:pPr>
      <w:proofErr w:type="spellStart"/>
      <w:r w:rsidRPr="006C428B">
        <w:rPr>
          <w:b w:val="0"/>
          <w:bCs w:val="0"/>
          <w:sz w:val="20"/>
          <w:szCs w:val="20"/>
        </w:rPr>
        <w:t>Veugelers</w:t>
      </w:r>
      <w:proofErr w:type="spellEnd"/>
      <w:r w:rsidRPr="006C428B">
        <w:rPr>
          <w:b w:val="0"/>
          <w:bCs w:val="0"/>
          <w:sz w:val="20"/>
          <w:szCs w:val="20"/>
        </w:rPr>
        <w:t>, W. (2020). How globalization influences perspectives on citizenship education: from the social and political to the cultural and moral.</w:t>
      </w:r>
      <w:r w:rsidRPr="006C428B">
        <w:rPr>
          <w:b w:val="0"/>
          <w:bCs w:val="0"/>
          <w:color w:val="000000" w:themeColor="text1"/>
          <w:sz w:val="20"/>
          <w:szCs w:val="20"/>
        </w:rPr>
        <w:t xml:space="preserve"> </w:t>
      </w:r>
      <w:r w:rsidRPr="006C428B">
        <w:rPr>
          <w:b w:val="0"/>
          <w:bCs w:val="0"/>
          <w:i/>
          <w:iCs/>
          <w:color w:val="000000" w:themeColor="text1"/>
          <w:sz w:val="20"/>
          <w:szCs w:val="20"/>
        </w:rPr>
        <w:t xml:space="preserve">Comparative </w:t>
      </w:r>
      <w:r w:rsidRPr="006C428B">
        <w:rPr>
          <w:b w:val="0"/>
          <w:bCs w:val="0"/>
          <w:i/>
          <w:iCs/>
          <w:sz w:val="20"/>
          <w:szCs w:val="20"/>
        </w:rPr>
        <w:t>Education</w:t>
      </w:r>
      <w:r w:rsidRPr="006C428B">
        <w:rPr>
          <w:b w:val="0"/>
          <w:bCs w:val="0"/>
          <w:sz w:val="20"/>
          <w:szCs w:val="20"/>
        </w:rPr>
        <w:t>, DOI: 10.1080/03057925.2020.1716307</w:t>
      </w:r>
    </w:p>
    <w:p w14:paraId="6984C23D" w14:textId="77777777" w:rsidR="00243016" w:rsidRDefault="00243016" w:rsidP="006E37F0">
      <w:pPr>
        <w:rPr>
          <w:rFonts w:ascii="Verdana" w:hAnsi="Verdana"/>
          <w:b/>
          <w:bCs/>
          <w:color w:val="006600"/>
        </w:rPr>
      </w:pPr>
    </w:p>
    <w:p w14:paraId="261417D0" w14:textId="77777777" w:rsidR="00A33E06" w:rsidRDefault="00A33E06" w:rsidP="00A65F31"/>
    <w:sectPr w:rsidR="00A33E0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anderyou, David (DCPS-OST)" w:date="2020-06-28T20:37:00Z" w:initials="LD(">
    <w:p w14:paraId="4B9E1217" w14:textId="77777777" w:rsidR="00386CEA" w:rsidRDefault="00386CEA">
      <w:pPr>
        <w:pStyle w:val="CommentText"/>
      </w:pPr>
      <w:r>
        <w:rPr>
          <w:rStyle w:val="CommentReference"/>
        </w:rPr>
        <w:annotationRef/>
      </w:r>
      <w:r>
        <w:t>Stephanie,</w:t>
      </w:r>
    </w:p>
    <w:p w14:paraId="5CED1F7B" w14:textId="77777777" w:rsidR="00386CEA" w:rsidRDefault="00386CEA">
      <w:pPr>
        <w:pStyle w:val="CommentText"/>
      </w:pPr>
    </w:p>
    <w:p w14:paraId="2D2E6A98" w14:textId="77777777" w:rsidR="0016391B" w:rsidRDefault="00386CEA">
      <w:pPr>
        <w:pStyle w:val="CommentText"/>
      </w:pPr>
      <w:r>
        <w:t xml:space="preserve">You have done a nice job addressing all aspects of the assignment.  Through your research you make a strong case for the importance of global citizen ship and you have identified a means, immersion programs, for developing that competency. </w:t>
      </w:r>
      <w:r w:rsidR="0016391B">
        <w:t xml:space="preserve"> </w:t>
      </w:r>
    </w:p>
    <w:p w14:paraId="107237FA" w14:textId="77777777" w:rsidR="0016391B" w:rsidRDefault="0016391B">
      <w:pPr>
        <w:pStyle w:val="CommentText"/>
      </w:pPr>
    </w:p>
    <w:p w14:paraId="7164B470" w14:textId="21A33247" w:rsidR="00386CEA" w:rsidRDefault="0016391B">
      <w:pPr>
        <w:pStyle w:val="CommentText"/>
      </w:pPr>
      <w:r>
        <w:t>Keep in mind the challenges in isolating the immersion experience of a teacher as the contributing factor in a students’ identifying as globally competent.  Maybe it just needs to be fleshed out more or the articles will lead in a certain direction.  Looking forward to what you find!</w:t>
      </w:r>
    </w:p>
    <w:p w14:paraId="0E2A32A1" w14:textId="77777777" w:rsidR="00386CEA" w:rsidRDefault="00386CEA">
      <w:pPr>
        <w:pStyle w:val="CommentText"/>
      </w:pPr>
    </w:p>
    <w:p w14:paraId="2389BF82" w14:textId="17E56778" w:rsidR="00386CEA" w:rsidRDefault="00386CEA">
      <w:pPr>
        <w:pStyle w:val="CommentText"/>
      </w:pPr>
    </w:p>
  </w:comment>
  <w:comment w:id="1" w:author="Landeryou, David (DCPS-OST)" w:date="2020-06-28T20:31:00Z" w:initials="LD(">
    <w:p w14:paraId="00573600" w14:textId="5AD97158" w:rsidR="00EE787C" w:rsidRDefault="00EE787C">
      <w:pPr>
        <w:pStyle w:val="CommentText"/>
      </w:pPr>
      <w:r>
        <w:rPr>
          <w:rStyle w:val="CommentReference"/>
        </w:rPr>
        <w:annotationRef/>
      </w:r>
      <w:r>
        <w:t>Nice work developing the purpose</w:t>
      </w:r>
    </w:p>
  </w:comment>
  <w:comment w:id="2" w:author="Landeryou, David (DCPS-OST)" w:date="2020-06-28T20:32:00Z" w:initials="LD(">
    <w:p w14:paraId="62DE1588" w14:textId="4B7392A7" w:rsidR="00EE787C" w:rsidRDefault="00EE787C">
      <w:pPr>
        <w:pStyle w:val="CommentText"/>
      </w:pPr>
      <w:r>
        <w:rPr>
          <w:rStyle w:val="CommentReference"/>
        </w:rPr>
        <w:annotationRef/>
      </w:r>
      <w:r>
        <w:t>Research question</w:t>
      </w:r>
      <w:r w:rsidR="00BA4D68">
        <w:t xml:space="preserve">, so presumably the </w:t>
      </w:r>
      <w:proofErr w:type="spellStart"/>
      <w:r w:rsidR="00BA4D68">
        <w:t>int</w:t>
      </w:r>
      <w:r w:rsidR="0016391B">
        <w:t>l</w:t>
      </w:r>
      <w:proofErr w:type="spellEnd"/>
      <w:r w:rsidR="00BA4D68">
        <w:t xml:space="preserve"> immersion experience </w:t>
      </w:r>
      <w:r w:rsidR="0016391B">
        <w:t xml:space="preserve">of a given teacher </w:t>
      </w:r>
      <w:r w:rsidR="00BA4D68">
        <w:t xml:space="preserve">will result </w:t>
      </w:r>
      <w:r w:rsidR="0016391B">
        <w:t xml:space="preserve">in a higher percentage of their students identifying as globally competent citizens? </w:t>
      </w:r>
    </w:p>
  </w:comment>
  <w:comment w:id="3" w:author="Landeryou, David (DCPS-OST)" w:date="2020-06-28T20:33:00Z" w:initials="LD(">
    <w:p w14:paraId="792E07A5" w14:textId="63F7EF5E" w:rsidR="00EE787C" w:rsidRDefault="00EE787C">
      <w:pPr>
        <w:pStyle w:val="CommentText"/>
      </w:pPr>
      <w:r>
        <w:rPr>
          <w:rStyle w:val="CommentReference"/>
        </w:rPr>
        <w:annotationRef/>
      </w:r>
      <w:r>
        <w:t xml:space="preserve">Good establishing parameters for the lit review. </w:t>
      </w:r>
    </w:p>
  </w:comment>
  <w:comment w:id="4" w:author="Landeryou, David (DCPS-OST)" w:date="2020-06-28T20:34:00Z" w:initials="LD(">
    <w:p w14:paraId="39A6E2FC" w14:textId="612189F9" w:rsidR="00EE787C" w:rsidRDefault="00EE787C">
      <w:pPr>
        <w:pStyle w:val="CommentText"/>
      </w:pPr>
      <w:r>
        <w:rPr>
          <w:rStyle w:val="CommentReference"/>
        </w:rPr>
        <w:annotationRef/>
      </w:r>
      <w:r>
        <w:t xml:space="preserve">Establishing a framework </w:t>
      </w:r>
    </w:p>
  </w:comment>
  <w:comment w:id="5" w:author="Landeryou, David (DCPS-OST)" w:date="2020-06-28T20:36:00Z" w:initials="LD(">
    <w:p w14:paraId="5EB6F164" w14:textId="2A41E235" w:rsidR="00EE787C" w:rsidRDefault="00EE787C">
      <w:pPr>
        <w:pStyle w:val="CommentText"/>
      </w:pPr>
      <w:r>
        <w:rPr>
          <w:rStyle w:val="CommentReference"/>
        </w:rPr>
        <w:annotationRef/>
      </w:r>
      <w:r>
        <w:t>Hypotheses and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89BF82" w15:done="0"/>
  <w15:commentEx w15:paraId="00573600" w15:done="0"/>
  <w15:commentEx w15:paraId="62DE1588" w15:done="0"/>
  <w15:commentEx w15:paraId="792E07A5" w15:done="0"/>
  <w15:commentEx w15:paraId="39A6E2FC" w15:done="0"/>
  <w15:commentEx w15:paraId="5EB6F1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89BF82" w16cid:durableId="22A37E19"/>
  <w16cid:commentId w16cid:paraId="00573600" w16cid:durableId="22A37CB2"/>
  <w16cid:commentId w16cid:paraId="62DE1588" w16cid:durableId="22A37CD3"/>
  <w16cid:commentId w16cid:paraId="792E07A5" w16cid:durableId="22A37D1F"/>
  <w16cid:commentId w16cid:paraId="39A6E2FC" w16cid:durableId="22A37D56"/>
  <w16cid:commentId w16cid:paraId="5EB6F164" w16cid:durableId="22A37D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dobe Garamond Pro">
    <w:altName w:val="Adobe Garamond Pro"/>
    <w:panose1 w:val="020B0604020202020204"/>
    <w:charset w:val="00"/>
    <w:family w:val="roman"/>
    <w:notTrueType/>
    <w:pitch w:val="default"/>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3255A0"/>
    <w:multiLevelType w:val="multilevel"/>
    <w:tmpl w:val="2382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nderyou, David (DCPS-OST)">
    <w15:presenceInfo w15:providerId="AD" w15:userId="S-1-5-21-4195246865-2646312858-2325534956-9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55"/>
    <w:rsid w:val="000511EF"/>
    <w:rsid w:val="00064955"/>
    <w:rsid w:val="00065765"/>
    <w:rsid w:val="000A2FF7"/>
    <w:rsid w:val="000A7E57"/>
    <w:rsid w:val="001248BB"/>
    <w:rsid w:val="001632D4"/>
    <w:rsid w:val="0016391B"/>
    <w:rsid w:val="0018097C"/>
    <w:rsid w:val="001F6FC0"/>
    <w:rsid w:val="00214240"/>
    <w:rsid w:val="00243016"/>
    <w:rsid w:val="002656AB"/>
    <w:rsid w:val="00386CEA"/>
    <w:rsid w:val="003879C4"/>
    <w:rsid w:val="003A1D67"/>
    <w:rsid w:val="003F47BD"/>
    <w:rsid w:val="00435267"/>
    <w:rsid w:val="00497036"/>
    <w:rsid w:val="00557134"/>
    <w:rsid w:val="005F7BB8"/>
    <w:rsid w:val="0066055D"/>
    <w:rsid w:val="00675AB3"/>
    <w:rsid w:val="006C428B"/>
    <w:rsid w:val="006E37F0"/>
    <w:rsid w:val="00723975"/>
    <w:rsid w:val="00791027"/>
    <w:rsid w:val="007E1A59"/>
    <w:rsid w:val="008E080B"/>
    <w:rsid w:val="009022CA"/>
    <w:rsid w:val="009235C6"/>
    <w:rsid w:val="00A33E06"/>
    <w:rsid w:val="00A5475A"/>
    <w:rsid w:val="00A65F31"/>
    <w:rsid w:val="00B1175F"/>
    <w:rsid w:val="00B45834"/>
    <w:rsid w:val="00BA4D68"/>
    <w:rsid w:val="00E55E24"/>
    <w:rsid w:val="00EE787C"/>
    <w:rsid w:val="00F53FDA"/>
    <w:rsid w:val="00F6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0403"/>
  <w15:chartTrackingRefBased/>
  <w15:docId w15:val="{8D7D64CB-00E2-174B-B37D-35DBC31A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31"/>
    <w:rPr>
      <w:rFonts w:ascii="Times New Roman" w:eastAsia="Times New Roman" w:hAnsi="Times New Roman" w:cs="Times New Roman"/>
    </w:rPr>
  </w:style>
  <w:style w:type="paragraph" w:styleId="Heading3">
    <w:name w:val="heading 3"/>
    <w:basedOn w:val="Normal"/>
    <w:link w:val="Heading3Char"/>
    <w:uiPriority w:val="9"/>
    <w:qFormat/>
    <w:rsid w:val="00A65F3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80B"/>
    <w:pPr>
      <w:spacing w:before="100" w:beforeAutospacing="1" w:after="100" w:afterAutospacing="1"/>
    </w:pPr>
  </w:style>
  <w:style w:type="character" w:styleId="Hyperlink">
    <w:name w:val="Hyperlink"/>
    <w:uiPriority w:val="99"/>
    <w:unhideWhenUsed/>
    <w:rsid w:val="001632D4"/>
    <w:rPr>
      <w:color w:val="0000FF"/>
      <w:u w:val="single"/>
    </w:rPr>
  </w:style>
  <w:style w:type="character" w:customStyle="1" w:styleId="hithilite">
    <w:name w:val="hithilite"/>
    <w:basedOn w:val="DefaultParagraphFont"/>
    <w:rsid w:val="001632D4"/>
  </w:style>
  <w:style w:type="character" w:customStyle="1" w:styleId="label">
    <w:name w:val="label"/>
    <w:basedOn w:val="DefaultParagraphFont"/>
    <w:rsid w:val="001632D4"/>
  </w:style>
  <w:style w:type="paragraph" w:styleId="ListParagraph">
    <w:name w:val="List Paragraph"/>
    <w:basedOn w:val="Normal"/>
    <w:uiPriority w:val="34"/>
    <w:qFormat/>
    <w:rsid w:val="001632D4"/>
    <w:pPr>
      <w:ind w:left="720"/>
      <w:contextualSpacing/>
    </w:pPr>
    <w:rPr>
      <w:rFonts w:asciiTheme="minorHAnsi" w:eastAsiaTheme="minorHAnsi" w:hAnsiTheme="minorHAnsi" w:cstheme="minorBidi"/>
    </w:rPr>
  </w:style>
  <w:style w:type="character" w:styleId="Strong">
    <w:name w:val="Strong"/>
    <w:uiPriority w:val="22"/>
    <w:qFormat/>
    <w:rsid w:val="001632D4"/>
    <w:rPr>
      <w:b/>
      <w:bCs/>
    </w:rPr>
  </w:style>
  <w:style w:type="character" w:styleId="FollowedHyperlink">
    <w:name w:val="FollowedHyperlink"/>
    <w:basedOn w:val="DefaultParagraphFont"/>
    <w:uiPriority w:val="99"/>
    <w:semiHidden/>
    <w:unhideWhenUsed/>
    <w:rsid w:val="001632D4"/>
    <w:rPr>
      <w:color w:val="954F72" w:themeColor="followedHyperlink"/>
      <w:u w:val="single"/>
    </w:rPr>
  </w:style>
  <w:style w:type="character" w:styleId="UnresolvedMention">
    <w:name w:val="Unresolved Mention"/>
    <w:basedOn w:val="DefaultParagraphFont"/>
    <w:uiPriority w:val="99"/>
    <w:semiHidden/>
    <w:unhideWhenUsed/>
    <w:rsid w:val="00F66AD4"/>
    <w:rPr>
      <w:color w:val="605E5C"/>
      <w:shd w:val="clear" w:color="auto" w:fill="E1DFDD"/>
    </w:rPr>
  </w:style>
  <w:style w:type="character" w:customStyle="1" w:styleId="A3">
    <w:name w:val="A3"/>
    <w:uiPriority w:val="99"/>
    <w:rsid w:val="0066055D"/>
    <w:rPr>
      <w:rFonts w:cs="Adobe Garamond Pro"/>
      <w:i/>
      <w:iCs/>
      <w:color w:val="000000"/>
      <w:sz w:val="20"/>
      <w:szCs w:val="20"/>
    </w:rPr>
  </w:style>
  <w:style w:type="paragraph" w:customStyle="1" w:styleId="frfield">
    <w:name w:val="fr_field"/>
    <w:basedOn w:val="Normal"/>
    <w:rsid w:val="00A65F31"/>
    <w:pPr>
      <w:spacing w:before="100" w:beforeAutospacing="1" w:after="100" w:afterAutospacing="1"/>
    </w:pPr>
  </w:style>
  <w:style w:type="character" w:customStyle="1" w:styleId="frlabel">
    <w:name w:val="fr_label"/>
    <w:basedOn w:val="DefaultParagraphFont"/>
    <w:rsid w:val="00A65F31"/>
  </w:style>
  <w:style w:type="character" w:customStyle="1" w:styleId="sourcetitle">
    <w:name w:val="sourcetitle"/>
    <w:basedOn w:val="DefaultParagraphFont"/>
    <w:rsid w:val="00A65F31"/>
  </w:style>
  <w:style w:type="character" w:customStyle="1" w:styleId="Heading3Char">
    <w:name w:val="Heading 3 Char"/>
    <w:basedOn w:val="DefaultParagraphFont"/>
    <w:link w:val="Heading3"/>
    <w:uiPriority w:val="9"/>
    <w:rsid w:val="00A65F31"/>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EE787C"/>
    <w:rPr>
      <w:sz w:val="16"/>
      <w:szCs w:val="16"/>
    </w:rPr>
  </w:style>
  <w:style w:type="paragraph" w:styleId="CommentText">
    <w:name w:val="annotation text"/>
    <w:basedOn w:val="Normal"/>
    <w:link w:val="CommentTextChar"/>
    <w:uiPriority w:val="99"/>
    <w:semiHidden/>
    <w:unhideWhenUsed/>
    <w:rsid w:val="00EE787C"/>
    <w:rPr>
      <w:sz w:val="20"/>
      <w:szCs w:val="20"/>
    </w:rPr>
  </w:style>
  <w:style w:type="character" w:customStyle="1" w:styleId="CommentTextChar">
    <w:name w:val="Comment Text Char"/>
    <w:basedOn w:val="DefaultParagraphFont"/>
    <w:link w:val="CommentText"/>
    <w:uiPriority w:val="99"/>
    <w:semiHidden/>
    <w:rsid w:val="00EE78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87C"/>
    <w:rPr>
      <w:b/>
      <w:bCs/>
    </w:rPr>
  </w:style>
  <w:style w:type="character" w:customStyle="1" w:styleId="CommentSubjectChar">
    <w:name w:val="Comment Subject Char"/>
    <w:basedOn w:val="CommentTextChar"/>
    <w:link w:val="CommentSubject"/>
    <w:uiPriority w:val="99"/>
    <w:semiHidden/>
    <w:rsid w:val="00EE787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78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8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07572">
      <w:bodyDiv w:val="1"/>
      <w:marLeft w:val="0"/>
      <w:marRight w:val="0"/>
      <w:marTop w:val="0"/>
      <w:marBottom w:val="0"/>
      <w:divBdr>
        <w:top w:val="none" w:sz="0" w:space="0" w:color="auto"/>
        <w:left w:val="none" w:sz="0" w:space="0" w:color="auto"/>
        <w:bottom w:val="none" w:sz="0" w:space="0" w:color="auto"/>
        <w:right w:val="none" w:sz="0" w:space="0" w:color="auto"/>
      </w:divBdr>
      <w:divsChild>
        <w:div w:id="491870122">
          <w:marLeft w:val="0"/>
          <w:marRight w:val="0"/>
          <w:marTop w:val="0"/>
          <w:marBottom w:val="0"/>
          <w:divBdr>
            <w:top w:val="none" w:sz="0" w:space="0" w:color="auto"/>
            <w:left w:val="none" w:sz="0" w:space="0" w:color="auto"/>
            <w:bottom w:val="none" w:sz="0" w:space="0" w:color="auto"/>
            <w:right w:val="none" w:sz="0" w:space="0" w:color="auto"/>
          </w:divBdr>
        </w:div>
        <w:div w:id="663552640">
          <w:marLeft w:val="0"/>
          <w:marRight w:val="0"/>
          <w:marTop w:val="0"/>
          <w:marBottom w:val="0"/>
          <w:divBdr>
            <w:top w:val="none" w:sz="0" w:space="0" w:color="auto"/>
            <w:left w:val="none" w:sz="0" w:space="0" w:color="auto"/>
            <w:bottom w:val="none" w:sz="0" w:space="0" w:color="auto"/>
            <w:right w:val="none" w:sz="0" w:space="0" w:color="auto"/>
          </w:divBdr>
        </w:div>
        <w:div w:id="70543651">
          <w:marLeft w:val="0"/>
          <w:marRight w:val="0"/>
          <w:marTop w:val="0"/>
          <w:marBottom w:val="0"/>
          <w:divBdr>
            <w:top w:val="none" w:sz="0" w:space="0" w:color="auto"/>
            <w:left w:val="none" w:sz="0" w:space="0" w:color="auto"/>
            <w:bottom w:val="none" w:sz="0" w:space="0" w:color="auto"/>
            <w:right w:val="none" w:sz="0" w:space="0" w:color="auto"/>
          </w:divBdr>
        </w:div>
      </w:divsChild>
    </w:div>
    <w:div w:id="914243575">
      <w:bodyDiv w:val="1"/>
      <w:marLeft w:val="0"/>
      <w:marRight w:val="0"/>
      <w:marTop w:val="0"/>
      <w:marBottom w:val="0"/>
      <w:divBdr>
        <w:top w:val="none" w:sz="0" w:space="0" w:color="auto"/>
        <w:left w:val="none" w:sz="0" w:space="0" w:color="auto"/>
        <w:bottom w:val="none" w:sz="0" w:space="0" w:color="auto"/>
        <w:right w:val="none" w:sz="0" w:space="0" w:color="auto"/>
      </w:divBdr>
      <w:divsChild>
        <w:div w:id="1717658172">
          <w:marLeft w:val="0"/>
          <w:marRight w:val="0"/>
          <w:marTop w:val="0"/>
          <w:marBottom w:val="0"/>
          <w:divBdr>
            <w:top w:val="none" w:sz="0" w:space="0" w:color="auto"/>
            <w:left w:val="none" w:sz="0" w:space="0" w:color="auto"/>
            <w:bottom w:val="none" w:sz="0" w:space="0" w:color="auto"/>
            <w:right w:val="none" w:sz="0" w:space="0" w:color="auto"/>
          </w:divBdr>
        </w:div>
        <w:div w:id="1196045470">
          <w:marLeft w:val="0"/>
          <w:marRight w:val="0"/>
          <w:marTop w:val="0"/>
          <w:marBottom w:val="0"/>
          <w:divBdr>
            <w:top w:val="none" w:sz="0" w:space="0" w:color="auto"/>
            <w:left w:val="none" w:sz="0" w:space="0" w:color="auto"/>
            <w:bottom w:val="none" w:sz="0" w:space="0" w:color="auto"/>
            <w:right w:val="none" w:sz="0" w:space="0" w:color="auto"/>
          </w:divBdr>
        </w:div>
        <w:div w:id="252667996">
          <w:marLeft w:val="0"/>
          <w:marRight w:val="0"/>
          <w:marTop w:val="0"/>
          <w:marBottom w:val="0"/>
          <w:divBdr>
            <w:top w:val="none" w:sz="0" w:space="0" w:color="auto"/>
            <w:left w:val="none" w:sz="0" w:space="0" w:color="auto"/>
            <w:bottom w:val="none" w:sz="0" w:space="0" w:color="auto"/>
            <w:right w:val="none" w:sz="0" w:space="0" w:color="auto"/>
          </w:divBdr>
          <w:divsChild>
            <w:div w:id="5682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0241">
      <w:bodyDiv w:val="1"/>
      <w:marLeft w:val="0"/>
      <w:marRight w:val="0"/>
      <w:marTop w:val="0"/>
      <w:marBottom w:val="0"/>
      <w:divBdr>
        <w:top w:val="none" w:sz="0" w:space="0" w:color="auto"/>
        <w:left w:val="none" w:sz="0" w:space="0" w:color="auto"/>
        <w:bottom w:val="none" w:sz="0" w:space="0" w:color="auto"/>
        <w:right w:val="none" w:sz="0" w:space="0" w:color="auto"/>
      </w:divBdr>
      <w:divsChild>
        <w:div w:id="1926914040">
          <w:marLeft w:val="0"/>
          <w:marRight w:val="0"/>
          <w:marTop w:val="0"/>
          <w:marBottom w:val="0"/>
          <w:divBdr>
            <w:top w:val="none" w:sz="0" w:space="0" w:color="auto"/>
            <w:left w:val="none" w:sz="0" w:space="0" w:color="auto"/>
            <w:bottom w:val="none" w:sz="0" w:space="0" w:color="auto"/>
            <w:right w:val="none" w:sz="0" w:space="0" w:color="auto"/>
          </w:divBdr>
        </w:div>
        <w:div w:id="1505392980">
          <w:marLeft w:val="0"/>
          <w:marRight w:val="0"/>
          <w:marTop w:val="0"/>
          <w:marBottom w:val="0"/>
          <w:divBdr>
            <w:top w:val="none" w:sz="0" w:space="0" w:color="auto"/>
            <w:left w:val="none" w:sz="0" w:space="0" w:color="auto"/>
            <w:bottom w:val="none" w:sz="0" w:space="0" w:color="auto"/>
            <w:right w:val="none" w:sz="0" w:space="0" w:color="auto"/>
          </w:divBdr>
        </w:div>
        <w:div w:id="828206320">
          <w:marLeft w:val="0"/>
          <w:marRight w:val="0"/>
          <w:marTop w:val="0"/>
          <w:marBottom w:val="0"/>
          <w:divBdr>
            <w:top w:val="none" w:sz="0" w:space="0" w:color="auto"/>
            <w:left w:val="none" w:sz="0" w:space="0" w:color="auto"/>
            <w:bottom w:val="none" w:sz="0" w:space="0" w:color="auto"/>
            <w:right w:val="none" w:sz="0" w:space="0" w:color="auto"/>
          </w:divBdr>
        </w:div>
      </w:divsChild>
    </w:div>
    <w:div w:id="1570069240">
      <w:bodyDiv w:val="1"/>
      <w:marLeft w:val="0"/>
      <w:marRight w:val="0"/>
      <w:marTop w:val="0"/>
      <w:marBottom w:val="0"/>
      <w:divBdr>
        <w:top w:val="none" w:sz="0" w:space="0" w:color="auto"/>
        <w:left w:val="none" w:sz="0" w:space="0" w:color="auto"/>
        <w:bottom w:val="none" w:sz="0" w:space="0" w:color="auto"/>
        <w:right w:val="none" w:sz="0" w:space="0" w:color="auto"/>
      </w:divBdr>
      <w:divsChild>
        <w:div w:id="902642204">
          <w:marLeft w:val="0"/>
          <w:marRight w:val="0"/>
          <w:marTop w:val="0"/>
          <w:marBottom w:val="0"/>
          <w:divBdr>
            <w:top w:val="none" w:sz="0" w:space="0" w:color="auto"/>
            <w:left w:val="none" w:sz="0" w:space="0" w:color="auto"/>
            <w:bottom w:val="none" w:sz="0" w:space="0" w:color="auto"/>
            <w:right w:val="none" w:sz="0" w:space="0" w:color="auto"/>
          </w:divBdr>
        </w:div>
        <w:div w:id="1436318258">
          <w:marLeft w:val="0"/>
          <w:marRight w:val="0"/>
          <w:marTop w:val="0"/>
          <w:marBottom w:val="0"/>
          <w:divBdr>
            <w:top w:val="none" w:sz="0" w:space="0" w:color="auto"/>
            <w:left w:val="none" w:sz="0" w:space="0" w:color="auto"/>
            <w:bottom w:val="none" w:sz="0" w:space="0" w:color="auto"/>
            <w:right w:val="none" w:sz="0" w:space="0" w:color="auto"/>
          </w:divBdr>
        </w:div>
        <w:div w:id="1558862123">
          <w:marLeft w:val="0"/>
          <w:marRight w:val="0"/>
          <w:marTop w:val="0"/>
          <w:marBottom w:val="0"/>
          <w:divBdr>
            <w:top w:val="none" w:sz="0" w:space="0" w:color="auto"/>
            <w:left w:val="none" w:sz="0" w:space="0" w:color="auto"/>
            <w:bottom w:val="none" w:sz="0" w:space="0" w:color="auto"/>
            <w:right w:val="none" w:sz="0" w:space="0" w:color="auto"/>
          </w:divBdr>
          <w:divsChild>
            <w:div w:id="1894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991">
      <w:bodyDiv w:val="1"/>
      <w:marLeft w:val="0"/>
      <w:marRight w:val="0"/>
      <w:marTop w:val="0"/>
      <w:marBottom w:val="0"/>
      <w:divBdr>
        <w:top w:val="none" w:sz="0" w:space="0" w:color="auto"/>
        <w:left w:val="none" w:sz="0" w:space="0" w:color="auto"/>
        <w:bottom w:val="none" w:sz="0" w:space="0" w:color="auto"/>
        <w:right w:val="none" w:sz="0" w:space="0" w:color="auto"/>
      </w:divBdr>
    </w:div>
    <w:div w:id="1641420182">
      <w:bodyDiv w:val="1"/>
      <w:marLeft w:val="0"/>
      <w:marRight w:val="0"/>
      <w:marTop w:val="0"/>
      <w:marBottom w:val="0"/>
      <w:divBdr>
        <w:top w:val="none" w:sz="0" w:space="0" w:color="auto"/>
        <w:left w:val="none" w:sz="0" w:space="0" w:color="auto"/>
        <w:bottom w:val="none" w:sz="0" w:space="0" w:color="auto"/>
        <w:right w:val="none" w:sz="0" w:space="0" w:color="auto"/>
      </w:divBdr>
    </w:div>
    <w:div w:id="1815904190">
      <w:bodyDiv w:val="1"/>
      <w:marLeft w:val="0"/>
      <w:marRight w:val="0"/>
      <w:marTop w:val="0"/>
      <w:marBottom w:val="0"/>
      <w:divBdr>
        <w:top w:val="none" w:sz="0" w:space="0" w:color="auto"/>
        <w:left w:val="none" w:sz="0" w:space="0" w:color="auto"/>
        <w:bottom w:val="none" w:sz="0" w:space="0" w:color="auto"/>
        <w:right w:val="none" w:sz="0" w:space="0" w:color="auto"/>
      </w:divBdr>
    </w:div>
    <w:div w:id="1821119676">
      <w:bodyDiv w:val="1"/>
      <w:marLeft w:val="0"/>
      <w:marRight w:val="0"/>
      <w:marTop w:val="0"/>
      <w:marBottom w:val="0"/>
      <w:divBdr>
        <w:top w:val="none" w:sz="0" w:space="0" w:color="auto"/>
        <w:left w:val="none" w:sz="0" w:space="0" w:color="auto"/>
        <w:bottom w:val="none" w:sz="0" w:space="0" w:color="auto"/>
        <w:right w:val="none" w:sz="0" w:space="0" w:color="auto"/>
      </w:divBdr>
    </w:div>
    <w:div w:id="2009480314">
      <w:bodyDiv w:val="1"/>
      <w:marLeft w:val="0"/>
      <w:marRight w:val="0"/>
      <w:marTop w:val="0"/>
      <w:marBottom w:val="0"/>
      <w:divBdr>
        <w:top w:val="none" w:sz="0" w:space="0" w:color="auto"/>
        <w:left w:val="none" w:sz="0" w:space="0" w:color="auto"/>
        <w:bottom w:val="none" w:sz="0" w:space="0" w:color="auto"/>
        <w:right w:val="none" w:sz="0" w:space="0" w:color="auto"/>
      </w:divBdr>
      <w:divsChild>
        <w:div w:id="1305499483">
          <w:marLeft w:val="0"/>
          <w:marRight w:val="0"/>
          <w:marTop w:val="0"/>
          <w:marBottom w:val="0"/>
          <w:divBdr>
            <w:top w:val="none" w:sz="0" w:space="0" w:color="auto"/>
            <w:left w:val="none" w:sz="0" w:space="0" w:color="auto"/>
            <w:bottom w:val="none" w:sz="0" w:space="0" w:color="auto"/>
            <w:right w:val="none" w:sz="0" w:space="0" w:color="auto"/>
          </w:divBdr>
        </w:div>
        <w:div w:id="1334379424">
          <w:marLeft w:val="0"/>
          <w:marRight w:val="0"/>
          <w:marTop w:val="0"/>
          <w:marBottom w:val="0"/>
          <w:divBdr>
            <w:top w:val="none" w:sz="0" w:space="0" w:color="auto"/>
            <w:left w:val="none" w:sz="0" w:space="0" w:color="auto"/>
            <w:bottom w:val="none" w:sz="0" w:space="0" w:color="auto"/>
            <w:right w:val="none" w:sz="0" w:space="0" w:color="auto"/>
          </w:divBdr>
        </w:div>
        <w:div w:id="31745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asociety.org/education/teaching-global-competence-rapidly-changing-world"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4507/epaa.24.2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2020-07-08T00:34:00Z</dcterms:created>
  <dcterms:modified xsi:type="dcterms:W3CDTF">2020-07-08T00:34:00Z</dcterms:modified>
</cp:coreProperties>
</file>