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5F14" w14:textId="77777777" w:rsidR="004C1736" w:rsidRDefault="004C1736" w:rsidP="00C66C99">
      <w:pPr>
        <w:jc w:val="right"/>
        <w:rPr>
          <w:b/>
          <w:bCs/>
          <w:sz w:val="22"/>
          <w:szCs w:val="22"/>
        </w:rPr>
      </w:pPr>
    </w:p>
    <w:p w14:paraId="024CFAEC" w14:textId="01ADE718" w:rsidR="004E4500" w:rsidRPr="006C428B" w:rsidRDefault="004E4500" w:rsidP="00384267">
      <w:pPr>
        <w:rPr>
          <w:b/>
          <w:bCs/>
          <w:sz w:val="22"/>
          <w:szCs w:val="22"/>
        </w:rPr>
      </w:pPr>
    </w:p>
    <w:p w14:paraId="54DD6DA9" w14:textId="5B8E0419" w:rsidR="00C66C99" w:rsidRDefault="00C66C99" w:rsidP="00C66C99">
      <w:pPr>
        <w:jc w:val="center"/>
        <w:rPr>
          <w:b/>
          <w:bCs/>
          <w:sz w:val="22"/>
          <w:szCs w:val="22"/>
        </w:rPr>
      </w:pPr>
    </w:p>
    <w:p w14:paraId="7240105D" w14:textId="1EC0C576" w:rsidR="004C1736" w:rsidRDefault="004C1736" w:rsidP="00C66C99">
      <w:pPr>
        <w:jc w:val="center"/>
        <w:rPr>
          <w:b/>
          <w:bCs/>
          <w:sz w:val="22"/>
          <w:szCs w:val="22"/>
        </w:rPr>
      </w:pPr>
    </w:p>
    <w:p w14:paraId="6463F524" w14:textId="69C04589" w:rsidR="004C1736" w:rsidRDefault="004C1736" w:rsidP="00C66C99">
      <w:pPr>
        <w:jc w:val="center"/>
        <w:rPr>
          <w:b/>
          <w:bCs/>
          <w:sz w:val="22"/>
          <w:szCs w:val="22"/>
        </w:rPr>
      </w:pPr>
    </w:p>
    <w:p w14:paraId="10388259" w14:textId="62ED412F" w:rsidR="004C1736" w:rsidRDefault="004C1736" w:rsidP="00C66C99">
      <w:pPr>
        <w:jc w:val="center"/>
        <w:rPr>
          <w:b/>
          <w:bCs/>
          <w:sz w:val="22"/>
          <w:szCs w:val="22"/>
        </w:rPr>
      </w:pPr>
    </w:p>
    <w:p w14:paraId="42EA9266" w14:textId="3BFF233B" w:rsidR="004C1736" w:rsidRDefault="004C1736" w:rsidP="00C66C99">
      <w:pPr>
        <w:jc w:val="center"/>
        <w:rPr>
          <w:b/>
          <w:bCs/>
          <w:sz w:val="22"/>
          <w:szCs w:val="22"/>
        </w:rPr>
      </w:pPr>
    </w:p>
    <w:p w14:paraId="45F74F8C" w14:textId="3BB381C8" w:rsidR="004C1736" w:rsidRDefault="004C1736" w:rsidP="00C66C99">
      <w:pPr>
        <w:jc w:val="center"/>
        <w:rPr>
          <w:b/>
          <w:bCs/>
          <w:sz w:val="22"/>
          <w:szCs w:val="22"/>
        </w:rPr>
      </w:pPr>
    </w:p>
    <w:p w14:paraId="708699EA" w14:textId="76CB920D" w:rsidR="004C1736" w:rsidRDefault="004C1736" w:rsidP="00C66C99">
      <w:pPr>
        <w:jc w:val="center"/>
        <w:rPr>
          <w:b/>
          <w:bCs/>
          <w:sz w:val="22"/>
          <w:szCs w:val="22"/>
        </w:rPr>
      </w:pPr>
    </w:p>
    <w:p w14:paraId="7AAEFA39" w14:textId="25C26681" w:rsidR="004C1736" w:rsidRDefault="004C1736" w:rsidP="00C66C99">
      <w:pPr>
        <w:jc w:val="center"/>
        <w:rPr>
          <w:b/>
          <w:bCs/>
          <w:sz w:val="22"/>
          <w:szCs w:val="22"/>
        </w:rPr>
      </w:pPr>
    </w:p>
    <w:p w14:paraId="2DE317D7" w14:textId="7C1656B0" w:rsidR="004C1736" w:rsidRDefault="004C1736" w:rsidP="00C66C99">
      <w:pPr>
        <w:jc w:val="center"/>
        <w:rPr>
          <w:b/>
          <w:bCs/>
          <w:sz w:val="22"/>
          <w:szCs w:val="22"/>
        </w:rPr>
      </w:pPr>
    </w:p>
    <w:p w14:paraId="00089800" w14:textId="77777777" w:rsidR="004C1736" w:rsidRPr="006C428B" w:rsidRDefault="004C1736" w:rsidP="00C66C99">
      <w:pPr>
        <w:jc w:val="center"/>
        <w:rPr>
          <w:b/>
          <w:bCs/>
          <w:sz w:val="22"/>
          <w:szCs w:val="22"/>
        </w:rPr>
      </w:pPr>
    </w:p>
    <w:p w14:paraId="4DC4DE36" w14:textId="77777777" w:rsidR="00C66C99" w:rsidRPr="004C1736" w:rsidRDefault="00C66C99" w:rsidP="00C66C99">
      <w:pPr>
        <w:jc w:val="center"/>
        <w:rPr>
          <w:b/>
          <w:bCs/>
          <w:sz w:val="100"/>
          <w:szCs w:val="100"/>
        </w:rPr>
      </w:pPr>
    </w:p>
    <w:p w14:paraId="1D81FCCF" w14:textId="77777777" w:rsidR="004C1736" w:rsidRDefault="004C1736" w:rsidP="00C66C99">
      <w:pPr>
        <w:jc w:val="center"/>
        <w:rPr>
          <w:b/>
          <w:bCs/>
        </w:rPr>
      </w:pPr>
      <w:r w:rsidRPr="004C1736">
        <w:rPr>
          <w:b/>
          <w:bCs/>
        </w:rPr>
        <w:t xml:space="preserve">FOSTERING GLOBAL COMPETENCE IN FUTURE TEACHERS THROUGH </w:t>
      </w:r>
    </w:p>
    <w:p w14:paraId="1676DB00" w14:textId="3B17DCE4" w:rsidR="00C66C99" w:rsidRPr="004C1736" w:rsidRDefault="004C1736" w:rsidP="00C66C99">
      <w:pPr>
        <w:jc w:val="center"/>
        <w:rPr>
          <w:b/>
          <w:bCs/>
        </w:rPr>
      </w:pPr>
      <w:r w:rsidRPr="004C1736">
        <w:rPr>
          <w:b/>
          <w:bCs/>
        </w:rPr>
        <w:t xml:space="preserve">STUDY ABROAD PROGRAMS </w:t>
      </w:r>
    </w:p>
    <w:p w14:paraId="169E248D" w14:textId="64BBE76D" w:rsidR="004C1736" w:rsidRPr="004C1736" w:rsidRDefault="004C1736" w:rsidP="00C66C99">
      <w:pPr>
        <w:jc w:val="center"/>
        <w:rPr>
          <w:b/>
          <w:bCs/>
        </w:rPr>
      </w:pPr>
    </w:p>
    <w:p w14:paraId="17AA3FFB" w14:textId="77777777" w:rsidR="004C1736" w:rsidRPr="004C1736" w:rsidRDefault="004C1736" w:rsidP="00C66C99">
      <w:pPr>
        <w:jc w:val="center"/>
        <w:rPr>
          <w:b/>
          <w:bCs/>
        </w:rPr>
      </w:pPr>
    </w:p>
    <w:p w14:paraId="5BC47FE5" w14:textId="3E7A0A87" w:rsidR="004C1736" w:rsidRPr="004C1736" w:rsidRDefault="004C1736" w:rsidP="00C66C99">
      <w:pPr>
        <w:jc w:val="center"/>
      </w:pPr>
      <w:r w:rsidRPr="004C1736">
        <w:t>Stephanie M. Mikulasek</w:t>
      </w:r>
    </w:p>
    <w:p w14:paraId="6AF2C27E" w14:textId="7E1C59B9" w:rsidR="004C1736" w:rsidRPr="004C1736" w:rsidRDefault="004C1736" w:rsidP="00C66C99">
      <w:pPr>
        <w:jc w:val="center"/>
      </w:pPr>
    </w:p>
    <w:p w14:paraId="40A9F756" w14:textId="5DB7DD07" w:rsidR="004C1736" w:rsidRPr="004C1736" w:rsidRDefault="004C1736" w:rsidP="004C1736">
      <w:pPr>
        <w:jc w:val="center"/>
      </w:pPr>
      <w:r w:rsidRPr="004C1736">
        <w:t>Department of Education, George Mason University</w:t>
      </w:r>
    </w:p>
    <w:p w14:paraId="71A72C15" w14:textId="355319F7" w:rsidR="004C1736" w:rsidRPr="004C1736" w:rsidRDefault="004C1736" w:rsidP="004C1736">
      <w:pPr>
        <w:jc w:val="center"/>
      </w:pPr>
    </w:p>
    <w:p w14:paraId="5017E7C7" w14:textId="41F5591D" w:rsidR="004C1736" w:rsidRPr="004C1736" w:rsidRDefault="004C1736" w:rsidP="004C1736">
      <w:pPr>
        <w:jc w:val="center"/>
      </w:pPr>
      <w:r w:rsidRPr="004C1736">
        <w:t>EDLE 810: Introduction to Research</w:t>
      </w:r>
    </w:p>
    <w:p w14:paraId="3B8C3AC8" w14:textId="0DB7D4B0" w:rsidR="004C1736" w:rsidRPr="004C1736" w:rsidRDefault="004C1736" w:rsidP="004C1736">
      <w:pPr>
        <w:jc w:val="center"/>
      </w:pPr>
    </w:p>
    <w:p w14:paraId="60672918" w14:textId="7C688A5E" w:rsidR="004C1736" w:rsidRPr="004C1736" w:rsidRDefault="004C1736" w:rsidP="004C1736">
      <w:pPr>
        <w:jc w:val="center"/>
      </w:pPr>
      <w:r w:rsidRPr="004C1736">
        <w:t>Dr. Angela Miller</w:t>
      </w:r>
    </w:p>
    <w:p w14:paraId="51913A60" w14:textId="4B794306" w:rsidR="004C1736" w:rsidRPr="004C1736" w:rsidRDefault="004C1736" w:rsidP="004C1736">
      <w:pPr>
        <w:jc w:val="center"/>
      </w:pPr>
    </w:p>
    <w:p w14:paraId="060D2855" w14:textId="38684C97" w:rsidR="004C1736" w:rsidRPr="004C1736" w:rsidRDefault="004C1736" w:rsidP="004C1736">
      <w:pPr>
        <w:jc w:val="center"/>
      </w:pPr>
      <w:r w:rsidRPr="004C1736">
        <w:t xml:space="preserve">July </w:t>
      </w:r>
      <w:r w:rsidR="00293FF6">
        <w:t>26</w:t>
      </w:r>
      <w:r w:rsidRPr="004C1736">
        <w:t>, 2020</w:t>
      </w:r>
    </w:p>
    <w:p w14:paraId="68BC3BA8" w14:textId="1B3C4EEB" w:rsidR="00C66C99" w:rsidRPr="004C1736" w:rsidRDefault="00C66C99" w:rsidP="00C66C99"/>
    <w:p w14:paraId="73AC603D" w14:textId="36F50051" w:rsidR="004C1736" w:rsidRDefault="004C1736" w:rsidP="00C66C99"/>
    <w:p w14:paraId="7019FC83" w14:textId="2FF92CAB" w:rsidR="004C1736" w:rsidRDefault="004C1736" w:rsidP="00C66C99"/>
    <w:p w14:paraId="0533785D" w14:textId="229D2BE7" w:rsidR="004C1736" w:rsidRDefault="004C1736" w:rsidP="00C66C99"/>
    <w:p w14:paraId="02AA0587" w14:textId="4FA2BFE5" w:rsidR="004C1736" w:rsidRDefault="004C1736" w:rsidP="00C66C99"/>
    <w:p w14:paraId="31A88258" w14:textId="289D45C2" w:rsidR="004C1736" w:rsidRDefault="004C1736" w:rsidP="00C66C99"/>
    <w:p w14:paraId="3489EA82" w14:textId="29F65E8F" w:rsidR="004C1736" w:rsidRDefault="004C1736" w:rsidP="00C66C99"/>
    <w:p w14:paraId="6B966BEA" w14:textId="04B6D34B" w:rsidR="004C1736" w:rsidRDefault="004C1736" w:rsidP="00C66C99"/>
    <w:p w14:paraId="74D48B48" w14:textId="18F03B5A" w:rsidR="004C1736" w:rsidRDefault="004C1736" w:rsidP="00C66C99"/>
    <w:p w14:paraId="53219847" w14:textId="4ADBB88E" w:rsidR="004C1736" w:rsidRDefault="004C1736" w:rsidP="00C66C99"/>
    <w:p w14:paraId="6A43F47A" w14:textId="4C06E4CE" w:rsidR="004C1736" w:rsidRDefault="004C1736" w:rsidP="00C66C99"/>
    <w:p w14:paraId="3F848FAC" w14:textId="5B889558" w:rsidR="004C1736" w:rsidRDefault="004C1736" w:rsidP="00C66C99"/>
    <w:p w14:paraId="21D64556" w14:textId="342EAB17" w:rsidR="004C1736" w:rsidRDefault="004C1736" w:rsidP="00C66C99"/>
    <w:p w14:paraId="7D6669B1" w14:textId="5CF1B16C" w:rsidR="004C1736" w:rsidRDefault="004C1736" w:rsidP="00C66C99"/>
    <w:p w14:paraId="3F305B78" w14:textId="3D31DF43" w:rsidR="004C1736" w:rsidRDefault="004C1736" w:rsidP="00C66C99"/>
    <w:p w14:paraId="3D4EF0EC" w14:textId="187D5093" w:rsidR="004C1736" w:rsidRDefault="004C1736" w:rsidP="00C66C99"/>
    <w:p w14:paraId="1A88CBC8" w14:textId="0CFE69DD" w:rsidR="004C1736" w:rsidRDefault="004C1736" w:rsidP="00C66C99"/>
    <w:p w14:paraId="3A524059" w14:textId="007B586D" w:rsidR="004C1736" w:rsidRDefault="004C1736" w:rsidP="00C66C99"/>
    <w:p w14:paraId="756E841D" w14:textId="2BCF5103" w:rsidR="004C1736" w:rsidRDefault="004C1736" w:rsidP="00C66C99"/>
    <w:p w14:paraId="4B6398F6" w14:textId="6A3AE040" w:rsidR="004C1736" w:rsidRDefault="004C1736" w:rsidP="004C1736">
      <w:pPr>
        <w:jc w:val="center"/>
        <w:rPr>
          <w:b/>
          <w:bCs/>
        </w:rPr>
      </w:pPr>
      <w:r w:rsidRPr="004C1736">
        <w:rPr>
          <w:b/>
          <w:bCs/>
        </w:rPr>
        <w:t>Abstract</w:t>
      </w:r>
    </w:p>
    <w:p w14:paraId="6FB9F9EC" w14:textId="77777777" w:rsidR="00300503" w:rsidRPr="004C1736" w:rsidRDefault="00300503" w:rsidP="004C1736">
      <w:pPr>
        <w:jc w:val="center"/>
        <w:rPr>
          <w:b/>
          <w:bCs/>
        </w:rPr>
      </w:pPr>
    </w:p>
    <w:p w14:paraId="0EE8AA3C" w14:textId="0ED77C91" w:rsidR="004C1736" w:rsidRDefault="004C1736" w:rsidP="004C1736">
      <w:pPr>
        <w:jc w:val="center"/>
      </w:pPr>
    </w:p>
    <w:p w14:paraId="170D7138" w14:textId="2F8F9A0F" w:rsidR="004C1736" w:rsidRDefault="004C1736" w:rsidP="004C1736">
      <w:pPr>
        <w:spacing w:line="480" w:lineRule="auto"/>
      </w:pPr>
      <w:r>
        <w:t xml:space="preserve">This study will examine </w:t>
      </w:r>
      <w:r w:rsidRPr="001875F0">
        <w:rPr>
          <w:strike/>
        </w:rPr>
        <w:t xml:space="preserve">the </w:t>
      </w:r>
      <w:r w:rsidR="0071737F" w:rsidRPr="001875F0">
        <w:rPr>
          <w:strike/>
        </w:rPr>
        <w:t>variance of</w:t>
      </w:r>
      <w:r w:rsidR="0071737F">
        <w:t xml:space="preserve"> </w:t>
      </w:r>
      <w:r>
        <w:t>perceived level</w:t>
      </w:r>
      <w:r w:rsidR="0071737F">
        <w:t>s</w:t>
      </w:r>
      <w:r>
        <w:t xml:space="preserve"> of global citizenship of future teachers after participating in a study abroad program</w:t>
      </w:r>
      <w:r w:rsidR="00293FF6">
        <w:t xml:space="preserve">. This study also examines the design components of a study abroad program to explore if </w:t>
      </w:r>
      <w:proofErr w:type="gramStart"/>
      <w:r w:rsidR="00293FF6">
        <w:t>particular components</w:t>
      </w:r>
      <w:proofErr w:type="gramEnd"/>
      <w:r w:rsidR="00293FF6">
        <w:t xml:space="preserve"> have </w:t>
      </w:r>
      <w:r w:rsidR="0071737F">
        <w:t>more</w:t>
      </w:r>
      <w:r w:rsidR="00293FF6">
        <w:t xml:space="preserve"> influence on </w:t>
      </w:r>
      <w:r w:rsidR="0071737F" w:rsidRPr="001875F0">
        <w:rPr>
          <w:strike/>
        </w:rPr>
        <w:t xml:space="preserve">affecting </w:t>
      </w:r>
      <w:r w:rsidR="00293FF6">
        <w:t xml:space="preserve">levels of </w:t>
      </w:r>
      <w:r w:rsidR="0071737F">
        <w:t>that perception</w:t>
      </w:r>
      <w:r>
        <w:t xml:space="preserve">. </w:t>
      </w:r>
      <w:r w:rsidR="00293FF6">
        <w:t xml:space="preserve">Participants in this study </w:t>
      </w:r>
      <w:r w:rsidR="0071737F">
        <w:t>will be</w:t>
      </w:r>
      <w:r w:rsidR="00293FF6">
        <w:t xml:space="preserve"> undergraduate students intending to or are enrolled in a </w:t>
      </w:r>
      <w:r>
        <w:t>teacher licensure program</w:t>
      </w:r>
      <w:r w:rsidR="0071737F">
        <w:t xml:space="preserve">. </w:t>
      </w:r>
      <w:r>
        <w:t>These students will be volunteer</w:t>
      </w:r>
      <w:r w:rsidR="0071737F">
        <w:t>s</w:t>
      </w:r>
      <w:r>
        <w:t xml:space="preserve"> derived from three different universities geographically dispersed across the United States. Using a </w:t>
      </w:r>
      <w:r w:rsidR="00293FF6">
        <w:t xml:space="preserve">pretest-posttest research design, this quantitative study </w:t>
      </w:r>
      <w:r w:rsidR="0071737F">
        <w:t>will utilize</w:t>
      </w:r>
      <w:r w:rsidR="00293FF6">
        <w:t xml:space="preserve"> a Global Citizenship Scale and a study abroad Content Survey to </w:t>
      </w:r>
      <w:r>
        <w:t xml:space="preserve">examine the relationship between global </w:t>
      </w:r>
      <w:r w:rsidR="006517D4">
        <w:t xml:space="preserve">citizenship </w:t>
      </w:r>
      <w:r>
        <w:t xml:space="preserve">development and participation in a study abroad program.  </w:t>
      </w:r>
      <w:r w:rsidR="00293FF6">
        <w:t xml:space="preserve">The anticipated findings </w:t>
      </w:r>
      <w:r w:rsidR="001B0EBE">
        <w:t>are</w:t>
      </w:r>
      <w:r w:rsidR="00293FF6">
        <w:t xml:space="preserve"> that global study abroad programs statistically increase a future teacher’s perceived level of global c</w:t>
      </w:r>
      <w:r w:rsidR="006517D4">
        <w:t>itizenship</w:t>
      </w:r>
      <w:r w:rsidR="001B0EBE">
        <w:t>,</w:t>
      </w:r>
      <w:r w:rsidR="00293FF6">
        <w:t xml:space="preserve"> and that certain design components of study abroad programs are critical in that increased perception. This study can contribute to </w:t>
      </w:r>
      <w:r w:rsidR="0071737F">
        <w:t xml:space="preserve">the growing literature of how immersion programs contribute to future </w:t>
      </w:r>
      <w:r w:rsidR="006517D4">
        <w:t xml:space="preserve">teachers’ knowledge, understanding, and confidence in teaching global citizenship to students, which is increasingly recognized as an essential element in a student’s education. </w:t>
      </w:r>
    </w:p>
    <w:p w14:paraId="3B8E0D93" w14:textId="513721BD" w:rsidR="004C1736" w:rsidRDefault="004C1736" w:rsidP="004C1736">
      <w:pPr>
        <w:spacing w:line="480" w:lineRule="auto"/>
        <w:ind w:firstLine="720"/>
      </w:pPr>
      <w:r w:rsidRPr="004C1736">
        <w:rPr>
          <w:i/>
          <w:iCs/>
        </w:rPr>
        <w:t>Keywords:</w:t>
      </w:r>
      <w:r>
        <w:t xml:space="preserve"> study abroad, immersion program, global competency, global citizenship, cross-cultural understanding, pre-service teachers</w:t>
      </w:r>
      <w:r w:rsidR="006517D4">
        <w:t>, teachers</w:t>
      </w:r>
    </w:p>
    <w:p w14:paraId="4B162454" w14:textId="2B7C8E19" w:rsidR="006517D4" w:rsidRDefault="006517D4" w:rsidP="004C1736">
      <w:pPr>
        <w:spacing w:line="480" w:lineRule="auto"/>
        <w:ind w:firstLine="720"/>
      </w:pPr>
    </w:p>
    <w:p w14:paraId="646417EB" w14:textId="77777777" w:rsidR="006517D4" w:rsidRDefault="006517D4" w:rsidP="004C1736">
      <w:pPr>
        <w:spacing w:line="480" w:lineRule="auto"/>
        <w:ind w:firstLine="720"/>
      </w:pPr>
    </w:p>
    <w:p w14:paraId="59D9A46B" w14:textId="77777777" w:rsidR="004C1736" w:rsidRDefault="004C1736" w:rsidP="004C1736"/>
    <w:p w14:paraId="7CF23ED9" w14:textId="7461F407" w:rsidR="004C1736" w:rsidRDefault="004C1736" w:rsidP="00C66C99"/>
    <w:p w14:paraId="6CDBB1A4" w14:textId="433ADF95" w:rsidR="004C1736" w:rsidRDefault="004C1736" w:rsidP="00C66C99"/>
    <w:p w14:paraId="44A02C79" w14:textId="4975162C" w:rsidR="004C1736" w:rsidRDefault="004C1736" w:rsidP="00C66C99"/>
    <w:p w14:paraId="2BE07DB0" w14:textId="5E428B66" w:rsidR="004C1736" w:rsidRDefault="004C1736" w:rsidP="00C66C99"/>
    <w:p w14:paraId="35A9223A" w14:textId="77777777" w:rsidR="004C1736" w:rsidRDefault="004C1736" w:rsidP="00C66C99"/>
    <w:p w14:paraId="04494628" w14:textId="0A152448" w:rsidR="004C1736" w:rsidRDefault="004C1736" w:rsidP="00C66C99"/>
    <w:p w14:paraId="2FBD8F3F" w14:textId="77777777" w:rsidR="004C1736" w:rsidRDefault="004C1736" w:rsidP="004C1736">
      <w:pPr>
        <w:jc w:val="center"/>
        <w:rPr>
          <w:b/>
          <w:bCs/>
        </w:rPr>
      </w:pPr>
      <w:r w:rsidRPr="004C1736">
        <w:rPr>
          <w:b/>
          <w:bCs/>
        </w:rPr>
        <w:t xml:space="preserve">FOSTERING GLOBAL COMPETENCE IN FUTURE TEACHERS THROUGH </w:t>
      </w:r>
    </w:p>
    <w:p w14:paraId="162D265A" w14:textId="77777777" w:rsidR="004C1736" w:rsidRPr="004C1736" w:rsidRDefault="004C1736" w:rsidP="004C1736">
      <w:pPr>
        <w:jc w:val="center"/>
        <w:rPr>
          <w:b/>
          <w:bCs/>
        </w:rPr>
      </w:pPr>
      <w:r w:rsidRPr="004C1736">
        <w:rPr>
          <w:b/>
          <w:bCs/>
        </w:rPr>
        <w:t xml:space="preserve">STUDY ABROAD PROGRAMS </w:t>
      </w:r>
    </w:p>
    <w:p w14:paraId="39E66E92" w14:textId="77777777" w:rsidR="004C1736" w:rsidRDefault="004C1736" w:rsidP="00C66C99"/>
    <w:p w14:paraId="5DB6D0CC" w14:textId="6C7D2CED" w:rsidR="004C1736" w:rsidRPr="004C1736" w:rsidRDefault="00C66C99" w:rsidP="004C1736">
      <w:pPr>
        <w:spacing w:before="240" w:line="480" w:lineRule="auto"/>
        <w:ind w:firstLine="720"/>
      </w:pPr>
      <w:r w:rsidRPr="004C1736">
        <w:t xml:space="preserve">Teachers convey more than a lesson plan. Their framing of questions, cultural assumptions, biases, approach to different genders, personal background, life experiences and a host of other factors form a lens, or framework, through which they teach. </w:t>
      </w:r>
      <w:r w:rsidR="006517D4">
        <w:t>However</w:t>
      </w:r>
      <w:r w:rsidRPr="004C1736">
        <w:t>, teachers generally are not aware of those frameworks</w:t>
      </w:r>
      <w:r w:rsidR="006517D4">
        <w:t xml:space="preserve"> (</w:t>
      </w:r>
      <w:r w:rsidR="00B657F8">
        <w:t xml:space="preserve">Gallavan, 2008; </w:t>
      </w:r>
      <w:r w:rsidR="006517D4">
        <w:t>Gilliom, 1993)</w:t>
      </w:r>
      <w:r w:rsidRPr="004C1736">
        <w:t xml:space="preserve">. Further, teachers often </w:t>
      </w:r>
      <w:r w:rsidR="002D1637">
        <w:t xml:space="preserve">have little exposure to </w:t>
      </w:r>
      <w:r w:rsidR="00B657F8">
        <w:t xml:space="preserve">global issues and </w:t>
      </w:r>
      <w:r w:rsidR="001B0EBE">
        <w:t xml:space="preserve">alternative </w:t>
      </w:r>
      <w:r w:rsidR="00B657F8">
        <w:t xml:space="preserve">frameworks </w:t>
      </w:r>
      <w:r w:rsidR="001B0EBE">
        <w:t>held by</w:t>
      </w:r>
      <w:r w:rsidR="00B657F8">
        <w:t xml:space="preserve"> </w:t>
      </w:r>
      <w:r w:rsidR="008F285D" w:rsidRPr="004C1736">
        <w:t>their</w:t>
      </w:r>
      <w:r w:rsidRPr="004C1736">
        <w:t xml:space="preserve"> students, </w:t>
      </w:r>
      <w:r w:rsidR="001B0EBE">
        <w:t xml:space="preserve">many of </w:t>
      </w:r>
      <w:r w:rsidRPr="004C1736">
        <w:t>who</w:t>
      </w:r>
      <w:r w:rsidR="001B0EBE">
        <w:t>m</w:t>
      </w:r>
      <w:r w:rsidRPr="004C1736">
        <w:t xml:space="preserve"> come from different countries, cultures, </w:t>
      </w:r>
      <w:proofErr w:type="gramStart"/>
      <w:r w:rsidRPr="004C1736">
        <w:t>traditions</w:t>
      </w:r>
      <w:proofErr w:type="gramEnd"/>
      <w:r w:rsidRPr="004C1736">
        <w:t xml:space="preserve"> and ways of knowing information</w:t>
      </w:r>
      <w:r w:rsidR="002D1637">
        <w:t xml:space="preserve"> (</w:t>
      </w:r>
      <w:r w:rsidR="004F3BEF">
        <w:t xml:space="preserve">Cunningham, 2019; </w:t>
      </w:r>
      <w:r w:rsidR="002D1637">
        <w:t xml:space="preserve">Gilliom, 1993; </w:t>
      </w:r>
      <w:r w:rsidR="00B657F8">
        <w:t>Schneider, 2003)</w:t>
      </w:r>
      <w:r w:rsidRPr="004C1736">
        <w:t xml:space="preserve">. A short-hand way of describing </w:t>
      </w:r>
      <w:r w:rsidR="008F285D" w:rsidRPr="004C1736">
        <w:t xml:space="preserve">these frameworks that require such </w:t>
      </w:r>
      <w:r w:rsidR="001F085D" w:rsidRPr="004C1736">
        <w:t>global</w:t>
      </w:r>
      <w:r w:rsidRPr="004C1736">
        <w:t xml:space="preserve">, cross-cultural fluency </w:t>
      </w:r>
      <w:r w:rsidR="001F085D" w:rsidRPr="004C1736">
        <w:t xml:space="preserve">and self-awareness </w:t>
      </w:r>
      <w:r w:rsidRPr="004C1736">
        <w:t xml:space="preserve">is “global </w:t>
      </w:r>
      <w:r w:rsidR="00B657F8" w:rsidRPr="004C1736">
        <w:t>c</w:t>
      </w:r>
      <w:r w:rsidR="00B657F8">
        <w:t>itizenship</w:t>
      </w:r>
      <w:r w:rsidRPr="004C1736">
        <w:t xml:space="preserve">.” </w:t>
      </w:r>
    </w:p>
    <w:p w14:paraId="0E76916F" w14:textId="02B03AD9" w:rsidR="004C1736" w:rsidRPr="001875F0" w:rsidRDefault="00C66C99" w:rsidP="001875F0">
      <w:pPr>
        <w:spacing w:before="240" w:line="480" w:lineRule="auto"/>
        <w:ind w:firstLine="720"/>
        <w:rPr>
          <w:b/>
          <w:bCs/>
        </w:rPr>
      </w:pPr>
      <w:r w:rsidRPr="004C1736">
        <w:t xml:space="preserve">As we ask our students to be globally competent citizens, we </w:t>
      </w:r>
      <w:r w:rsidR="008F285D" w:rsidRPr="004C1736">
        <w:t xml:space="preserve">first </w:t>
      </w:r>
      <w:r w:rsidRPr="004C1736">
        <w:t>must look to the teacher and assess his/her own global competency</w:t>
      </w:r>
      <w:r w:rsidR="00D207B7">
        <w:t xml:space="preserve"> </w:t>
      </w:r>
      <w:r w:rsidR="00D207B7" w:rsidRPr="004C1736">
        <w:t>(Braskamp, 2009</w:t>
      </w:r>
      <w:r w:rsidR="00D207B7">
        <w:t xml:space="preserve">; </w:t>
      </w:r>
      <w:r w:rsidR="00D207B7" w:rsidRPr="004C1736">
        <w:t>Davies &amp; Pike, 2009; Schattle, 2009)</w:t>
      </w:r>
      <w:r w:rsidRPr="004C1736">
        <w:t xml:space="preserve">.  As Sutton </w:t>
      </w:r>
      <w:r w:rsidR="00B657F8">
        <w:t xml:space="preserve">(1998) </w:t>
      </w:r>
      <w:r w:rsidRPr="004C1736">
        <w:t xml:space="preserve">notes in her historical overview of global education in the United States, </w:t>
      </w:r>
      <w:r w:rsidR="00B657F8">
        <w:t xml:space="preserve">the competencies and capacities of individual teachers will dictate </w:t>
      </w:r>
      <w:r w:rsidRPr="004C1736">
        <w:t>the strength of global s</w:t>
      </w:r>
      <w:r w:rsidR="00B657F8">
        <w:t xml:space="preserve">tudies and citizenship taught in the classroom. </w:t>
      </w:r>
      <w:r w:rsidRPr="004C1736">
        <w:t xml:space="preserve">Some researchers suggest schools and colleges of education are often the least internationalized divisions in U.S. post-secondary institutions (Schneider, 2003) and that consequently, </w:t>
      </w:r>
      <w:proofErr w:type="gramStart"/>
      <w:r w:rsidR="00297BF6">
        <w:t>the majority of</w:t>
      </w:r>
      <w:proofErr w:type="gramEnd"/>
      <w:r w:rsidR="00297BF6">
        <w:t xml:space="preserve"> </w:t>
      </w:r>
      <w:r w:rsidRPr="004C1736">
        <w:t xml:space="preserve">teachers begin their careers with </w:t>
      </w:r>
      <w:r w:rsidR="00297BF6">
        <w:t>only</w:t>
      </w:r>
      <w:r w:rsidRPr="004C1736">
        <w:t xml:space="preserve"> superficial knowledge of the world</w:t>
      </w:r>
      <w:r w:rsidR="00297BF6">
        <w:t>.</w:t>
      </w:r>
      <w:r w:rsidRPr="004C1736">
        <w:t xml:space="preserve"> (Longview Foundation, 2008). The question is how to </w:t>
      </w:r>
      <w:proofErr w:type="gramStart"/>
      <w:r w:rsidRPr="004C1736">
        <w:t>most efficiently and effectively build global competency and understanding</w:t>
      </w:r>
      <w:proofErr w:type="gramEnd"/>
      <w:r w:rsidRPr="004C1736">
        <w:t xml:space="preserve"> among </w:t>
      </w:r>
      <w:r w:rsidR="004E4500" w:rsidRPr="004C1736">
        <w:t xml:space="preserve">future </w:t>
      </w:r>
      <w:r w:rsidRPr="004C1736">
        <w:t xml:space="preserve">teachers? This research </w:t>
      </w:r>
      <w:r w:rsidR="004E4500" w:rsidRPr="004C1736">
        <w:t>study</w:t>
      </w:r>
      <w:r w:rsidRPr="004C1736">
        <w:t xml:space="preserve"> </w:t>
      </w:r>
      <w:r w:rsidR="00297BF6">
        <w:t>provides</w:t>
      </w:r>
      <w:r w:rsidR="00297BF6" w:rsidRPr="004C1736">
        <w:t xml:space="preserve"> </w:t>
      </w:r>
      <w:r w:rsidR="008F285D" w:rsidRPr="004C1736">
        <w:t xml:space="preserve">definitions of terms and then </w:t>
      </w:r>
      <w:r w:rsidR="004E4500" w:rsidRPr="004C1736">
        <w:t xml:space="preserve">proposes a research design that </w:t>
      </w:r>
      <w:r w:rsidR="00297BF6">
        <w:t xml:space="preserve">explores how a tool, namely study abroad programs, can </w:t>
      </w:r>
      <w:r w:rsidRPr="004C1736">
        <w:t xml:space="preserve">build global citizenship among </w:t>
      </w:r>
      <w:r w:rsidR="004E4500" w:rsidRPr="004C1736">
        <w:t xml:space="preserve">future </w:t>
      </w:r>
      <w:r w:rsidRPr="004C1736">
        <w:t xml:space="preserve">teachers. </w:t>
      </w:r>
      <w:r w:rsidR="001B0EBE">
        <w:t>Specifically, t</w:t>
      </w:r>
      <w:r w:rsidRPr="004C1736">
        <w:t xml:space="preserve">he purpose of this study is to examine </w:t>
      </w:r>
      <w:r w:rsidRPr="004C1736">
        <w:rPr>
          <w:b/>
          <w:bCs/>
        </w:rPr>
        <w:t xml:space="preserve">how </w:t>
      </w:r>
      <w:r w:rsidR="004E4500" w:rsidRPr="004C1736">
        <w:rPr>
          <w:b/>
          <w:bCs/>
        </w:rPr>
        <w:t>study abroad</w:t>
      </w:r>
      <w:r w:rsidRPr="004C1736">
        <w:rPr>
          <w:b/>
          <w:bCs/>
        </w:rPr>
        <w:t xml:space="preserve"> </w:t>
      </w:r>
      <w:r w:rsidRPr="004C1736">
        <w:rPr>
          <w:b/>
          <w:bCs/>
        </w:rPr>
        <w:lastRenderedPageBreak/>
        <w:t xml:space="preserve">experiences affect the perceived level of global </w:t>
      </w:r>
      <w:r w:rsidR="00C17BCE" w:rsidRPr="004C1736">
        <w:rPr>
          <w:b/>
          <w:bCs/>
        </w:rPr>
        <w:t>c</w:t>
      </w:r>
      <w:r w:rsidR="00C17BCE">
        <w:rPr>
          <w:b/>
          <w:bCs/>
        </w:rPr>
        <w:t>itizenship qualities</w:t>
      </w:r>
      <w:r w:rsidR="00C17BCE" w:rsidRPr="004C1736">
        <w:rPr>
          <w:b/>
          <w:bCs/>
        </w:rPr>
        <w:t xml:space="preserve"> </w:t>
      </w:r>
      <w:r w:rsidRPr="004C1736">
        <w:rPr>
          <w:b/>
          <w:bCs/>
        </w:rPr>
        <w:t>among</w:t>
      </w:r>
      <w:r w:rsidR="004E4500" w:rsidRPr="004C1736">
        <w:rPr>
          <w:b/>
          <w:bCs/>
        </w:rPr>
        <w:t xml:space="preserve"> future teachers, and </w:t>
      </w:r>
      <w:r w:rsidR="007526E7">
        <w:rPr>
          <w:b/>
          <w:bCs/>
        </w:rPr>
        <w:t xml:space="preserve">if </w:t>
      </w:r>
      <w:proofErr w:type="gramStart"/>
      <w:r w:rsidR="007526E7">
        <w:rPr>
          <w:b/>
          <w:bCs/>
        </w:rPr>
        <w:t>particular design</w:t>
      </w:r>
      <w:proofErr w:type="gramEnd"/>
      <w:r w:rsidR="007526E7">
        <w:rPr>
          <w:b/>
          <w:bCs/>
        </w:rPr>
        <w:t xml:space="preserve"> components of the study abroad program </w:t>
      </w:r>
      <w:r w:rsidR="00C17BCE">
        <w:rPr>
          <w:b/>
          <w:bCs/>
        </w:rPr>
        <w:t xml:space="preserve">affect that </w:t>
      </w:r>
      <w:commentRangeStart w:id="0"/>
      <w:r w:rsidR="00C17BCE">
        <w:rPr>
          <w:b/>
          <w:bCs/>
        </w:rPr>
        <w:t>perception</w:t>
      </w:r>
      <w:commentRangeEnd w:id="0"/>
      <w:r w:rsidR="001875F0">
        <w:rPr>
          <w:rStyle w:val="CommentReference"/>
        </w:rPr>
        <w:commentReference w:id="0"/>
      </w:r>
      <w:r w:rsidR="00C17BCE">
        <w:rPr>
          <w:b/>
          <w:bCs/>
        </w:rPr>
        <w:t xml:space="preserve">. </w:t>
      </w:r>
    </w:p>
    <w:p w14:paraId="67E0D389" w14:textId="0058C297" w:rsidR="00FE34C4" w:rsidRPr="00192044" w:rsidRDefault="00192044" w:rsidP="001875F0">
      <w:pPr>
        <w:spacing w:line="480" w:lineRule="auto"/>
        <w:jc w:val="center"/>
        <w:rPr>
          <w:b/>
          <w:bCs/>
        </w:rPr>
      </w:pPr>
      <w:r>
        <w:rPr>
          <w:b/>
          <w:bCs/>
        </w:rPr>
        <w:t>Literature Review</w:t>
      </w:r>
    </w:p>
    <w:p w14:paraId="329D3729" w14:textId="5459F7B6" w:rsidR="009271DF" w:rsidRDefault="00FE34C4" w:rsidP="009271DF">
      <w:pPr>
        <w:spacing w:line="480" w:lineRule="auto"/>
      </w:pPr>
      <w:r w:rsidRPr="00C874EC">
        <w:rPr>
          <w:i/>
          <w:iCs/>
        </w:rPr>
        <w:t>Parameters</w:t>
      </w:r>
      <w:r>
        <w:t xml:space="preserve"> </w:t>
      </w:r>
    </w:p>
    <w:p w14:paraId="33CD1E38" w14:textId="19D05F03" w:rsidR="009271DF" w:rsidRPr="001875F0" w:rsidRDefault="00C66C99" w:rsidP="001875F0">
      <w:pPr>
        <w:spacing w:line="480" w:lineRule="auto"/>
        <w:ind w:firstLine="720"/>
      </w:pPr>
      <w:r w:rsidRPr="004C1736">
        <w:t>T</w:t>
      </w:r>
      <w:r w:rsidR="004E4500" w:rsidRPr="004C1736">
        <w:t xml:space="preserve">his </w:t>
      </w:r>
      <w:r w:rsidR="00297BF6">
        <w:t xml:space="preserve">research </w:t>
      </w:r>
      <w:r w:rsidR="004E4500" w:rsidRPr="004C1736">
        <w:t>study begins with a literature review narrowed by the following parameters</w:t>
      </w:r>
      <w:r w:rsidR="004C1736" w:rsidRPr="004C1736">
        <w:t xml:space="preserve">, </w:t>
      </w:r>
      <w:r w:rsidRPr="004C1736">
        <w:t xml:space="preserve">(1) </w:t>
      </w:r>
      <w:r w:rsidR="00297BF6">
        <w:t>studies</w:t>
      </w:r>
      <w:r w:rsidR="00297BF6" w:rsidRPr="004C1736">
        <w:t xml:space="preserve"> </w:t>
      </w:r>
      <w:r w:rsidR="004E4500" w:rsidRPr="004C1736">
        <w:t xml:space="preserve">that </w:t>
      </w:r>
      <w:r w:rsidRPr="004C1736">
        <w:t>defin</w:t>
      </w:r>
      <w:r w:rsidR="004E4500" w:rsidRPr="004C1736">
        <w:t>e</w:t>
      </w:r>
      <w:r w:rsidRPr="004C1736">
        <w:t xml:space="preserve"> global citizenship/international mindedness; (2) </w:t>
      </w:r>
      <w:r w:rsidR="00297BF6">
        <w:t>studies</w:t>
      </w:r>
      <w:r w:rsidR="004E4500" w:rsidRPr="004C1736">
        <w:t xml:space="preserve"> that </w:t>
      </w:r>
      <w:r w:rsidRPr="004C1736">
        <w:t xml:space="preserve">include </w:t>
      </w:r>
      <w:r w:rsidR="004E4500" w:rsidRPr="004C1736">
        <w:t xml:space="preserve">university, pre-service </w:t>
      </w:r>
      <w:r w:rsidRPr="004C1736">
        <w:t>teachers</w:t>
      </w:r>
      <w:r w:rsidR="004E4500" w:rsidRPr="004C1736">
        <w:t>, and current teachers engaged in</w:t>
      </w:r>
      <w:r w:rsidRPr="004C1736">
        <w:t xml:space="preserve"> international experiences; (3) and/or </w:t>
      </w:r>
      <w:r w:rsidR="00297BF6">
        <w:t xml:space="preserve">studies </w:t>
      </w:r>
      <w:r w:rsidR="004E4500" w:rsidRPr="004C1736">
        <w:t xml:space="preserve">that </w:t>
      </w:r>
      <w:r w:rsidRPr="004C1736">
        <w:t xml:space="preserve">examine </w:t>
      </w:r>
      <w:r w:rsidR="008F285D" w:rsidRPr="004C1736">
        <w:t xml:space="preserve">how to build </w:t>
      </w:r>
      <w:r w:rsidRPr="004C1736">
        <w:t xml:space="preserve">intercultural competency. </w:t>
      </w:r>
      <w:r w:rsidR="001B0EBE">
        <w:t xml:space="preserve">This research study does </w:t>
      </w:r>
      <w:r w:rsidRPr="004C1736">
        <w:t xml:space="preserve">not include </w:t>
      </w:r>
      <w:r w:rsidR="001B0EBE">
        <w:t xml:space="preserve">review of </w:t>
      </w:r>
      <w:r w:rsidR="00297BF6">
        <w:t>studies</w:t>
      </w:r>
      <w:r w:rsidR="00297BF6" w:rsidRPr="004C1736">
        <w:t xml:space="preserve"> </w:t>
      </w:r>
      <w:r w:rsidRPr="004C1736">
        <w:t>if they: (1) only focus on international immersion programs for K-12 students; and (2) d</w:t>
      </w:r>
      <w:r w:rsidR="004E4500" w:rsidRPr="004C1736">
        <w:t>o</w:t>
      </w:r>
      <w:r w:rsidRPr="004C1736">
        <w:t xml:space="preserve"> not include international programs, </w:t>
      </w:r>
      <w:proofErr w:type="gramStart"/>
      <w:r w:rsidRPr="004C1736">
        <w:t>i.e.</w:t>
      </w:r>
      <w:proofErr w:type="gramEnd"/>
      <w:r w:rsidRPr="004C1736">
        <w:t xml:space="preserve"> are local programs </w:t>
      </w:r>
      <w:commentRangeStart w:id="1"/>
      <w:r w:rsidRPr="004C1736">
        <w:t>only</w:t>
      </w:r>
      <w:commentRangeEnd w:id="1"/>
      <w:r w:rsidR="001875F0">
        <w:rPr>
          <w:rStyle w:val="CommentReference"/>
        </w:rPr>
        <w:commentReference w:id="1"/>
      </w:r>
      <w:r w:rsidRPr="004C1736">
        <w:t>.</w:t>
      </w:r>
      <w:r w:rsidR="00600920" w:rsidRPr="004C1736">
        <w:t xml:space="preserve">  </w:t>
      </w:r>
    </w:p>
    <w:p w14:paraId="69E7371D" w14:textId="77777777" w:rsidR="009271DF" w:rsidRDefault="00FE34C4" w:rsidP="009271DF">
      <w:pPr>
        <w:spacing w:line="480" w:lineRule="auto"/>
        <w:rPr>
          <w:i/>
          <w:iCs/>
        </w:rPr>
      </w:pPr>
      <w:r w:rsidRPr="00C874EC">
        <w:rPr>
          <w:i/>
          <w:iCs/>
        </w:rPr>
        <w:t>Definitions</w:t>
      </w:r>
    </w:p>
    <w:p w14:paraId="2252E669" w14:textId="18BB70E8" w:rsidR="00C66C99" w:rsidRPr="004C1736" w:rsidRDefault="00FE34C4" w:rsidP="009271DF">
      <w:pPr>
        <w:spacing w:line="480" w:lineRule="auto"/>
        <w:ind w:firstLine="720"/>
      </w:pPr>
      <w:r>
        <w:t>R</w:t>
      </w:r>
      <w:r w:rsidR="00C17BCE">
        <w:t xml:space="preserve">esearchers use different terms and definitions of global citizenship.  </w:t>
      </w:r>
      <w:r w:rsidR="0071737F">
        <w:t xml:space="preserve">Samples of the various terminology </w:t>
      </w:r>
      <w:r w:rsidR="00C17BCE">
        <w:t xml:space="preserve">used to </w:t>
      </w:r>
      <w:r w:rsidR="00C66C99" w:rsidRPr="004C1736">
        <w:t>signify “global c</w:t>
      </w:r>
      <w:r w:rsidR="004C1736" w:rsidRPr="004C1736">
        <w:t xml:space="preserve">itizenship” </w:t>
      </w:r>
      <w:r w:rsidR="0071737F">
        <w:t>are</w:t>
      </w:r>
      <w:r w:rsidR="00C66C99" w:rsidRPr="004C1736">
        <w:t xml:space="preserve"> </w:t>
      </w:r>
      <w:r w:rsidR="004C1736" w:rsidRPr="004C1736">
        <w:t xml:space="preserve">“global competency,” </w:t>
      </w:r>
      <w:r w:rsidR="00C66C99" w:rsidRPr="004C1736">
        <w:t xml:space="preserve">“intercultural competence,” “critical global citizenship,” </w:t>
      </w:r>
      <w:r w:rsidR="0071737F">
        <w:t xml:space="preserve">“global mindedness,” and </w:t>
      </w:r>
      <w:r w:rsidR="00C66C99" w:rsidRPr="004C1736">
        <w:t>“global cosmopolitan” (</w:t>
      </w:r>
      <w:r w:rsidR="0071737F">
        <w:t xml:space="preserve">Andreotti, Biesta &amp; Ahenakew, 2015; Morais and Ogden, 2011; Ramos, 2020; Reimers, 2009). </w:t>
      </w:r>
      <w:r w:rsidR="00C66C99" w:rsidRPr="004C1736">
        <w:t>Other examples are noted by Gallavum</w:t>
      </w:r>
      <w:r w:rsidR="004C1736" w:rsidRPr="004C1736">
        <w:t xml:space="preserve"> </w:t>
      </w:r>
      <w:r w:rsidR="00297BF6">
        <w:t xml:space="preserve">(2008) </w:t>
      </w:r>
      <w:r w:rsidR="004C1736" w:rsidRPr="004C1736">
        <w:t>who</w:t>
      </w:r>
      <w:r w:rsidR="00C66C99" w:rsidRPr="004C1736">
        <w:t xml:space="preserve"> uses “world citizenship”</w:t>
      </w:r>
      <w:r w:rsidR="00297BF6">
        <w:t xml:space="preserve"> while </w:t>
      </w:r>
      <w:r w:rsidR="00C66C99" w:rsidRPr="004C1736">
        <w:t xml:space="preserve">Banks </w:t>
      </w:r>
      <w:r w:rsidR="00297BF6">
        <w:t xml:space="preserve">(2001) </w:t>
      </w:r>
      <w:r w:rsidR="00C66C99" w:rsidRPr="004C1736">
        <w:t>uses “multicultural citizenship.</w:t>
      </w:r>
      <w:r w:rsidR="00297BF6">
        <w:t xml:space="preserve">” </w:t>
      </w:r>
      <w:r w:rsidR="00C66C99" w:rsidRPr="004C1736">
        <w:t xml:space="preserve"> </w:t>
      </w:r>
      <w:r w:rsidR="00600920" w:rsidRPr="004C1736">
        <w:t>In this study,</w:t>
      </w:r>
      <w:r w:rsidR="00C66C99" w:rsidRPr="004C1736">
        <w:t xml:space="preserve"> these terms will be used interchangeably with a preference for “global c</w:t>
      </w:r>
      <w:r w:rsidR="004C1736" w:rsidRPr="004C1736">
        <w:t>itizenship</w:t>
      </w:r>
      <w:r w:rsidR="00C66C99" w:rsidRPr="004C1736">
        <w:t xml:space="preserve">.” </w:t>
      </w:r>
    </w:p>
    <w:p w14:paraId="615E1260" w14:textId="1A88B9B4" w:rsidR="00C66C99" w:rsidRPr="004C1736" w:rsidRDefault="00C66C99" w:rsidP="00C66C99">
      <w:pPr>
        <w:spacing w:line="480" w:lineRule="auto"/>
        <w:ind w:firstLine="720"/>
      </w:pPr>
      <w:r w:rsidRPr="004C1736">
        <w:t xml:space="preserve">In addition, the </w:t>
      </w:r>
      <w:r w:rsidR="00297BF6">
        <w:t>concept</w:t>
      </w:r>
      <w:r w:rsidR="00297BF6" w:rsidRPr="004C1736">
        <w:t xml:space="preserve"> </w:t>
      </w:r>
      <w:r w:rsidRPr="004C1736">
        <w:t>of “global c</w:t>
      </w:r>
      <w:r w:rsidR="004C1736" w:rsidRPr="004C1736">
        <w:t>itizenship</w:t>
      </w:r>
      <w:r w:rsidRPr="004C1736">
        <w:t>” does not have a uniform or consistent definition (</w:t>
      </w:r>
      <w:r w:rsidRPr="004C1736">
        <w:rPr>
          <w:rStyle w:val="authors"/>
          <w:color w:val="333333"/>
          <w:shd w:val="clear" w:color="auto" w:fill="FFFFFF"/>
        </w:rPr>
        <w:t>Pashby</w:t>
      </w:r>
      <w:r w:rsidR="0071737F">
        <w:rPr>
          <w:rStyle w:val="authors"/>
          <w:color w:val="333333"/>
          <w:shd w:val="clear" w:color="auto" w:fill="FFFFFF"/>
        </w:rPr>
        <w:t>, de Costa, Stein &amp; Andreotti</w:t>
      </w:r>
      <w:r w:rsidRPr="004C1736">
        <w:rPr>
          <w:rStyle w:val="authors"/>
          <w:color w:val="333333"/>
          <w:shd w:val="clear" w:color="auto" w:fill="FFFFFF"/>
        </w:rPr>
        <w:t>, 2020)</w:t>
      </w:r>
      <w:r w:rsidRPr="004C1736">
        <w:t xml:space="preserve">, although there are common themes </w:t>
      </w:r>
      <w:r w:rsidR="001B0EBE">
        <w:t>found in the research</w:t>
      </w:r>
      <w:r w:rsidRPr="004C1736">
        <w:t xml:space="preserve">. Reimers </w:t>
      </w:r>
      <w:r w:rsidR="007526E7">
        <w:t xml:space="preserve">(2009) </w:t>
      </w:r>
      <w:r w:rsidRPr="004C1736">
        <w:t>defines global competency as the obtainment of attitudinal and ethical dispositions, and the collection of knowledge and skills to help people integrate across disciplinary domains to understand global issues and how to address them</w:t>
      </w:r>
      <w:r w:rsidR="007526E7">
        <w:t>.</w:t>
      </w:r>
      <w:r w:rsidRPr="004C1736">
        <w:t xml:space="preserve">  Andreotti </w:t>
      </w:r>
      <w:r w:rsidR="007526E7">
        <w:t xml:space="preserve">(2012) </w:t>
      </w:r>
      <w:r w:rsidR="007526E7">
        <w:lastRenderedPageBreak/>
        <w:t>s</w:t>
      </w:r>
      <w:r w:rsidRPr="004C1736">
        <w:t xml:space="preserve">uggests </w:t>
      </w:r>
      <w:r w:rsidR="00600920" w:rsidRPr="004C1736">
        <w:t xml:space="preserve">the process of </w:t>
      </w:r>
      <w:r w:rsidRPr="004C1736">
        <w:t xml:space="preserve">becoming </w:t>
      </w:r>
      <w:r w:rsidR="004C1736" w:rsidRPr="004C1736">
        <w:t xml:space="preserve">a </w:t>
      </w:r>
      <w:r w:rsidRPr="004C1736">
        <w:t>global c</w:t>
      </w:r>
      <w:r w:rsidR="004C1736" w:rsidRPr="004C1736">
        <w:t>itizen</w:t>
      </w:r>
      <w:r w:rsidRPr="004C1736">
        <w:t xml:space="preserve"> is a transformative experience for those individuals needing international understanding, </w:t>
      </w:r>
      <w:proofErr w:type="gramStart"/>
      <w:r w:rsidRPr="004C1736">
        <w:t>knowledge</w:t>
      </w:r>
      <w:proofErr w:type="gramEnd"/>
      <w:r w:rsidRPr="004C1736">
        <w:t xml:space="preserve"> and cross-cultural skills</w:t>
      </w:r>
      <w:r w:rsidR="00297BF6">
        <w:t>.</w:t>
      </w:r>
      <w:r w:rsidRPr="004C1736">
        <w:t xml:space="preserve">  </w:t>
      </w:r>
      <w:r w:rsidR="004C1736" w:rsidRPr="004C1736">
        <w:t xml:space="preserve">The definition proposed by the Organization for Economic Co-operation and Development (OECD) and the Center for Global Education at Asia Society </w:t>
      </w:r>
      <w:r w:rsidR="0071737F">
        <w:t xml:space="preserve">(2018) </w:t>
      </w:r>
      <w:r w:rsidR="004C1736" w:rsidRPr="004C1736">
        <w:t>describes global competency as a capacity to review and understand intercultural issues, alternate worldviews, cross-cultural engagement with others, and acting for collective well-being</w:t>
      </w:r>
      <w:r w:rsidR="0071737F">
        <w:t xml:space="preserve">. </w:t>
      </w:r>
      <w:r w:rsidRPr="004C1736">
        <w:t xml:space="preserve">However, naming the process of becoming a global citizen as a </w:t>
      </w:r>
      <w:r w:rsidRPr="004C1736">
        <w:rPr>
          <w:i/>
          <w:iCs/>
        </w:rPr>
        <w:t>transformation</w:t>
      </w:r>
      <w:r w:rsidRPr="004C1736">
        <w:t xml:space="preserve"> ignores those who already possess those skills due to their multicultural background, immigration status, “third culture </w:t>
      </w:r>
      <w:r w:rsidR="00600920" w:rsidRPr="004C1736">
        <w:t>kid</w:t>
      </w:r>
      <w:r w:rsidRPr="004C1736">
        <w:t>”</w:t>
      </w:r>
      <w:r w:rsidR="00600920" w:rsidRPr="004C1736">
        <w:t xml:space="preserve"> background,</w:t>
      </w:r>
      <w:r w:rsidRPr="004C1736">
        <w:t xml:space="preserve"> or </w:t>
      </w:r>
      <w:proofErr w:type="gramStart"/>
      <w:r w:rsidRPr="004C1736">
        <w:t>other</w:t>
      </w:r>
      <w:proofErr w:type="gramEnd"/>
      <w:r w:rsidRPr="004C1736">
        <w:t xml:space="preserve"> characteristic</w:t>
      </w:r>
      <w:r w:rsidR="00297BF6">
        <w:t xml:space="preserve"> (Ramirez, 2013)</w:t>
      </w:r>
      <w:r w:rsidRPr="004C1736">
        <w:t>. A risk of generalizing what global competency development means must be included in broader definitions.</w:t>
      </w:r>
    </w:p>
    <w:p w14:paraId="7BDB8623" w14:textId="57B37423" w:rsidR="00FE34C4" w:rsidRDefault="004C1736" w:rsidP="001875F0">
      <w:pPr>
        <w:spacing w:line="480" w:lineRule="auto"/>
        <w:ind w:firstLine="720"/>
      </w:pPr>
      <w:r w:rsidRPr="004C1736">
        <w:t xml:space="preserve">For the purposes of this paper, </w:t>
      </w:r>
      <w:r w:rsidR="009F5AA0">
        <w:t xml:space="preserve">the definition proposed by </w:t>
      </w:r>
      <w:proofErr w:type="gramStart"/>
      <w:r w:rsidRPr="004C1736">
        <w:t>Morais</w:t>
      </w:r>
      <w:proofErr w:type="gramEnd"/>
      <w:r w:rsidRPr="004C1736">
        <w:t xml:space="preserve"> and Ogden</w:t>
      </w:r>
      <w:r w:rsidR="009F5AA0">
        <w:t xml:space="preserve"> (2011) </w:t>
      </w:r>
      <w:r w:rsidRPr="004C1736">
        <w:t xml:space="preserve">will be used, which </w:t>
      </w:r>
      <w:r w:rsidR="00297BF6">
        <w:t>describ</w:t>
      </w:r>
      <w:r w:rsidR="001B0EBE">
        <w:t>es global citizenship</w:t>
      </w:r>
      <w:r w:rsidR="00297BF6">
        <w:t xml:space="preserve"> as a concept containing three factors:</w:t>
      </w:r>
      <w:r w:rsidR="00297BF6" w:rsidRPr="004C1736">
        <w:t xml:space="preserve"> </w:t>
      </w:r>
      <w:r w:rsidRPr="004C1736">
        <w:t>global competency, social responsibility, and global civic engagement</w:t>
      </w:r>
      <w:r w:rsidR="009F5AA0">
        <w:t>.</w:t>
      </w:r>
      <w:r w:rsidRPr="004C1736">
        <w:t xml:space="preserve">  Global competency includes self-awareness, intercultural communication, and global knowledge. Social responsibility includes global justice and disparities, a</w:t>
      </w:r>
      <w:r w:rsidR="001B0EBE">
        <w:t>l</w:t>
      </w:r>
      <w:r w:rsidRPr="004C1736">
        <w:t xml:space="preserve">truism and empathy, and global interconnectedness and personal responsibility. Global civic engagement includes involvement in civic organizations, political voice, and global civic activism (see </w:t>
      </w:r>
      <w:r w:rsidR="009F5AA0">
        <w:t>Figure</w:t>
      </w:r>
      <w:r w:rsidR="009F5AA0" w:rsidRPr="004C1736">
        <w:t xml:space="preserve"> </w:t>
      </w:r>
      <w:r w:rsidRPr="004C1736">
        <w:t>1</w:t>
      </w:r>
      <w:r w:rsidR="005D503F">
        <w:t xml:space="preserve"> below</w:t>
      </w:r>
      <w:r w:rsidRPr="004C1736">
        <w:t xml:space="preserve">). </w:t>
      </w:r>
    </w:p>
    <w:p w14:paraId="0B80AECB" w14:textId="542FC6D0" w:rsidR="005D503F" w:rsidRDefault="005D503F" w:rsidP="005D503F">
      <w:pPr>
        <w:autoSpaceDE w:val="0"/>
        <w:autoSpaceDN w:val="0"/>
        <w:adjustRightInd w:val="0"/>
        <w:spacing w:before="5" w:line="480" w:lineRule="auto"/>
        <w:ind w:right="-14"/>
      </w:pPr>
      <w:r>
        <w:t>Figure 1: Global Citizenship Conceptual Model (Morais &amp; Ogden, 2011)</w:t>
      </w:r>
    </w:p>
    <w:p w14:paraId="608939F1" w14:textId="77777777" w:rsidR="005D503F" w:rsidRDefault="005D503F" w:rsidP="004C1736">
      <w:pPr>
        <w:spacing w:line="480" w:lineRule="auto"/>
        <w:ind w:firstLine="720"/>
      </w:pPr>
    </w:p>
    <w:p w14:paraId="34C52454" w14:textId="0A0F74EC" w:rsidR="00297BF6" w:rsidRDefault="00297BF6" w:rsidP="004C1736">
      <w:pPr>
        <w:spacing w:line="480" w:lineRule="auto"/>
        <w:ind w:firstLine="720"/>
      </w:pPr>
      <w:r>
        <w:rPr>
          <w:noProof/>
          <w:color w:val="221F1F"/>
        </w:rPr>
        <w:lastRenderedPageBreak/>
        <w:drawing>
          <wp:inline distT="0" distB="0" distL="0" distR="0" wp14:anchorId="0E054360" wp14:editId="5476E21E">
            <wp:extent cx="5460997" cy="4025735"/>
            <wp:effectExtent l="0" t="0" r="635" b="635"/>
            <wp:docPr id="5" name="Picture 5"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7-26 at 7.49.49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77036" cy="4037558"/>
                    </a:xfrm>
                    <a:prstGeom prst="rect">
                      <a:avLst/>
                    </a:prstGeom>
                  </pic:spPr>
                </pic:pic>
              </a:graphicData>
            </a:graphic>
          </wp:inline>
        </w:drawing>
      </w:r>
    </w:p>
    <w:p w14:paraId="59A5394F" w14:textId="04A4194F" w:rsidR="004C1736" w:rsidRPr="004C1736" w:rsidRDefault="004C1736" w:rsidP="00C874EC">
      <w:pPr>
        <w:spacing w:line="480" w:lineRule="auto"/>
      </w:pPr>
      <w:r w:rsidRPr="004C1736">
        <w:t xml:space="preserve">These attributes assigned to the term “global citizenship” by </w:t>
      </w:r>
      <w:proofErr w:type="gramStart"/>
      <w:r w:rsidRPr="004C1736">
        <w:t>Morais</w:t>
      </w:r>
      <w:proofErr w:type="gramEnd"/>
      <w:r w:rsidRPr="004C1736">
        <w:t xml:space="preserve"> and Ogden</w:t>
      </w:r>
      <w:r w:rsidR="005D503F">
        <w:t xml:space="preserve"> (2011)</w:t>
      </w:r>
      <w:r w:rsidRPr="004C1736">
        <w:t xml:space="preserve"> are reflected in the majority of definitions of the various terms used for global citizenship found in this literature review.</w:t>
      </w:r>
    </w:p>
    <w:p w14:paraId="7BE5BE11" w14:textId="343A8AFF" w:rsidR="00C66C99" w:rsidRPr="004C1736" w:rsidRDefault="00C66C99" w:rsidP="00840754">
      <w:pPr>
        <w:spacing w:line="480" w:lineRule="auto"/>
        <w:ind w:firstLine="720"/>
      </w:pPr>
      <w:r w:rsidRPr="004C1736">
        <w:t xml:space="preserve">When applied to education, Gilliom </w:t>
      </w:r>
      <w:r w:rsidR="009F5AA0">
        <w:t xml:space="preserve">(1997) </w:t>
      </w:r>
      <w:r w:rsidRPr="004C1736">
        <w:t xml:space="preserve">describes “global competency education” as that which cultivates a global perspective, including the skills, attitudes, </w:t>
      </w:r>
      <w:proofErr w:type="gramStart"/>
      <w:r w:rsidRPr="004C1736">
        <w:t>knowledge</w:t>
      </w:r>
      <w:proofErr w:type="gramEnd"/>
      <w:r w:rsidRPr="004C1736">
        <w:t xml:space="preserve"> and ethical reasoning in a diverse, culturally pluralistic and interconnected world, among students</w:t>
      </w:r>
      <w:r w:rsidR="009F5AA0">
        <w:t>.</w:t>
      </w:r>
      <w:r w:rsidRPr="004C1736">
        <w:t xml:space="preserve"> Another interpretation of the goals of global education suggests it is a process of assisting students </w:t>
      </w:r>
      <w:r w:rsidR="001B0EBE">
        <w:t xml:space="preserve">to </w:t>
      </w:r>
      <w:r w:rsidRPr="004C1736">
        <w:t xml:space="preserve">develop a cognitive understanding of the interdependence of nations and peoples while finding ways to identify oneself with that global community (Banks, 2001).  The OECD and the Center for Global Education name four key components of </w:t>
      </w:r>
      <w:r w:rsidR="005D503F">
        <w:t xml:space="preserve">educating for </w:t>
      </w:r>
      <w:r w:rsidRPr="004C1736">
        <w:t xml:space="preserve">global competence (OECD/Asia Society, 2018).  Globally competent youth: </w:t>
      </w:r>
    </w:p>
    <w:p w14:paraId="37B987F7" w14:textId="77777777" w:rsidR="00C66C99" w:rsidRPr="004C1736" w:rsidRDefault="00C66C99" w:rsidP="00C66C99">
      <w:pPr>
        <w:spacing w:line="360" w:lineRule="auto"/>
        <w:ind w:left="720"/>
      </w:pPr>
      <w:r w:rsidRPr="004C1736">
        <w:lastRenderedPageBreak/>
        <w:t xml:space="preserve">(1) investigate the world beyond their immediate environment by examining issues of local, global, and cultural </w:t>
      </w:r>
      <w:proofErr w:type="gramStart"/>
      <w:r w:rsidRPr="004C1736">
        <w:t>significance;</w:t>
      </w:r>
      <w:proofErr w:type="gramEnd"/>
      <w:r w:rsidRPr="004C1736">
        <w:t xml:space="preserve"> </w:t>
      </w:r>
    </w:p>
    <w:p w14:paraId="63A1D6E2" w14:textId="77777777" w:rsidR="00C66C99" w:rsidRPr="004C1736" w:rsidRDefault="00C66C99" w:rsidP="00C66C99">
      <w:pPr>
        <w:spacing w:line="360" w:lineRule="auto"/>
        <w:ind w:firstLine="720"/>
      </w:pPr>
      <w:r w:rsidRPr="004C1736">
        <w:t xml:space="preserve">(2) recognize, understand, and appreciate the perspectives and world views of </w:t>
      </w:r>
      <w:proofErr w:type="gramStart"/>
      <w:r w:rsidRPr="004C1736">
        <w:t>others;</w:t>
      </w:r>
      <w:proofErr w:type="gramEnd"/>
      <w:r w:rsidRPr="004C1736">
        <w:t xml:space="preserve"> </w:t>
      </w:r>
    </w:p>
    <w:p w14:paraId="52BD993B" w14:textId="77777777" w:rsidR="00C66C99" w:rsidRPr="004C1736" w:rsidRDefault="00C66C99" w:rsidP="00C66C99">
      <w:pPr>
        <w:spacing w:line="360" w:lineRule="auto"/>
        <w:ind w:left="720"/>
      </w:pPr>
      <w:r w:rsidRPr="004C1736">
        <w:t xml:space="preserve">(3) communicate ideas effectively with diverse audiences by engaging in open, appropriate, and effective interactions across cultures; and </w:t>
      </w:r>
    </w:p>
    <w:p w14:paraId="4404E699" w14:textId="12604265" w:rsidR="00C66C99" w:rsidRPr="004C1736" w:rsidRDefault="00C66C99" w:rsidP="004C1736">
      <w:pPr>
        <w:spacing w:line="360" w:lineRule="auto"/>
        <w:ind w:left="720"/>
      </w:pPr>
      <w:r w:rsidRPr="004C1736">
        <w:t xml:space="preserve">(4) </w:t>
      </w:r>
      <w:proofErr w:type="gramStart"/>
      <w:r w:rsidRPr="004C1736">
        <w:t>take action</w:t>
      </w:r>
      <w:proofErr w:type="gramEnd"/>
      <w:r w:rsidRPr="004C1736">
        <w:t xml:space="preserve"> for collective well-being and sustainable development both locally and globally.</w:t>
      </w:r>
    </w:p>
    <w:p w14:paraId="7F925320" w14:textId="5B8CBE88" w:rsidR="00C97BD6" w:rsidRDefault="00C97BD6" w:rsidP="00AD6642">
      <w:pPr>
        <w:spacing w:line="480" w:lineRule="auto"/>
        <w:ind w:firstLine="720"/>
      </w:pPr>
    </w:p>
    <w:p w14:paraId="45776C35" w14:textId="64447C64" w:rsidR="00C97BD6" w:rsidRPr="00C874EC" w:rsidRDefault="00C17BCE" w:rsidP="005D503F">
      <w:pPr>
        <w:spacing w:line="480" w:lineRule="auto"/>
        <w:rPr>
          <w:i/>
          <w:iCs/>
        </w:rPr>
      </w:pPr>
      <w:r w:rsidRPr="00C874EC">
        <w:rPr>
          <w:i/>
          <w:iCs/>
        </w:rPr>
        <w:t xml:space="preserve">Global Citizenship for Teachers </w:t>
      </w:r>
    </w:p>
    <w:p w14:paraId="113D85A5" w14:textId="1BED0C3D" w:rsidR="00D54FF1" w:rsidRPr="004C1736" w:rsidRDefault="00D54FF1" w:rsidP="00840754">
      <w:pPr>
        <w:spacing w:line="480" w:lineRule="auto"/>
        <w:ind w:firstLine="720"/>
      </w:pPr>
      <w:r w:rsidRPr="004C1736">
        <w:t>Researchers assess the state of global competency among teachers from several angles.  For example, some seek first to define the purpose of teachers obtaining and building their global competency</w:t>
      </w:r>
      <w:r>
        <w:t xml:space="preserve"> knowledge and understanding</w:t>
      </w:r>
      <w:r w:rsidRPr="004C1736">
        <w:t xml:space="preserve">. Banks </w:t>
      </w:r>
      <w:r>
        <w:t xml:space="preserve">(2001) </w:t>
      </w:r>
      <w:r w:rsidRPr="004C1736">
        <w:t>focuses on teachers developing a reflective self-identification that includes a self-assessment of culture and background. In this way, he argues, teachers can effectively respond to a diverse study body, and help these students construct their own narratives</w:t>
      </w:r>
      <w:r w:rsidR="001B0EBE">
        <w:t xml:space="preserve"> (Banks, 2001)</w:t>
      </w:r>
      <w:r>
        <w:t>.</w:t>
      </w:r>
      <w:r w:rsidRPr="004C1736">
        <w:t xml:space="preserve">  Another purpose of building teacher’s global competency is to equip students to be global citizens with the appropriate knowledge, </w:t>
      </w:r>
      <w:proofErr w:type="gramStart"/>
      <w:r w:rsidRPr="004C1736">
        <w:t>attitude</w:t>
      </w:r>
      <w:proofErr w:type="gramEnd"/>
      <w:r w:rsidRPr="004C1736">
        <w:t xml:space="preserve"> and skills, as well as a deep sense of identity and perceived role in a global society (Diaz et al, 1999</w:t>
      </w:r>
      <w:r>
        <w:t>; Longview, 2008</w:t>
      </w:r>
      <w:r w:rsidRPr="004C1736">
        <w:t xml:space="preserve">). Reimers </w:t>
      </w:r>
      <w:r>
        <w:t xml:space="preserve">(2009) </w:t>
      </w:r>
      <w:r w:rsidRPr="004C1736">
        <w:t xml:space="preserve">refers to the necessity of global competence </w:t>
      </w:r>
      <w:r w:rsidR="001B0EBE">
        <w:t xml:space="preserve">in education </w:t>
      </w:r>
      <w:r w:rsidRPr="004C1736">
        <w:t>given the frequency and type of interactions among different cultures and worldviews</w:t>
      </w:r>
      <w:r w:rsidR="001B0EBE">
        <w:t xml:space="preserve"> in the classroom</w:t>
      </w:r>
      <w:r w:rsidRPr="004C1736">
        <w:t>. Schools serve the purpose of preparing students to effectively develop tolerance, a deep knowledge of global affairs, a commitment to peace, and how to live their lives in a highly globalized socio-economic and political construct (Reimers, 2009a). To achieve these goals, teachers must be globally competent; teachers cannot teach what they do not know (Sadruddin</w:t>
      </w:r>
      <w:r w:rsidR="0071737F">
        <w:t xml:space="preserve"> &amp; Wahab</w:t>
      </w:r>
      <w:r w:rsidRPr="004C1736">
        <w:t>, 2013</w:t>
      </w:r>
      <w:r>
        <w:t>; Schneider, 2003</w:t>
      </w:r>
      <w:r w:rsidRPr="004C1736">
        <w:t>).</w:t>
      </w:r>
      <w:r>
        <w:t xml:space="preserve"> C</w:t>
      </w:r>
      <w:r w:rsidRPr="004C1736">
        <w:t xml:space="preserve">ultural responsiveness in the classroom is </w:t>
      </w:r>
      <w:r w:rsidRPr="004C1736">
        <w:lastRenderedPageBreak/>
        <w:t xml:space="preserve">dependent on a teacher’s self-understanding of identity and role in a global community as well as his or her </w:t>
      </w:r>
      <w:r w:rsidR="001B0EBE">
        <w:t xml:space="preserve">own </w:t>
      </w:r>
      <w:r w:rsidRPr="004C1736">
        <w:t>global competency</w:t>
      </w:r>
      <w:r>
        <w:t xml:space="preserve"> (Howard, 1999)</w:t>
      </w:r>
      <w:r w:rsidRPr="004C1736">
        <w:t xml:space="preserve">. </w:t>
      </w:r>
      <w:r>
        <w:t xml:space="preserve"> </w:t>
      </w:r>
    </w:p>
    <w:p w14:paraId="22D8AD11" w14:textId="77777777" w:rsidR="00261185" w:rsidRDefault="00C97BD6" w:rsidP="00C97BD6">
      <w:pPr>
        <w:spacing w:line="480" w:lineRule="auto"/>
        <w:ind w:firstLine="720"/>
        <w:rPr>
          <w:rFonts w:eastAsiaTheme="minorHAnsi"/>
        </w:rPr>
      </w:pPr>
      <w:r w:rsidRPr="004C1736">
        <w:t xml:space="preserve">Looking at whether teachers are interested in global competency and what “global citizenship” means for teachers, Gallavan </w:t>
      </w:r>
      <w:r w:rsidR="005D503F">
        <w:t xml:space="preserve">(2008) </w:t>
      </w:r>
      <w:r w:rsidRPr="004C1736">
        <w:t xml:space="preserve">conducted a comprehensive study of teacher candidates finishing their internship as part of a teacher certification program in the southern United States.  In her research, </w:t>
      </w:r>
      <w:r>
        <w:t>she</w:t>
      </w:r>
      <w:r w:rsidRPr="004C1736">
        <w:t xml:space="preserve"> asked, “should </w:t>
      </w:r>
      <w:r w:rsidRPr="004C1736">
        <w:rPr>
          <w:rFonts w:eastAsiaTheme="minorHAnsi"/>
        </w:rPr>
        <w:t>teacher education programs include preparation to teach students to be world citizens?” (Gallavan, 2008</w:t>
      </w:r>
      <w:r>
        <w:rPr>
          <w:rFonts w:eastAsiaTheme="minorHAnsi"/>
        </w:rPr>
        <w:t>, p.</w:t>
      </w:r>
      <w:r w:rsidR="00564746">
        <w:rPr>
          <w:rFonts w:eastAsiaTheme="minorHAnsi"/>
        </w:rPr>
        <w:t>251</w:t>
      </w:r>
      <w:r w:rsidRPr="004C1736">
        <w:rPr>
          <w:rFonts w:eastAsiaTheme="minorHAnsi"/>
        </w:rPr>
        <w:t xml:space="preserve">).  The response was an overwhelming 97 percent affirmative, but a follow-up question revealed only </w:t>
      </w:r>
      <w:r w:rsidR="00564746">
        <w:rPr>
          <w:rFonts w:eastAsiaTheme="minorHAnsi"/>
        </w:rPr>
        <w:t>56</w:t>
      </w:r>
      <w:r w:rsidRPr="004C1736">
        <w:rPr>
          <w:rFonts w:eastAsiaTheme="minorHAnsi"/>
        </w:rPr>
        <w:t xml:space="preserve"> percent of teacher candidates felt </w:t>
      </w:r>
      <w:r w:rsidR="00564746">
        <w:rPr>
          <w:rFonts w:eastAsiaTheme="minorHAnsi"/>
        </w:rPr>
        <w:t xml:space="preserve">their teacher education program </w:t>
      </w:r>
      <w:r w:rsidRPr="004C1736">
        <w:rPr>
          <w:rFonts w:eastAsiaTheme="minorHAnsi"/>
        </w:rPr>
        <w:t xml:space="preserve">prepared </w:t>
      </w:r>
      <w:r w:rsidR="00564746">
        <w:rPr>
          <w:rFonts w:eastAsiaTheme="minorHAnsi"/>
        </w:rPr>
        <w:t xml:space="preserve">them </w:t>
      </w:r>
      <w:r w:rsidRPr="004C1736">
        <w:rPr>
          <w:rFonts w:eastAsiaTheme="minorHAnsi"/>
        </w:rPr>
        <w:t>to teach students to be global citizens</w:t>
      </w:r>
      <w:r w:rsidR="00564746">
        <w:rPr>
          <w:rFonts w:eastAsiaTheme="minorHAnsi"/>
        </w:rPr>
        <w:t xml:space="preserve"> (Gallavan, 2008)</w:t>
      </w:r>
      <w:r w:rsidRPr="004C1736">
        <w:rPr>
          <w:rFonts w:eastAsiaTheme="minorHAnsi"/>
        </w:rPr>
        <w:t xml:space="preserve">.  </w:t>
      </w:r>
    </w:p>
    <w:p w14:paraId="670EC2F9" w14:textId="663A54A2" w:rsidR="00C97BD6" w:rsidRDefault="00564746" w:rsidP="009271DF">
      <w:pPr>
        <w:spacing w:line="480" w:lineRule="auto"/>
        <w:ind w:firstLine="720"/>
      </w:pPr>
      <w:r>
        <w:rPr>
          <w:rFonts w:eastAsiaTheme="minorHAnsi"/>
        </w:rPr>
        <w:t>This</w:t>
      </w:r>
      <w:r w:rsidR="00C97BD6" w:rsidRPr="004C1736">
        <w:rPr>
          <w:rFonts w:eastAsiaTheme="minorHAnsi"/>
        </w:rPr>
        <w:t xml:space="preserve"> study in part responded to </w:t>
      </w:r>
      <w:r w:rsidR="00C97BD6" w:rsidRPr="004C1736">
        <w:t>Robbins</w:t>
      </w:r>
      <w:r w:rsidR="0071737F">
        <w:t xml:space="preserve">, </w:t>
      </w:r>
      <w:proofErr w:type="gramStart"/>
      <w:r w:rsidR="0071737F">
        <w:t>Francis</w:t>
      </w:r>
      <w:proofErr w:type="gramEnd"/>
      <w:r w:rsidR="0071737F">
        <w:t xml:space="preserve"> and Elliott</w:t>
      </w:r>
      <w:r w:rsidR="00C97BD6" w:rsidRPr="004C1736">
        <w:t xml:space="preserve"> </w:t>
      </w:r>
      <w:r w:rsidR="005D503F">
        <w:t>(</w:t>
      </w:r>
      <w:r w:rsidR="0071737F">
        <w:t>2003</w:t>
      </w:r>
      <w:r w:rsidR="005D503F">
        <w:t xml:space="preserve">) </w:t>
      </w:r>
      <w:r w:rsidR="00C97BD6" w:rsidRPr="004C1736">
        <w:t xml:space="preserve">earlier research, which had identified a gap in literature related to teacher candidates’ attitude toward global citizenship education, whether it was important, and how it related to the teacher’s major field of study. </w:t>
      </w:r>
      <w:r w:rsidR="00261185">
        <w:t>Both researchers</w:t>
      </w:r>
      <w:r w:rsidR="00C97BD6" w:rsidRPr="004C1736">
        <w:t xml:space="preserve"> found that teachers do not feel prepared to teach global citizenship (Robbins</w:t>
      </w:r>
      <w:r w:rsidR="0071737F">
        <w:t xml:space="preserve"> et al.</w:t>
      </w:r>
      <w:r w:rsidR="00C97BD6" w:rsidRPr="004C1736">
        <w:t xml:space="preserve">, </w:t>
      </w:r>
      <w:r w:rsidR="0071737F">
        <w:t>2003</w:t>
      </w:r>
      <w:r w:rsidR="00C97BD6" w:rsidRPr="004C1736">
        <w:t>; Gallavan, 2008). One reason</w:t>
      </w:r>
      <w:r>
        <w:t xml:space="preserve"> </w:t>
      </w:r>
      <w:r w:rsidR="00C97BD6" w:rsidRPr="004C1736">
        <w:t xml:space="preserve">is because global citizenship demands teaching that neither excludes nor skims the surface </w:t>
      </w:r>
      <w:r w:rsidR="00C97BD6" w:rsidRPr="004C1736">
        <w:fldChar w:fldCharType="begin"/>
      </w:r>
      <w:r w:rsidR="00C97BD6" w:rsidRPr="004C1736">
        <w:instrText xml:space="preserve"> ADDIN ZOTERO_ITEM CSL_CITATION {"citationID":"488tQf3a","properties":{"formattedCitation":"(Flinders, 2009)","plainCitation":"(Flinders, 2009)","noteIndex":0},"citationItems":[{"id":15,"uris":["http://zotero.org/users/6692232/items/HP8K8SBD"],"uri":["http://zotero.org/users/6692232/items/HP8K8SBD"],"itemData":{"id":15,"type":"article-journal","issue":"1","language":"en","page":"5","source":"Zotero","title":"Globalization and Teacher Education","volume":"22","author":[{"family":"Flinders","given":"David J"}],"issued":{"date-parts":[["2009"]]}}}],"schema":"https://github.com/citation-style-language/schema/raw/master/csl-citation.json"} </w:instrText>
      </w:r>
      <w:r w:rsidR="00C97BD6" w:rsidRPr="004C1736">
        <w:fldChar w:fldCharType="separate"/>
      </w:r>
      <w:r w:rsidR="00C97BD6" w:rsidRPr="004C1736">
        <w:rPr>
          <w:noProof/>
        </w:rPr>
        <w:t>(Flinders, 2009)</w:t>
      </w:r>
      <w:r w:rsidR="00C97BD6" w:rsidRPr="004C1736">
        <w:fldChar w:fldCharType="end"/>
      </w:r>
      <w:r w:rsidR="00C97BD6" w:rsidRPr="004C1736">
        <w:t>, which requires a depth of knowledge often unfamiliar to most teachers</w:t>
      </w:r>
      <w:r w:rsidR="00A2183F">
        <w:t xml:space="preserve"> (Robbins et al., 2003)</w:t>
      </w:r>
      <w:r w:rsidR="00C97BD6" w:rsidRPr="004C1736">
        <w:t>. Teaching global citizenship is further complicated by the lack of a uniform definition of “global c</w:t>
      </w:r>
      <w:r w:rsidR="005D503F">
        <w:t>itizenship,</w:t>
      </w:r>
      <w:r w:rsidR="00C97BD6" w:rsidRPr="004C1736">
        <w:t>”</w:t>
      </w:r>
      <w:r w:rsidR="005D503F">
        <w:t xml:space="preserve"> which</w:t>
      </w:r>
      <w:r w:rsidR="00C97BD6" w:rsidRPr="004C1736">
        <w:t xml:space="preserve"> </w:t>
      </w:r>
      <w:r w:rsidR="005D503F">
        <w:t xml:space="preserve">Mutch (2004) captured in </w:t>
      </w:r>
      <w:r w:rsidR="00A2183F">
        <w:t xml:space="preserve">her </w:t>
      </w:r>
      <w:r w:rsidR="005D503F">
        <w:t xml:space="preserve">assessment of the New Zealand education system. While teachers want to engage with </w:t>
      </w:r>
      <w:r>
        <w:t xml:space="preserve">and teach </w:t>
      </w:r>
      <w:r w:rsidR="005D503F">
        <w:t>global citizenship topics</w:t>
      </w:r>
      <w:r>
        <w:t xml:space="preserve">, many are unclear on first, what their community means when referring to </w:t>
      </w:r>
      <w:r w:rsidR="005D503F">
        <w:t xml:space="preserve">global citizenship and </w:t>
      </w:r>
      <w:r>
        <w:t xml:space="preserve">second, </w:t>
      </w:r>
      <w:r w:rsidR="005D503F">
        <w:t xml:space="preserve">how best to </w:t>
      </w:r>
      <w:r w:rsidR="00CA30F4">
        <w:t>be prepared</w:t>
      </w:r>
      <w:r w:rsidR="005D503F">
        <w:t xml:space="preserve"> to instruct students</w:t>
      </w:r>
      <w:r w:rsidR="00CA30F4">
        <w:t xml:space="preserve"> in global citizenship qualities</w:t>
      </w:r>
      <w:r w:rsidR="00C17BCE">
        <w:t xml:space="preserve"> (Mutch, 2004). </w:t>
      </w:r>
    </w:p>
    <w:p w14:paraId="6EEAF010" w14:textId="578FDF60" w:rsidR="00C97BD6" w:rsidRPr="00C874EC" w:rsidRDefault="00CA30F4" w:rsidP="00C874EC">
      <w:pPr>
        <w:pStyle w:val="Default"/>
        <w:spacing w:line="480" w:lineRule="auto"/>
        <w:rPr>
          <w:i/>
          <w:iCs/>
        </w:rPr>
      </w:pPr>
      <w:r w:rsidRPr="00C874EC">
        <w:rPr>
          <w:i/>
          <w:iCs/>
        </w:rPr>
        <w:t xml:space="preserve">Approaches to building global competency: Curriculum modification </w:t>
      </w:r>
    </w:p>
    <w:p w14:paraId="27253697" w14:textId="0ECA2EC8" w:rsidR="00232C31" w:rsidRDefault="00A2183F" w:rsidP="00B9251A">
      <w:pPr>
        <w:spacing w:line="480" w:lineRule="auto"/>
        <w:ind w:firstLine="720"/>
      </w:pPr>
      <w:proofErr w:type="gramStart"/>
      <w:r>
        <w:lastRenderedPageBreak/>
        <w:t>One way</w:t>
      </w:r>
      <w:proofErr w:type="gramEnd"/>
      <w:r w:rsidR="00C97BD6" w:rsidRPr="004C1736">
        <w:t xml:space="preserve"> teachers learn global competency is through teacher training programs that integrate cross-cultural skills, global knowledge, and personal self-reflection into the curriculum (Sadruddin</w:t>
      </w:r>
      <w:r w:rsidR="00261185">
        <w:t xml:space="preserve"> &amp; Wahab</w:t>
      </w:r>
      <w:r w:rsidR="00C97BD6" w:rsidRPr="004C1736">
        <w:t>, 2013). However, reliance on curriculum modification is a challenge when considering the multi-dimensional aspect of immersion programs.</w:t>
      </w:r>
      <w:r w:rsidR="00673C52">
        <w:t xml:space="preserve"> Seeberg and Minick (2012) conducted a study on how to integrate cross-cultural understanding, a key component of global citizenship (Reimers, 2009; Morais &amp; Ogden, 2011), into the curriculum of </w:t>
      </w:r>
      <w:r w:rsidR="0092210F">
        <w:t xml:space="preserve">a </w:t>
      </w:r>
      <w:r w:rsidR="00673C52">
        <w:t>teacher preparation program</w:t>
      </w:r>
      <w:r w:rsidR="0092210F">
        <w:t xml:space="preserve"> at a mid-western university</w:t>
      </w:r>
      <w:r w:rsidR="00673C52">
        <w:t xml:space="preserve">. </w:t>
      </w:r>
      <w:r w:rsidR="00C97BD6" w:rsidRPr="004C1736">
        <w:t xml:space="preserve"> </w:t>
      </w:r>
    </w:p>
    <w:p w14:paraId="230CBFBB" w14:textId="0F894F6D" w:rsidR="004F3BEF" w:rsidRDefault="00232C31" w:rsidP="00232C31">
      <w:pPr>
        <w:spacing w:line="480" w:lineRule="auto"/>
        <w:ind w:firstLine="720"/>
      </w:pPr>
      <w:r>
        <w:t xml:space="preserve">The objective for Seeberg and Minick (2012) </w:t>
      </w:r>
      <w:r w:rsidR="00673C52">
        <w:t xml:space="preserve">was </w:t>
      </w:r>
      <w:r w:rsidR="0092210F">
        <w:t xml:space="preserve">to assess the effectiveness of gaining cross-cultural competency through the use of </w:t>
      </w:r>
      <w:r w:rsidR="00673C52">
        <w:t>an experient</w:t>
      </w:r>
      <w:r w:rsidR="0092210F">
        <w:t>i</w:t>
      </w:r>
      <w:r w:rsidR="00673C52">
        <w:t xml:space="preserve">al, global learning project that </w:t>
      </w:r>
      <w:r w:rsidR="0092210F">
        <w:t xml:space="preserve">was integrated into </w:t>
      </w:r>
      <w:r w:rsidR="00673C52">
        <w:t xml:space="preserve">the core curriculum on campus, </w:t>
      </w:r>
      <w:proofErr w:type="gramStart"/>
      <w:r w:rsidR="00673C52">
        <w:t>i.e.</w:t>
      </w:r>
      <w:proofErr w:type="gramEnd"/>
      <w:r w:rsidR="00673C52">
        <w:t xml:space="preserve"> without utilizing study abroad programs. </w:t>
      </w:r>
      <w:r w:rsidR="0092210F">
        <w:t xml:space="preserve">In their study, Seeberg and Minick </w:t>
      </w:r>
      <w:r w:rsidR="00261185">
        <w:t xml:space="preserve">(2012) </w:t>
      </w:r>
      <w:r w:rsidR="0092210F">
        <w:t>identified four standards representing cross-cultural competence, and then measured teachers’ responses against these standards after completing three unique</w:t>
      </w:r>
      <w:r w:rsidR="00A2183F">
        <w:t>, classroom-based</w:t>
      </w:r>
      <w:r w:rsidR="0092210F">
        <w:t xml:space="preserve"> experiential projects.  Each project involved direct interaction with students, administrators, community leaders, and teachers from Mexico and a Native American reservation through virtual platforms (such as Zoom), readings, class discussions, interviews with pre-prepared questions, and written reflections.  Seeburg and Minick </w:t>
      </w:r>
      <w:r w:rsidR="00261185">
        <w:t xml:space="preserve">(2012) </w:t>
      </w:r>
      <w:r w:rsidR="0092210F">
        <w:t>used the Cross</w:t>
      </w:r>
      <w:r w:rsidR="00A2183F">
        <w:t>-</w:t>
      </w:r>
      <w:r w:rsidR="0092210F">
        <w:t xml:space="preserve">Cultural Adaptability Inventory measure to assess </w:t>
      </w:r>
      <w:r>
        <w:t>student scores in building cross-cultural competence by modifying the curriculum</w:t>
      </w:r>
      <w:r w:rsidR="00A2183F">
        <w:t xml:space="preserve">.  </w:t>
      </w:r>
    </w:p>
    <w:p w14:paraId="056D7D5D" w14:textId="2723F50B" w:rsidR="00C97BD6" w:rsidRDefault="00A2183F" w:rsidP="001875F0">
      <w:pPr>
        <w:spacing w:line="480" w:lineRule="auto"/>
        <w:ind w:firstLine="720"/>
      </w:pPr>
      <w:r>
        <w:t xml:space="preserve">Results were mixed. </w:t>
      </w:r>
      <w:r w:rsidR="00232C31">
        <w:t xml:space="preserve">Students </w:t>
      </w:r>
      <w:r w:rsidR="004F3BEF">
        <w:t xml:space="preserve">in this study </w:t>
      </w:r>
      <w:r w:rsidR="00232C31">
        <w:t>reported a surprisingly high level of f</w:t>
      </w:r>
      <w:r w:rsidR="0092210F">
        <w:t xml:space="preserve">lexibility and openness </w:t>
      </w:r>
      <w:r w:rsidR="00232C31">
        <w:t>to other cultures, but low scores on levels of emotional resilience, perceptual acuity, and personal autonomy, which the researchers noted may be due to low levels of cross-cultural preparation (Seeb</w:t>
      </w:r>
      <w:r>
        <w:t>erg</w:t>
      </w:r>
      <w:r w:rsidR="00232C31">
        <w:t xml:space="preserve"> &amp; Minick, 2012).  </w:t>
      </w:r>
      <w:r>
        <w:t xml:space="preserve">While students were open to other cultures, they lacked the motivation to utilize cultural awareness and understanding in their responses (Seeberg </w:t>
      </w:r>
      <w:r>
        <w:lastRenderedPageBreak/>
        <w:t xml:space="preserve">&amp; Minick, 2012). </w:t>
      </w:r>
      <w:r w:rsidR="00232C31">
        <w:t>In conclusion,</w:t>
      </w:r>
      <w:r w:rsidR="00232C31" w:rsidRPr="004C1736">
        <w:t xml:space="preserve"> </w:t>
      </w:r>
      <w:r w:rsidR="00B9251A" w:rsidRPr="004C1736">
        <w:t xml:space="preserve">Seeberg and Minick </w:t>
      </w:r>
      <w:r w:rsidR="00261185">
        <w:t xml:space="preserve">(2012) </w:t>
      </w:r>
      <w:r w:rsidR="00232C31">
        <w:t>cite</w:t>
      </w:r>
      <w:r>
        <w:t>d</w:t>
      </w:r>
      <w:r w:rsidR="00232C31">
        <w:t xml:space="preserve"> </w:t>
      </w:r>
      <w:r w:rsidR="00B9251A" w:rsidRPr="004C1736">
        <w:t xml:space="preserve">there </w:t>
      </w:r>
      <w:r>
        <w:t>remains</w:t>
      </w:r>
      <w:r w:rsidR="00B9251A" w:rsidRPr="004C1736">
        <w:t xml:space="preserve"> a gap in the literature is how to build global competency among future and current teachers most effectively</w:t>
      </w:r>
      <w:r w:rsidR="00232C31">
        <w:t>.</w:t>
      </w:r>
    </w:p>
    <w:p w14:paraId="4FA6A718" w14:textId="140483A0" w:rsidR="00232C31" w:rsidRPr="00C874EC" w:rsidRDefault="00232C31" w:rsidP="00C874EC">
      <w:pPr>
        <w:spacing w:line="480" w:lineRule="auto"/>
        <w:rPr>
          <w:i/>
          <w:iCs/>
        </w:rPr>
      </w:pPr>
      <w:r w:rsidRPr="00C874EC">
        <w:rPr>
          <w:i/>
          <w:iCs/>
        </w:rPr>
        <w:t xml:space="preserve">Approaches to building global competency: Study </w:t>
      </w:r>
      <w:r w:rsidR="009271DF">
        <w:rPr>
          <w:i/>
          <w:iCs/>
        </w:rPr>
        <w:t>a</w:t>
      </w:r>
      <w:r w:rsidRPr="00C874EC">
        <w:rPr>
          <w:i/>
          <w:iCs/>
        </w:rPr>
        <w:t xml:space="preserve">broad </w:t>
      </w:r>
    </w:p>
    <w:p w14:paraId="4D09A523" w14:textId="3DF19CFA" w:rsidR="00C97BD6" w:rsidRDefault="00232C31" w:rsidP="00C97BD6">
      <w:pPr>
        <w:spacing w:line="480" w:lineRule="auto"/>
        <w:ind w:firstLine="720"/>
      </w:pPr>
      <w:r>
        <w:t xml:space="preserve">The American Council on Education (2002) </w:t>
      </w:r>
      <w:r w:rsidR="00C97BD6" w:rsidRPr="004C1736">
        <w:t>state</w:t>
      </w:r>
      <w:r w:rsidR="00A2183F">
        <w:t>d</w:t>
      </w:r>
      <w:r w:rsidR="00C97BD6" w:rsidRPr="004C1736">
        <w:t xml:space="preserve"> that study-abroad programs “produce the core knowledge experts need for national security, economic competitiveness, and U.S. foreign policy leadership</w:t>
      </w:r>
      <w:r>
        <w:t xml:space="preserve">.” </w:t>
      </w:r>
      <w:r w:rsidR="00C97BD6" w:rsidRPr="004C1736">
        <w:t xml:space="preserve"> Educating people to become global citizens is a driving force behind justifying and validating international education and specifically study abroad programs (Davies &amp; Pike, 2009; Schattle, 2009), despite broad acceptance that study abroad programs do develop global citizenship (</w:t>
      </w:r>
      <w:r>
        <w:t xml:space="preserve">American Council on Education, 2020; </w:t>
      </w:r>
      <w:r w:rsidR="00C97BD6" w:rsidRPr="004C1736">
        <w:t>Braskamp, 2009</w:t>
      </w:r>
      <w:r w:rsidR="00A2183F">
        <w:t>; Reimers, 2009</w:t>
      </w:r>
      <w:r w:rsidR="00C97BD6" w:rsidRPr="004C1736">
        <w:t xml:space="preserve">).  U.S. </w:t>
      </w:r>
      <w:r w:rsidR="00522DA9">
        <w:t xml:space="preserve">support for study abroad opportunities for students was highlighted when the U.S. </w:t>
      </w:r>
      <w:r w:rsidR="00C97BD6" w:rsidRPr="004C1736">
        <w:t xml:space="preserve">Senate named 2006 as the Year of Study Abroad, </w:t>
      </w:r>
      <w:proofErr w:type="gramStart"/>
      <w:r w:rsidR="00C97BD6" w:rsidRPr="004C1736">
        <w:t>in order to</w:t>
      </w:r>
      <w:proofErr w:type="gramEnd"/>
      <w:r w:rsidR="00C97BD6" w:rsidRPr="004C1736">
        <w:t xml:space="preserve"> intentionally build global competency among </w:t>
      </w:r>
      <w:r w:rsidR="00522DA9">
        <w:t xml:space="preserve">youth </w:t>
      </w:r>
      <w:r w:rsidR="00C97BD6" w:rsidRPr="004C1736">
        <w:t>(U</w:t>
      </w:r>
      <w:r w:rsidR="00261185">
        <w:t xml:space="preserve">nited States </w:t>
      </w:r>
      <w:r w:rsidR="00C97BD6" w:rsidRPr="004C1736">
        <w:t>Senate</w:t>
      </w:r>
      <w:r w:rsidR="00261185">
        <w:t>,</w:t>
      </w:r>
      <w:r w:rsidR="00C97BD6" w:rsidRPr="004C1736">
        <w:t xml:space="preserve"> 2005).  </w:t>
      </w:r>
    </w:p>
    <w:p w14:paraId="2585B1D8" w14:textId="33A81485" w:rsidR="001729D0" w:rsidRDefault="00261185" w:rsidP="003960CC">
      <w:pPr>
        <w:spacing w:line="480" w:lineRule="auto"/>
        <w:ind w:firstLine="720"/>
      </w:pPr>
      <w:r>
        <w:t>E</w:t>
      </w:r>
      <w:r w:rsidR="001729D0" w:rsidRPr="004C1736">
        <w:t>xpand</w:t>
      </w:r>
      <w:r>
        <w:t>ing</w:t>
      </w:r>
      <w:r w:rsidR="001729D0" w:rsidRPr="004C1736">
        <w:t xml:space="preserve"> on th</w:t>
      </w:r>
      <w:r w:rsidR="001729D0">
        <w:t>e differences in engagement during a study abroad program</w:t>
      </w:r>
      <w:r>
        <w:t>, Santoro and Major</w:t>
      </w:r>
      <w:r w:rsidRPr="004C1736">
        <w:t xml:space="preserve"> </w:t>
      </w:r>
      <w:r>
        <w:t>(2012) discuss the</w:t>
      </w:r>
      <w:r w:rsidR="001729D0">
        <w:t xml:space="preserve"> definition</w:t>
      </w:r>
      <w:r>
        <w:t>s</w:t>
      </w:r>
      <w:r w:rsidR="001729D0">
        <w:t xml:space="preserve"> of </w:t>
      </w:r>
      <w:r w:rsidR="001729D0" w:rsidRPr="004C1736">
        <w:t xml:space="preserve">“visitor,” “tourism,” and “empathy.” These </w:t>
      </w:r>
      <w:r>
        <w:t>“</w:t>
      </w:r>
      <w:r w:rsidR="001729D0" w:rsidRPr="004C1736">
        <w:t>nonlinear dispositions” refer to our interaction with a new culture or place</w:t>
      </w:r>
      <w:r>
        <w:t xml:space="preserve"> (Santoro &amp; Major, 2012)</w:t>
      </w:r>
      <w:r w:rsidR="001729D0" w:rsidRPr="004C1736">
        <w:t xml:space="preserve">.  </w:t>
      </w:r>
      <w:proofErr w:type="gramStart"/>
      <w:r w:rsidR="001729D0" w:rsidRPr="004C1736">
        <w:t>As a tourist, our encounter</w:t>
      </w:r>
      <w:proofErr w:type="gramEnd"/>
      <w:r w:rsidR="001729D0" w:rsidRPr="004C1736">
        <w:t xml:space="preserve"> maintains distance from ourselves to the other; in empathy, we attempt to fuse ourselves with the other; and as a visitor, we both encounter the other and ourselves (</w:t>
      </w:r>
      <w:r>
        <w:t>Santoro &amp; Major</w:t>
      </w:r>
      <w:r w:rsidR="001729D0">
        <w:t xml:space="preserve">, </w:t>
      </w:r>
      <w:r w:rsidR="001729D0" w:rsidRPr="004C1736">
        <w:t>2012). When considering the multiple dimensions faced during a</w:t>
      </w:r>
      <w:r w:rsidR="00A2183F">
        <w:t xml:space="preserve"> study abroad program, </w:t>
      </w:r>
      <w:r>
        <w:t xml:space="preserve">this </w:t>
      </w:r>
      <w:r w:rsidR="001729D0">
        <w:t>concept of “</w:t>
      </w:r>
      <w:r w:rsidR="001729D0" w:rsidRPr="004C1736">
        <w:t>visitor</w:t>
      </w:r>
      <w:r w:rsidR="001729D0">
        <w:t xml:space="preserve">” </w:t>
      </w:r>
      <w:r w:rsidR="001729D0" w:rsidRPr="004C1736">
        <w:t>allows for cognitive reflection, awareness, and authentic engagement</w:t>
      </w:r>
      <w:r w:rsidR="001729D0">
        <w:t xml:space="preserve">, essential elements in </w:t>
      </w:r>
      <w:r>
        <w:t xml:space="preserve">a holistic approach to </w:t>
      </w:r>
      <w:r w:rsidR="001729D0">
        <w:t>global citizenship,</w:t>
      </w:r>
      <w:r w:rsidR="001729D0" w:rsidRPr="004C1736">
        <w:t xml:space="preserve"> with both the self and the other while holding present the differences</w:t>
      </w:r>
      <w:r>
        <w:t xml:space="preserve"> (Andreotti, 2010; Andreotti et al., 2015)</w:t>
      </w:r>
      <w:r w:rsidR="001729D0" w:rsidRPr="004C1736">
        <w:t>.</w:t>
      </w:r>
    </w:p>
    <w:p w14:paraId="51FEB275" w14:textId="77777777" w:rsidR="00A2183F" w:rsidRDefault="00C97BD6" w:rsidP="002718AA">
      <w:pPr>
        <w:spacing w:line="480" w:lineRule="auto"/>
        <w:ind w:firstLine="720"/>
      </w:pPr>
      <w:r w:rsidRPr="004C1736">
        <w:lastRenderedPageBreak/>
        <w:t xml:space="preserve">Looking broadly at the impact of study abroad experiences </w:t>
      </w:r>
      <w:r w:rsidR="006C53C1">
        <w:t xml:space="preserve">on global citizenship </w:t>
      </w:r>
      <w:r w:rsidRPr="004C1736">
        <w:t xml:space="preserve">occurred in a study </w:t>
      </w:r>
      <w:r w:rsidR="006C53C1">
        <w:t>sponsored</w:t>
      </w:r>
      <w:r w:rsidRPr="004C1736">
        <w:t xml:space="preserve"> by the U.S. Department of Education </w:t>
      </w:r>
      <w:r w:rsidR="006C53C1">
        <w:t>(</w:t>
      </w:r>
      <w:r w:rsidR="006C53C1" w:rsidRPr="004C1736">
        <w:t>Paige</w:t>
      </w:r>
      <w:r w:rsidR="006C53C1">
        <w:t>, Fry, Stallman, Josic, &amp; Jon, 2009)</w:t>
      </w:r>
      <w:r w:rsidRPr="004C1736">
        <w:t xml:space="preserve">. </w:t>
      </w:r>
      <w:r w:rsidR="0008135C" w:rsidRPr="00BA7288">
        <w:t>This study was a 50-year, longitudinal</w:t>
      </w:r>
      <w:r w:rsidR="0008135C">
        <w:t xml:space="preserve"> study (1960 to 2010) </w:t>
      </w:r>
      <w:r w:rsidR="006C53C1">
        <w:t>examining</w:t>
      </w:r>
      <w:r w:rsidR="006C53C1" w:rsidRPr="004C1736">
        <w:t xml:space="preserve"> the long-term impact o</w:t>
      </w:r>
      <w:r w:rsidR="006C53C1">
        <w:t>n</w:t>
      </w:r>
      <w:r w:rsidR="006C53C1" w:rsidRPr="004C1736">
        <w:t xml:space="preserve"> </w:t>
      </w:r>
      <w:r w:rsidR="002718AA">
        <w:t xml:space="preserve">undergraduate </w:t>
      </w:r>
      <w:r w:rsidR="006C53C1" w:rsidRPr="004C1736">
        <w:t xml:space="preserve">students who studied abroad, </w:t>
      </w:r>
      <w:r w:rsidR="006C53C1">
        <w:t xml:space="preserve">including their </w:t>
      </w:r>
      <w:r w:rsidR="002718AA">
        <w:t xml:space="preserve">continued </w:t>
      </w:r>
      <w:r w:rsidR="006C53C1">
        <w:t>local and international engagement,</w:t>
      </w:r>
      <w:r w:rsidR="006C53C1" w:rsidRPr="004C1736">
        <w:t xml:space="preserve"> career choices and ambitions, and educational achievement (</w:t>
      </w:r>
      <w:r w:rsidR="006C53C1">
        <w:t xml:space="preserve">Paige, et al </w:t>
      </w:r>
      <w:r w:rsidR="006C53C1" w:rsidRPr="004C1736">
        <w:t xml:space="preserve">2009).  </w:t>
      </w:r>
      <w:r w:rsidR="002718AA">
        <w:t xml:space="preserve">The research focused on two questions: </w:t>
      </w:r>
    </w:p>
    <w:p w14:paraId="66CE4DE3" w14:textId="14E5E13E" w:rsidR="002718AA" w:rsidRPr="00BA7288" w:rsidRDefault="002718AA" w:rsidP="003960CC">
      <w:pPr>
        <w:spacing w:line="480" w:lineRule="auto"/>
        <w:ind w:left="720"/>
      </w:pPr>
      <w:r>
        <w:t>“</w:t>
      </w:r>
      <w:r w:rsidRPr="00BA7288">
        <w:rPr>
          <w:i/>
          <w:iCs/>
        </w:rPr>
        <w:t>What is the near-term (1-5 years post study abroad) and long-term (6+ years post study abroad) impact of study abroad on alumni’s global engagement contributions, professional development, and personal development, as perceived by the alumni themselves and as assessed by external measures?</w:t>
      </w:r>
      <w:r>
        <w:rPr>
          <w:i/>
          <w:iCs/>
        </w:rPr>
        <w:t>”</w:t>
      </w:r>
      <w:r w:rsidRPr="00BA7288">
        <w:rPr>
          <w:i/>
          <w:iCs/>
        </w:rPr>
        <w:t xml:space="preserve"> </w:t>
      </w:r>
      <w:r>
        <w:t>(Paige et al, 2007, p. 3).</w:t>
      </w:r>
    </w:p>
    <w:p w14:paraId="26A3D105" w14:textId="5342FBD9" w:rsidR="0008135C" w:rsidRDefault="002718AA" w:rsidP="00840754">
      <w:pPr>
        <w:spacing w:line="480" w:lineRule="auto"/>
        <w:ind w:firstLine="720"/>
      </w:pPr>
      <w:r>
        <w:t xml:space="preserve">In the quantitative section of this study, the </w:t>
      </w:r>
      <w:r w:rsidR="0008135C">
        <w:t>researchers used a retrospective tracer study methodology</w:t>
      </w:r>
      <w:r>
        <w:t>, that is, they looked back and trac</w:t>
      </w:r>
      <w:r w:rsidR="00A2183F">
        <w:t>ed</w:t>
      </w:r>
      <w:r>
        <w:t xml:space="preserve"> the responses of participants</w:t>
      </w:r>
      <w:r w:rsidR="0008135C">
        <w:t>,</w:t>
      </w:r>
      <w:r w:rsidR="00A2183F">
        <w:t xml:space="preserve"> while a </w:t>
      </w:r>
      <w:r w:rsidR="0008135C">
        <w:t xml:space="preserve">sequential mixed methods </w:t>
      </w:r>
      <w:r>
        <w:t xml:space="preserve">research </w:t>
      </w:r>
      <w:r w:rsidR="0008135C">
        <w:t>design</w:t>
      </w:r>
      <w:r>
        <w:t xml:space="preserve">.  Their quantitative instrument was </w:t>
      </w:r>
      <w:r w:rsidR="0008135C">
        <w:t xml:space="preserve">a single, cross-sectional, online survey instrument </w:t>
      </w:r>
      <w:r>
        <w:t>distributed to participants</w:t>
      </w:r>
      <w:r w:rsidR="00FD4B21">
        <w:t xml:space="preserve"> (Paige et al, 2007)</w:t>
      </w:r>
      <w:r w:rsidR="00A2183F">
        <w:t xml:space="preserve">, who volunteered </w:t>
      </w:r>
      <w:r>
        <w:t xml:space="preserve">after being identified as a study abroad participant within the past 50 years by their program’s institution.  </w:t>
      </w:r>
      <w:r w:rsidR="0008135C" w:rsidRPr="00840754">
        <w:t>To execute the study, the researchers also obtained demographic variables</w:t>
      </w:r>
      <w:r w:rsidR="0008135C" w:rsidRPr="00C874EC">
        <w:t xml:space="preserve"> (gender, age, socioeconomic status, ethnicity, and prior intercultural/international experience) and four study abroad program variables (program genre,</w:t>
      </w:r>
      <w:r w:rsidRPr="00C874EC">
        <w:t xml:space="preserve"> destination of the program</w:t>
      </w:r>
      <w:r w:rsidR="0008135C" w:rsidRPr="00C874EC">
        <w:t>, duration</w:t>
      </w:r>
      <w:r w:rsidRPr="00C874EC">
        <w:t>,</w:t>
      </w:r>
      <w:r w:rsidR="0008135C" w:rsidRPr="00C874EC">
        <w:t xml:space="preserve"> and U</w:t>
      </w:r>
      <w:r w:rsidRPr="00C874EC">
        <w:t>.</w:t>
      </w:r>
      <w:r w:rsidR="0008135C" w:rsidRPr="00C874EC">
        <w:t>S</w:t>
      </w:r>
      <w:r w:rsidRPr="00C874EC">
        <w:t>.</w:t>
      </w:r>
      <w:r w:rsidR="0008135C" w:rsidRPr="00C874EC">
        <w:t xml:space="preserve"> institutional classification).</w:t>
      </w:r>
      <w:r w:rsidR="0008135C" w:rsidRPr="00840754">
        <w:t xml:space="preserve">  </w:t>
      </w:r>
    </w:p>
    <w:p w14:paraId="75967259" w14:textId="1BA09211" w:rsidR="0008135C" w:rsidRPr="003960CC" w:rsidRDefault="0008135C" w:rsidP="0008135C">
      <w:pPr>
        <w:spacing w:line="480" w:lineRule="auto"/>
        <w:ind w:firstLine="720"/>
      </w:pPr>
      <w:proofErr w:type="gramStart"/>
      <w:r>
        <w:t>In order to</w:t>
      </w:r>
      <w:proofErr w:type="gramEnd"/>
      <w:r>
        <w:t xml:space="preserve"> conduct their research, Paige et al</w:t>
      </w:r>
      <w:r w:rsidR="00FD4B21">
        <w:t>. (2007)</w:t>
      </w:r>
      <w:r>
        <w:t xml:space="preserve"> developed a measuring instrument called the Global Engagement Survey</w:t>
      </w:r>
      <w:r w:rsidR="00FD4B21">
        <w:t xml:space="preserve"> (GES)</w:t>
      </w:r>
      <w:r>
        <w:t xml:space="preserve">.  This </w:t>
      </w:r>
      <w:r w:rsidR="00FD4B21">
        <w:t xml:space="preserve">56-question </w:t>
      </w:r>
      <w:r>
        <w:t xml:space="preserve">survey assessed five dimensions </w:t>
      </w:r>
      <w:r w:rsidR="00FD4B21">
        <w:t xml:space="preserve">using a 1-5 Likert Scale </w:t>
      </w:r>
      <w:r>
        <w:t xml:space="preserve">to assess the impact of an individual’s study abroad experience </w:t>
      </w:r>
      <w:r w:rsidR="00FD4B21">
        <w:t xml:space="preserve">on their future global engagement, an integral part of global citizenship (Morais &amp; Ogden, 2011). The </w:t>
      </w:r>
      <w:r w:rsidR="00FD4B21">
        <w:lastRenderedPageBreak/>
        <w:t>GES measured five dimensions:</w:t>
      </w:r>
      <w:r>
        <w:t xml:space="preserve"> </w:t>
      </w:r>
      <w:r w:rsidRPr="00BA7288">
        <w:t>civic engagement, knowledge production, philanthropy, social entrepreneurship, and voluntary simplicity</w:t>
      </w:r>
      <w:r>
        <w:t xml:space="preserve">.  A sample of </w:t>
      </w:r>
      <w:r w:rsidRPr="00BA7288">
        <w:t xml:space="preserve">proxies </w:t>
      </w:r>
      <w:r>
        <w:t xml:space="preserve">used were </w:t>
      </w:r>
      <w:r w:rsidRPr="00BA7288">
        <w:t xml:space="preserve">participants’ career </w:t>
      </w:r>
      <w:r w:rsidRPr="003960CC">
        <w:t xml:space="preserve">choices and ambitions, gender gaps, and educational achievement (Paige et al, 2009).  </w:t>
      </w:r>
    </w:p>
    <w:p w14:paraId="69D7DE94" w14:textId="7C38D342" w:rsidR="00CA7D90" w:rsidRDefault="0008135C" w:rsidP="00CA7D90">
      <w:pPr>
        <w:spacing w:line="480" w:lineRule="auto"/>
        <w:ind w:firstLine="720"/>
        <w:rPr>
          <w:rFonts w:eastAsiaTheme="minorHAnsi"/>
          <w:color w:val="000000"/>
          <w:sz w:val="23"/>
          <w:szCs w:val="23"/>
        </w:rPr>
      </w:pPr>
      <w:r w:rsidRPr="003960CC">
        <w:rPr>
          <w:rFonts w:eastAsiaTheme="minorHAnsi"/>
          <w:color w:val="000000"/>
        </w:rPr>
        <w:t>The researchers received responses from 6,391 participants, which was a 29.6 percent response rate from the total sample. Disaggregated by gender, females made up 67.1 percent of the sample and males made up 32.9 percent.  According to data offered by the Institute of International Studies</w:t>
      </w:r>
      <w:r w:rsidR="00FD4B21" w:rsidRPr="003960CC">
        <w:rPr>
          <w:rFonts w:eastAsiaTheme="minorHAnsi"/>
          <w:color w:val="000000"/>
        </w:rPr>
        <w:t xml:space="preserve"> during the </w:t>
      </w:r>
      <w:proofErr w:type="gramStart"/>
      <w:r w:rsidR="00FD4B21" w:rsidRPr="003960CC">
        <w:rPr>
          <w:rFonts w:eastAsiaTheme="minorHAnsi"/>
          <w:color w:val="000000"/>
        </w:rPr>
        <w:t>time period</w:t>
      </w:r>
      <w:proofErr w:type="gramEnd"/>
      <w:r w:rsidR="00FD4B21" w:rsidRPr="003960CC">
        <w:rPr>
          <w:rFonts w:eastAsiaTheme="minorHAnsi"/>
          <w:color w:val="000000"/>
        </w:rPr>
        <w:t xml:space="preserve"> of this study</w:t>
      </w:r>
      <w:r w:rsidRPr="003960CC">
        <w:rPr>
          <w:rFonts w:eastAsiaTheme="minorHAnsi"/>
          <w:color w:val="000000"/>
        </w:rPr>
        <w:t xml:space="preserve">, females </w:t>
      </w:r>
      <w:r w:rsidR="00FD4B21" w:rsidRPr="003960CC">
        <w:rPr>
          <w:rFonts w:eastAsiaTheme="minorHAnsi"/>
          <w:color w:val="000000"/>
        </w:rPr>
        <w:t>made</w:t>
      </w:r>
      <w:r w:rsidRPr="003960CC">
        <w:rPr>
          <w:rFonts w:eastAsiaTheme="minorHAnsi"/>
          <w:color w:val="000000"/>
        </w:rPr>
        <w:t xml:space="preserve"> up 65 percent of study abroad participants (</w:t>
      </w:r>
      <w:r w:rsidR="00FD4B21" w:rsidRPr="003960CC">
        <w:rPr>
          <w:rFonts w:eastAsiaTheme="minorHAnsi"/>
          <w:color w:val="000000"/>
        </w:rPr>
        <w:t xml:space="preserve">Inside Higher Ed, </w:t>
      </w:r>
      <w:r w:rsidRPr="003960CC">
        <w:rPr>
          <w:rFonts w:eastAsiaTheme="minorHAnsi"/>
          <w:color w:val="000000"/>
        </w:rPr>
        <w:t>20</w:t>
      </w:r>
      <w:r w:rsidR="00FD4B21" w:rsidRPr="003960CC">
        <w:rPr>
          <w:rFonts w:eastAsiaTheme="minorHAnsi"/>
          <w:color w:val="000000"/>
        </w:rPr>
        <w:t>20</w:t>
      </w:r>
      <w:r w:rsidRPr="003960CC">
        <w:rPr>
          <w:rFonts w:eastAsiaTheme="minorHAnsi"/>
          <w:color w:val="000000"/>
        </w:rPr>
        <w:t>)</w:t>
      </w:r>
      <w:r w:rsidR="0085564E" w:rsidRPr="003960CC">
        <w:rPr>
          <w:rFonts w:eastAsiaTheme="minorHAnsi"/>
          <w:color w:val="000000"/>
        </w:rPr>
        <w:t>, thereby offering validation of the higher percentage of females participating</w:t>
      </w:r>
      <w:r>
        <w:rPr>
          <w:rFonts w:eastAsiaTheme="minorHAnsi"/>
          <w:color w:val="000000"/>
          <w:sz w:val="23"/>
          <w:szCs w:val="23"/>
        </w:rPr>
        <w:t xml:space="preserve">. </w:t>
      </w:r>
    </w:p>
    <w:p w14:paraId="70ECF2D4" w14:textId="4E78F149" w:rsidR="003735F3" w:rsidRDefault="00FD4B21" w:rsidP="003735F3">
      <w:pPr>
        <w:spacing w:line="480" w:lineRule="auto"/>
        <w:ind w:firstLine="720"/>
      </w:pPr>
      <w:r>
        <w:t>The study showed a</w:t>
      </w:r>
      <w:r w:rsidR="00CA7D90" w:rsidRPr="004C1736">
        <w:t xml:space="preserve"> clear correlation </w:t>
      </w:r>
      <w:r>
        <w:t xml:space="preserve">between increased and continuing global engagement after participating in a study abroad program. </w:t>
      </w:r>
      <w:r w:rsidR="00CA7D90">
        <w:t xml:space="preserve">Key results from this study revealed 83.5 percent of participants reported their study abroad experience had a </w:t>
      </w:r>
      <w:r w:rsidR="003735F3">
        <w:t>“</w:t>
      </w:r>
      <w:r w:rsidR="00CA7D90">
        <w:t>strong impact</w:t>
      </w:r>
      <w:r w:rsidR="003735F3">
        <w:t>”</w:t>
      </w:r>
      <w:r w:rsidR="00CA7D90">
        <w:t xml:space="preserve"> on their </w:t>
      </w:r>
      <w:r w:rsidR="0085564E">
        <w:t xml:space="preserve">ongoing </w:t>
      </w:r>
      <w:r w:rsidR="003735F3">
        <w:t>global engagement</w:t>
      </w:r>
      <w:r w:rsidR="00CA7D90">
        <w:t xml:space="preserve">, and another 14.9 percent indicated at least </w:t>
      </w:r>
      <w:r w:rsidR="003735F3">
        <w:t>“</w:t>
      </w:r>
      <w:r w:rsidR="00CA7D90">
        <w:t>some impact,</w:t>
      </w:r>
      <w:r w:rsidR="003735F3">
        <w:t>”</w:t>
      </w:r>
      <w:r w:rsidR="00CA7D90">
        <w:t xml:space="preserve"> meaning 98.4 percent of participants said their study abroad experience </w:t>
      </w:r>
      <w:r w:rsidR="003735F3">
        <w:t xml:space="preserve">increased their future global engagement, which influenced </w:t>
      </w:r>
      <w:r w:rsidR="00CA7D90">
        <w:t>forthcoming professional and personal endeavors</w:t>
      </w:r>
      <w:r w:rsidR="003735F3">
        <w:t xml:space="preserve"> (Paige et al., 2007)</w:t>
      </w:r>
      <w:r w:rsidR="00CA7D90">
        <w:t xml:space="preserve">.  In addition, 73.8 percent noted a strong impact on their friendships and student-peer interactions, and 96.3 percent reported their study abroad program had an impact on the </w:t>
      </w:r>
      <w:r w:rsidR="003735F3">
        <w:t xml:space="preserve">undergraduate and graduate </w:t>
      </w:r>
      <w:r w:rsidR="00CA7D90">
        <w:t xml:space="preserve">coursework they chose after completing the program.  Summarily, this study demonstrated that study abroad programs are one of the most influential experiences undertaken during undergraduate education and </w:t>
      </w:r>
      <w:r w:rsidR="004E2F59">
        <w:t xml:space="preserve">that they </w:t>
      </w:r>
      <w:r w:rsidR="00CA7D90">
        <w:t xml:space="preserve">continue to influence </w:t>
      </w:r>
      <w:r w:rsidR="004E2F59">
        <w:t xml:space="preserve">participants’ global engagement and career choices. </w:t>
      </w:r>
    </w:p>
    <w:p w14:paraId="167BE5F5" w14:textId="50227A9E" w:rsidR="00C97BD6" w:rsidRPr="001875F0" w:rsidRDefault="003735F3" w:rsidP="001875F0">
      <w:pPr>
        <w:spacing w:line="480" w:lineRule="auto"/>
        <w:ind w:firstLine="720"/>
        <w:rPr>
          <w:rFonts w:eastAsiaTheme="minorHAnsi"/>
          <w:color w:val="C45911" w:themeColor="accent2" w:themeShade="BF"/>
          <w:sz w:val="23"/>
          <w:szCs w:val="23"/>
        </w:rPr>
      </w:pPr>
      <w:r>
        <w:t xml:space="preserve">Confirming the results found in the Paige et al. longitudinal study, </w:t>
      </w:r>
      <w:r w:rsidR="00C97BD6" w:rsidRPr="004C1736">
        <w:t xml:space="preserve">Kishino and Takahashi </w:t>
      </w:r>
      <w:r>
        <w:t xml:space="preserve">(2009) </w:t>
      </w:r>
      <w:r w:rsidR="00C97BD6" w:rsidRPr="004C1736">
        <w:t xml:space="preserve">looked at university students’ improvement in their self-perceptions of global competency </w:t>
      </w:r>
      <w:r w:rsidR="00C97BD6" w:rsidRPr="004C1736">
        <w:lastRenderedPageBreak/>
        <w:t xml:space="preserve">after mandatory study abroad programs (2019). </w:t>
      </w:r>
      <w:r>
        <w:t xml:space="preserve"> Using Morais and Ogden’s Global Citizenship Scale (2011), Kishino and Takahashi (2019) showed that study abroad program participants </w:t>
      </w:r>
      <w:r w:rsidR="0085564E">
        <w:t xml:space="preserve">who completed their program </w:t>
      </w:r>
      <w:r>
        <w:t xml:space="preserve">show higher scores on a global citizenship scale than students currently in a program or those who have not </w:t>
      </w:r>
      <w:commentRangeStart w:id="2"/>
      <w:r>
        <w:t>participated</w:t>
      </w:r>
      <w:commentRangeEnd w:id="2"/>
      <w:r w:rsidR="001875F0">
        <w:rPr>
          <w:rStyle w:val="CommentReference"/>
        </w:rPr>
        <w:commentReference w:id="2"/>
      </w:r>
      <w:r>
        <w:t xml:space="preserve">. </w:t>
      </w:r>
    </w:p>
    <w:p w14:paraId="073D02ED" w14:textId="609CCCD2" w:rsidR="007F16B1" w:rsidRPr="00C874EC" w:rsidRDefault="00AE7087" w:rsidP="00C874EC">
      <w:pPr>
        <w:pStyle w:val="Default"/>
        <w:spacing w:line="480" w:lineRule="auto"/>
        <w:rPr>
          <w:i/>
          <w:iCs/>
        </w:rPr>
      </w:pPr>
      <w:r>
        <w:rPr>
          <w:i/>
          <w:iCs/>
        </w:rPr>
        <w:t>Future teachers participating in s</w:t>
      </w:r>
      <w:r w:rsidR="0085564E">
        <w:rPr>
          <w:i/>
          <w:iCs/>
        </w:rPr>
        <w:t xml:space="preserve">tudy abroad programs </w:t>
      </w:r>
    </w:p>
    <w:p w14:paraId="0B3D36B4" w14:textId="4FB83397" w:rsidR="00261185" w:rsidRDefault="004F3BEF" w:rsidP="00AD6642">
      <w:pPr>
        <w:pStyle w:val="Default"/>
        <w:spacing w:line="480" w:lineRule="auto"/>
        <w:ind w:firstLine="720"/>
      </w:pPr>
      <w:r>
        <w:t xml:space="preserve">Opportunities for pre-service teachers to participate in study abroad or other types of immersion programs has been available in the United States since the 1970s (Sleeter, 2000). </w:t>
      </w:r>
      <w:r w:rsidR="0085564E">
        <w:t xml:space="preserve"> To examine their experiences, </w:t>
      </w:r>
      <w:r w:rsidR="00AD6642" w:rsidRPr="004C1736">
        <w:t xml:space="preserve">Cunningham </w:t>
      </w:r>
      <w:r w:rsidR="007F16B1">
        <w:t xml:space="preserve">(2019) </w:t>
      </w:r>
      <w:r w:rsidR="00AD6642" w:rsidRPr="004C1736">
        <w:t>conducted an ethnographic study on teacher candidates (currently enrolled in a teacher licensure program) participating in an international student teaching program in Mexico</w:t>
      </w:r>
      <w:r>
        <w:t xml:space="preserve">. In her study, she focused on two </w:t>
      </w:r>
      <w:r w:rsidR="00261185">
        <w:t>question</w:t>
      </w:r>
      <w:r>
        <w:t xml:space="preserve">s: do </w:t>
      </w:r>
      <w:r w:rsidR="00261185">
        <w:t xml:space="preserve">immersion programs for </w:t>
      </w:r>
      <w:r>
        <w:t>pre-service teachers increase their capacity of “cultural noticing,” that is, the ability to notice details about a cultural context</w:t>
      </w:r>
      <w:r w:rsidR="00261185">
        <w:t>;</w:t>
      </w:r>
      <w:r>
        <w:t xml:space="preserve"> and</w:t>
      </w:r>
      <w:r w:rsidR="00261185">
        <w:t xml:space="preserve"> their ability to respond to the</w:t>
      </w:r>
      <w:r>
        <w:t xml:space="preserve"> cultural </w:t>
      </w:r>
      <w:r w:rsidR="001C4640">
        <w:t>context</w:t>
      </w:r>
      <w:r>
        <w:t xml:space="preserve">, which </w:t>
      </w:r>
      <w:r w:rsidR="001C4640">
        <w:t>she</w:t>
      </w:r>
      <w:r>
        <w:t xml:space="preserve"> define</w:t>
      </w:r>
      <w:r w:rsidR="001C4640">
        <w:t>s</w:t>
      </w:r>
      <w:r>
        <w:t xml:space="preserve"> as </w:t>
      </w:r>
      <w:r w:rsidR="001C4640">
        <w:t xml:space="preserve">the cultural practices, </w:t>
      </w:r>
      <w:proofErr w:type="gramStart"/>
      <w:r w:rsidR="001C4640">
        <w:t>values</w:t>
      </w:r>
      <w:proofErr w:type="gramEnd"/>
      <w:r w:rsidR="001C4640">
        <w:t xml:space="preserve"> and behaviors of individuals at a particular place and time (Cunningham, 2019). By increasing cultural noticing and responding to </w:t>
      </w:r>
      <w:r w:rsidR="00DD6696">
        <w:t>a</w:t>
      </w:r>
      <w:r w:rsidR="001C4640">
        <w:t xml:space="preserve"> cultural context, future teachers can be better equipped to use their student’s cultural framework and understanding to develop effective teaching methods (Cunningham, 2019). </w:t>
      </w:r>
      <w:r w:rsidR="00AD6642" w:rsidRPr="004C1736">
        <w:t xml:space="preserve"> </w:t>
      </w:r>
    </w:p>
    <w:p w14:paraId="40A807F1" w14:textId="77777777" w:rsidR="00DD6696" w:rsidRDefault="001C4640" w:rsidP="00261185">
      <w:pPr>
        <w:pStyle w:val="Default"/>
        <w:spacing w:line="480" w:lineRule="auto"/>
        <w:ind w:firstLine="720"/>
      </w:pPr>
      <w:r>
        <w:t xml:space="preserve">The results from Cunningham’s study </w:t>
      </w:r>
      <w:r w:rsidR="00261185">
        <w:t>show</w:t>
      </w:r>
      <w:r>
        <w:t xml:space="preserve"> that pre-service teachers do increase their global competencies of cultural noticing and responding to cultural contexts, but do not always use available opportunities to engage in cultural responding. </w:t>
      </w:r>
      <w:r w:rsidR="00261185">
        <w:t xml:space="preserve">Reasons proposed as to why pre-service teaches may not culturally respond may be due to factors such as </w:t>
      </w:r>
      <w:r>
        <w:t xml:space="preserve">race, gender, </w:t>
      </w:r>
      <w:r w:rsidR="00261185">
        <w:t xml:space="preserve">previous international experience, </w:t>
      </w:r>
      <w:r>
        <w:t>and/or social identity of the participants</w:t>
      </w:r>
      <w:r w:rsidR="00261185">
        <w:t xml:space="preserve"> </w:t>
      </w:r>
      <w:r>
        <w:t xml:space="preserve">(Cunningham, 2019).  Cunningham (2019) notes that additional research is needed to determine how to prepare students prior to an immersion experience, and what demographic factors and previous exposure </w:t>
      </w:r>
      <w:r>
        <w:lastRenderedPageBreak/>
        <w:t xml:space="preserve">to different cultures may impact a participant’s success in developing global competency after a study abroad program. </w:t>
      </w:r>
    </w:p>
    <w:p w14:paraId="444BB550" w14:textId="7A6A8C8C" w:rsidR="001B4B6A" w:rsidRDefault="00AD6642" w:rsidP="00261185">
      <w:pPr>
        <w:pStyle w:val="Default"/>
        <w:spacing w:line="480" w:lineRule="auto"/>
        <w:ind w:firstLine="720"/>
      </w:pPr>
      <w:r w:rsidRPr="004C1736">
        <w:t xml:space="preserve">Ramirez </w:t>
      </w:r>
      <w:r w:rsidR="001B4B6A">
        <w:t xml:space="preserve">(2013) </w:t>
      </w:r>
      <w:r w:rsidR="00DD6696">
        <w:t xml:space="preserve">reiterated </w:t>
      </w:r>
      <w:r w:rsidR="001B4B6A">
        <w:t xml:space="preserve">this gap of knowledge, and further </w:t>
      </w:r>
      <w:r w:rsidRPr="004C1736">
        <w:t xml:space="preserve">emphasizes the need for authentic engagement and improved knowledge of globalization when participating in an international immersion program (2013).  </w:t>
      </w:r>
      <w:r w:rsidR="001B4B6A">
        <w:t xml:space="preserve">Researchers such as Baecher (2019), Gilliom (1993), and Reimers (2009) confirm that </w:t>
      </w:r>
      <w:r w:rsidRPr="004C1736">
        <w:t>study abroad programs, defined as service learning, practicums, or educational tourism,</w:t>
      </w:r>
      <w:r>
        <w:t xml:space="preserve"> are</w:t>
      </w:r>
      <w:r w:rsidRPr="004C1736">
        <w:t xml:space="preserve"> effective in building global competency, particularly cultural awareness, among teachers</w:t>
      </w:r>
      <w:r w:rsidR="001B4B6A">
        <w:t xml:space="preserve">.  Further, </w:t>
      </w:r>
      <w:r w:rsidR="00B9251A" w:rsidRPr="004C1736">
        <w:t xml:space="preserve">Gilliom </w:t>
      </w:r>
      <w:r w:rsidR="001B4B6A">
        <w:t xml:space="preserve">(1993) </w:t>
      </w:r>
      <w:r w:rsidR="00B9251A" w:rsidRPr="004C1736">
        <w:t xml:space="preserve">emphasizes that building global competency among teachers is most effective through immersion programs specifically designed for students preparing to teach, and that these future teachers must be committed to global </w:t>
      </w:r>
      <w:r w:rsidR="00B9251A" w:rsidRPr="00840754">
        <w:t>educatio</w:t>
      </w:r>
      <w:r w:rsidR="001B4B6A" w:rsidRPr="00840754">
        <w:t xml:space="preserve">n.  </w:t>
      </w:r>
    </w:p>
    <w:p w14:paraId="2FE86223" w14:textId="3713EAE8" w:rsidR="00C66C99" w:rsidRPr="004C1736" w:rsidRDefault="001B4B6A" w:rsidP="004C6D63">
      <w:pPr>
        <w:pStyle w:val="Default"/>
        <w:spacing w:line="480" w:lineRule="auto"/>
        <w:ind w:firstLine="720"/>
      </w:pPr>
      <w:r>
        <w:t xml:space="preserve">While studies </w:t>
      </w:r>
      <w:r w:rsidR="00B36A2B">
        <w:t xml:space="preserve">discussed here </w:t>
      </w:r>
      <w:r>
        <w:t xml:space="preserve">have </w:t>
      </w:r>
      <w:r w:rsidR="00B9251A">
        <w:t>indicated global c</w:t>
      </w:r>
      <w:r w:rsidR="00B36A2B">
        <w:t xml:space="preserve">itizenship </w:t>
      </w:r>
      <w:r w:rsidR="00B9251A">
        <w:t>is critical</w:t>
      </w:r>
      <w:r w:rsidR="00B36A2B">
        <w:t xml:space="preserve"> in the 21</w:t>
      </w:r>
      <w:r w:rsidR="00B36A2B" w:rsidRPr="00C874EC">
        <w:rPr>
          <w:vertAlign w:val="superscript"/>
        </w:rPr>
        <w:t>st</w:t>
      </w:r>
      <w:r w:rsidR="00B36A2B">
        <w:t xml:space="preserve"> century;</w:t>
      </w:r>
      <w:r w:rsidR="00B9251A">
        <w:t xml:space="preserve"> that teachers want to be globally competent</w:t>
      </w:r>
      <w:r w:rsidR="00B36A2B">
        <w:t>;</w:t>
      </w:r>
      <w:r w:rsidR="00B9251A">
        <w:t xml:space="preserve"> </w:t>
      </w:r>
      <w:r w:rsidR="00B77C5D">
        <w:t>and t</w:t>
      </w:r>
      <w:r w:rsidR="00B9251A">
        <w:t>hat study abroad programs are a highly effective tool to build global citizenship</w:t>
      </w:r>
      <w:r w:rsidR="00B36A2B">
        <w:t>, there is limited research on the increase of self-perceived global citizenship following a study abroad program</w:t>
      </w:r>
      <w:r w:rsidR="000975A8">
        <w:t xml:space="preserve"> among specifically future teachers</w:t>
      </w:r>
      <w:r w:rsidR="00B36A2B">
        <w:t>, and there is limited research on what components of a study abroad</w:t>
      </w:r>
      <w:r w:rsidR="00261185">
        <w:t xml:space="preserve"> program </w:t>
      </w:r>
      <w:r w:rsidR="00B36A2B">
        <w:t xml:space="preserve">have the </w:t>
      </w:r>
      <w:commentRangeStart w:id="3"/>
      <w:r w:rsidR="00B36A2B">
        <w:t>most</w:t>
      </w:r>
      <w:commentRangeEnd w:id="3"/>
      <w:r w:rsidR="004C6D63">
        <w:rPr>
          <w:rStyle w:val="CommentReference"/>
          <w:rFonts w:eastAsia="Times New Roman"/>
          <w:color w:val="auto"/>
        </w:rPr>
        <w:commentReference w:id="3"/>
      </w:r>
      <w:r w:rsidR="00B36A2B">
        <w:t xml:space="preserve"> influence on developing </w:t>
      </w:r>
      <w:r w:rsidR="00DD6696">
        <w:t xml:space="preserve">that </w:t>
      </w:r>
      <w:r w:rsidR="00B36A2B">
        <w:t xml:space="preserve">global competency. </w:t>
      </w:r>
      <w:r w:rsidR="00DD6696">
        <w:t>Indeed, r</w:t>
      </w:r>
      <w:r w:rsidR="00C868BF">
        <w:t xml:space="preserve">esearchers highlight there remains a </w:t>
      </w:r>
      <w:r w:rsidR="00261185" w:rsidRPr="00840754">
        <w:t xml:space="preserve">gap in </w:t>
      </w:r>
      <w:r w:rsidR="00C868BF">
        <w:t xml:space="preserve">the </w:t>
      </w:r>
      <w:r w:rsidR="00261185" w:rsidRPr="00840754">
        <w:t>litera</w:t>
      </w:r>
      <w:r w:rsidR="00261185" w:rsidRPr="00C874EC">
        <w:t>ture i</w:t>
      </w:r>
      <w:r w:rsidR="00C868BF">
        <w:t>n</w:t>
      </w:r>
      <w:r w:rsidR="00261185" w:rsidRPr="00C874EC">
        <w:t xml:space="preserve"> how </w:t>
      </w:r>
      <w:proofErr w:type="gramStart"/>
      <w:r w:rsidR="00261185" w:rsidRPr="00C874EC">
        <w:t xml:space="preserve">do pre-service teacher </w:t>
      </w:r>
      <w:r w:rsidR="00261185">
        <w:t>study abroad</w:t>
      </w:r>
      <w:proofErr w:type="gramEnd"/>
      <w:r w:rsidR="00261185">
        <w:t xml:space="preserve"> </w:t>
      </w:r>
      <w:r w:rsidR="00261185" w:rsidRPr="00840754">
        <w:t xml:space="preserve">programs </w:t>
      </w:r>
      <w:r w:rsidR="00DD6696">
        <w:t xml:space="preserve">to </w:t>
      </w:r>
      <w:r w:rsidR="00261185" w:rsidRPr="00840754">
        <w:t>best</w:t>
      </w:r>
      <w:r w:rsidR="00261185" w:rsidRPr="00C874EC">
        <w:t xml:space="preserve"> support teachers in developing their global citizenship so that ultimately they can be culturally responsive as classroom teachers (Cunningham, 2019; Gallavan, 2008; Gilliom, 1993; Kishino &amp; Takahashi, 2019; Longview, 2008)</w:t>
      </w:r>
      <w:r w:rsidR="00261185">
        <w:t xml:space="preserve">.  </w:t>
      </w:r>
      <w:r w:rsidR="00C868BF">
        <w:t>The question stands: w</w:t>
      </w:r>
      <w:r w:rsidR="00B9251A">
        <w:t xml:space="preserve">hat makes an effective </w:t>
      </w:r>
      <w:r w:rsidR="00C868BF">
        <w:t>study abroad</w:t>
      </w:r>
      <w:r w:rsidR="00B9251A">
        <w:t xml:space="preserve"> program in terms of building global competency among pre-service teachers?</w:t>
      </w:r>
      <w:r w:rsidR="00B77C5D">
        <w:t xml:space="preserve">  Th</w:t>
      </w:r>
      <w:r w:rsidR="00534414">
        <w:t>e purpose of this study is to</w:t>
      </w:r>
      <w:r w:rsidR="00B77C5D">
        <w:t xml:space="preserve"> </w:t>
      </w:r>
      <w:r w:rsidR="00C868BF">
        <w:t xml:space="preserve">look </w:t>
      </w:r>
      <w:r w:rsidR="00DD6696">
        <w:t xml:space="preserve">at the relationship between participation in </w:t>
      </w:r>
      <w:r w:rsidR="00534414">
        <w:t>study abroad programs</w:t>
      </w:r>
      <w:r w:rsidR="00C868BF">
        <w:t xml:space="preserve"> </w:t>
      </w:r>
      <w:r w:rsidR="00DD6696">
        <w:t xml:space="preserve">and </w:t>
      </w:r>
      <w:r w:rsidR="00534414">
        <w:t>self-</w:t>
      </w:r>
      <w:r w:rsidR="00534414">
        <w:lastRenderedPageBreak/>
        <w:t>perceptions of global citizenship among future teachers</w:t>
      </w:r>
      <w:r w:rsidR="00C868BF">
        <w:t>,</w:t>
      </w:r>
      <w:r w:rsidR="00534414">
        <w:t xml:space="preserve"> and to investigate the differences in study abroad program</w:t>
      </w:r>
      <w:r w:rsidR="00980EFA">
        <w:t xml:space="preserve"> structure</w:t>
      </w:r>
      <w:r w:rsidR="00534414">
        <w:t xml:space="preserve"> that </w:t>
      </w:r>
      <w:r w:rsidR="00980EFA">
        <w:t xml:space="preserve">may </w:t>
      </w:r>
      <w:r w:rsidR="00534414">
        <w:t xml:space="preserve">affect differing levels of </w:t>
      </w:r>
      <w:r w:rsidR="00980EFA">
        <w:t xml:space="preserve">this </w:t>
      </w:r>
      <w:r w:rsidR="00534414">
        <w:t>self-</w:t>
      </w:r>
      <w:commentRangeStart w:id="4"/>
      <w:r w:rsidR="00534414">
        <w:t>perception</w:t>
      </w:r>
      <w:commentRangeEnd w:id="4"/>
      <w:r w:rsidR="004C6D63">
        <w:rPr>
          <w:rStyle w:val="CommentReference"/>
          <w:rFonts w:eastAsia="Times New Roman"/>
          <w:color w:val="auto"/>
        </w:rPr>
        <w:commentReference w:id="4"/>
      </w:r>
      <w:r w:rsidR="00534414">
        <w:t xml:space="preserve">. </w:t>
      </w:r>
    </w:p>
    <w:p w14:paraId="2EC84263" w14:textId="303C0D54" w:rsidR="004E4500" w:rsidRPr="004C1736" w:rsidRDefault="004E4500" w:rsidP="004E4500">
      <w:pPr>
        <w:autoSpaceDE w:val="0"/>
        <w:autoSpaceDN w:val="0"/>
        <w:adjustRightInd w:val="0"/>
        <w:ind w:right="-20"/>
        <w:jc w:val="center"/>
        <w:rPr>
          <w:color w:val="000000"/>
        </w:rPr>
      </w:pPr>
      <w:r w:rsidRPr="004C1736">
        <w:rPr>
          <w:b/>
          <w:bCs/>
          <w:color w:val="221F1F"/>
          <w:spacing w:val="-1"/>
        </w:rPr>
        <w:t>Proposed Me</w:t>
      </w:r>
      <w:r w:rsidRPr="004C1736">
        <w:rPr>
          <w:b/>
          <w:bCs/>
          <w:color w:val="221F1F"/>
        </w:rPr>
        <w:t>thod</w:t>
      </w:r>
    </w:p>
    <w:p w14:paraId="43C436DC" w14:textId="77777777" w:rsidR="004E4500" w:rsidRPr="004C1736" w:rsidRDefault="004E4500" w:rsidP="004E4500">
      <w:pPr>
        <w:autoSpaceDE w:val="0"/>
        <w:autoSpaceDN w:val="0"/>
        <w:adjustRightInd w:val="0"/>
        <w:spacing w:before="1"/>
        <w:ind w:right="-20"/>
        <w:rPr>
          <w:color w:val="221F1F"/>
        </w:rPr>
      </w:pPr>
    </w:p>
    <w:p w14:paraId="53A79340" w14:textId="1EEEA1DC" w:rsidR="004E4500" w:rsidRPr="004C1736" w:rsidRDefault="004E4500" w:rsidP="004E4500">
      <w:pPr>
        <w:autoSpaceDE w:val="0"/>
        <w:autoSpaceDN w:val="0"/>
        <w:adjustRightInd w:val="0"/>
        <w:spacing w:before="1"/>
        <w:ind w:right="-20"/>
        <w:rPr>
          <w:b/>
          <w:bCs/>
          <w:color w:val="221F1F"/>
        </w:rPr>
      </w:pPr>
      <w:r w:rsidRPr="004C1736">
        <w:rPr>
          <w:b/>
          <w:bCs/>
          <w:color w:val="221F1F"/>
        </w:rPr>
        <w:t>R</w:t>
      </w:r>
      <w:r w:rsidRPr="004C1736">
        <w:rPr>
          <w:b/>
          <w:bCs/>
          <w:color w:val="221F1F"/>
          <w:spacing w:val="-1"/>
        </w:rPr>
        <w:t>e</w:t>
      </w:r>
      <w:r w:rsidRPr="004C1736">
        <w:rPr>
          <w:b/>
          <w:bCs/>
          <w:color w:val="221F1F"/>
        </w:rPr>
        <w:t>s</w:t>
      </w:r>
      <w:r w:rsidRPr="004C1736">
        <w:rPr>
          <w:b/>
          <w:bCs/>
          <w:color w:val="221F1F"/>
          <w:spacing w:val="-1"/>
        </w:rPr>
        <w:t>e</w:t>
      </w:r>
      <w:r w:rsidRPr="004C1736">
        <w:rPr>
          <w:b/>
          <w:bCs/>
          <w:color w:val="221F1F"/>
        </w:rPr>
        <w:t>a</w:t>
      </w:r>
      <w:r w:rsidRPr="004C1736">
        <w:rPr>
          <w:b/>
          <w:bCs/>
          <w:color w:val="221F1F"/>
          <w:spacing w:val="1"/>
        </w:rPr>
        <w:t>r</w:t>
      </w:r>
      <w:r w:rsidRPr="004C1736">
        <w:rPr>
          <w:b/>
          <w:bCs/>
          <w:color w:val="221F1F"/>
          <w:spacing w:val="-1"/>
        </w:rPr>
        <w:t>c</w:t>
      </w:r>
      <w:r w:rsidRPr="004C1736">
        <w:rPr>
          <w:b/>
          <w:bCs/>
          <w:color w:val="221F1F"/>
        </w:rPr>
        <w:t>h</w:t>
      </w:r>
      <w:r w:rsidRPr="004C1736">
        <w:rPr>
          <w:b/>
          <w:bCs/>
          <w:color w:val="221F1F"/>
          <w:spacing w:val="1"/>
        </w:rPr>
        <w:t xml:space="preserve"> D</w:t>
      </w:r>
      <w:r w:rsidRPr="004C1736">
        <w:rPr>
          <w:b/>
          <w:bCs/>
          <w:color w:val="221F1F"/>
          <w:spacing w:val="-1"/>
        </w:rPr>
        <w:t>e</w:t>
      </w:r>
      <w:r w:rsidRPr="004C1736">
        <w:rPr>
          <w:b/>
          <w:bCs/>
          <w:color w:val="221F1F"/>
        </w:rPr>
        <w:t>sign</w:t>
      </w:r>
    </w:p>
    <w:p w14:paraId="77DD6D24" w14:textId="77777777" w:rsidR="004C1736" w:rsidRPr="004C1736" w:rsidRDefault="004C1736" w:rsidP="004E4500">
      <w:pPr>
        <w:autoSpaceDE w:val="0"/>
        <w:autoSpaceDN w:val="0"/>
        <w:adjustRightInd w:val="0"/>
        <w:spacing w:before="1"/>
        <w:ind w:right="-20"/>
        <w:rPr>
          <w:color w:val="000000"/>
        </w:rPr>
      </w:pPr>
    </w:p>
    <w:p w14:paraId="2B62990F" w14:textId="7E8EE119" w:rsidR="004C1736" w:rsidRPr="004C1736" w:rsidRDefault="007F5771" w:rsidP="004C6D63">
      <w:pPr>
        <w:autoSpaceDE w:val="0"/>
        <w:autoSpaceDN w:val="0"/>
        <w:adjustRightInd w:val="0"/>
        <w:spacing w:before="1"/>
        <w:ind w:right="-20" w:firstLine="720"/>
        <w:rPr>
          <w:color w:val="000000"/>
        </w:rPr>
      </w:pPr>
      <w:r>
        <w:rPr>
          <w:color w:val="000000"/>
        </w:rPr>
        <w:t xml:space="preserve">This research study explores two related questions: </w:t>
      </w:r>
    </w:p>
    <w:p w14:paraId="19E1BA4A" w14:textId="1E789F1C" w:rsidR="004C1736" w:rsidRDefault="004C1736" w:rsidP="004C1736">
      <w:pPr>
        <w:pStyle w:val="ListParagraph"/>
        <w:numPr>
          <w:ilvl w:val="0"/>
          <w:numId w:val="5"/>
        </w:numPr>
        <w:spacing w:before="240" w:line="480" w:lineRule="auto"/>
      </w:pPr>
      <w:r w:rsidRPr="004C1736">
        <w:t xml:space="preserve">Do </w:t>
      </w:r>
      <w:r w:rsidR="007F5771">
        <w:t>international immersion</w:t>
      </w:r>
      <w:r w:rsidRPr="004C1736">
        <w:t xml:space="preserve"> experiences affect the perceived level of global competency among future teachers?</w:t>
      </w:r>
    </w:p>
    <w:p w14:paraId="2CCED445" w14:textId="21418A4B" w:rsidR="007F5771" w:rsidRDefault="00980EFA" w:rsidP="007F5771">
      <w:pPr>
        <w:pStyle w:val="ListParagraph"/>
        <w:numPr>
          <w:ilvl w:val="0"/>
          <w:numId w:val="5"/>
        </w:numPr>
        <w:spacing w:before="240" w:line="480" w:lineRule="auto"/>
      </w:pPr>
      <w:r>
        <w:t xml:space="preserve">Do </w:t>
      </w:r>
      <w:proofErr w:type="gramStart"/>
      <w:r w:rsidR="00140EB4">
        <w:t>particular</w:t>
      </w:r>
      <w:r>
        <w:t xml:space="preserve"> structural</w:t>
      </w:r>
      <w:proofErr w:type="gramEnd"/>
      <w:r>
        <w:t xml:space="preserve"> components within the study abroad programs </w:t>
      </w:r>
      <w:r w:rsidR="007F5771">
        <w:t>affect the levels of self-perception</w:t>
      </w:r>
      <w:r w:rsidR="00140EB4">
        <w:t xml:space="preserve"> global competency</w:t>
      </w:r>
      <w:r w:rsidR="007F5771">
        <w:t xml:space="preserve">? </w:t>
      </w:r>
    </w:p>
    <w:p w14:paraId="6DE71982" w14:textId="75CDB0A5" w:rsidR="007F5771" w:rsidRDefault="007F5771" w:rsidP="00C874EC">
      <w:pPr>
        <w:spacing w:before="240" w:line="480" w:lineRule="auto"/>
      </w:pPr>
      <w:r>
        <w:t>To answer these questions, I propose a pretest-posttest research design. A control group is not used in this study given the focus of the study is on examining a self-selected group of participants</w:t>
      </w:r>
      <w:r w:rsidR="00255467">
        <w:t xml:space="preserve"> who choose to participate in</w:t>
      </w:r>
      <w:r>
        <w:t xml:space="preserve"> a</w:t>
      </w:r>
      <w:r w:rsidR="002251F8">
        <w:t xml:space="preserve"> study abroad </w:t>
      </w:r>
      <w:proofErr w:type="gramStart"/>
      <w:r>
        <w:t>program, and</w:t>
      </w:r>
      <w:proofErr w:type="gramEnd"/>
      <w:r>
        <w:t xml:space="preserve"> investigating whether certain structural components of an experience are correlated with the level of global competency perceived.  </w:t>
      </w:r>
    </w:p>
    <w:p w14:paraId="04BB52D0" w14:textId="414DFF2C" w:rsidR="004E4500" w:rsidRPr="004C1736" w:rsidRDefault="004E4500" w:rsidP="004C1736">
      <w:pPr>
        <w:autoSpaceDE w:val="0"/>
        <w:autoSpaceDN w:val="0"/>
        <w:adjustRightInd w:val="0"/>
        <w:spacing w:before="1" w:line="480" w:lineRule="auto"/>
        <w:ind w:right="-14" w:firstLine="720"/>
        <w:rPr>
          <w:color w:val="000000"/>
        </w:rPr>
      </w:pPr>
      <w:r w:rsidRPr="004C1736">
        <w:rPr>
          <w:color w:val="000000"/>
        </w:rPr>
        <w:t>This research design seeks to respond to my hypothesis and null hypothesis:</w:t>
      </w:r>
    </w:p>
    <w:p w14:paraId="1B3EF38B" w14:textId="1C06326F" w:rsidR="004E4500" w:rsidRPr="004C1736" w:rsidRDefault="004E4500" w:rsidP="004C1736">
      <w:pPr>
        <w:pStyle w:val="ListParagraph"/>
        <w:numPr>
          <w:ilvl w:val="0"/>
          <w:numId w:val="6"/>
        </w:numPr>
        <w:autoSpaceDE w:val="0"/>
        <w:autoSpaceDN w:val="0"/>
        <w:adjustRightInd w:val="0"/>
        <w:spacing w:before="1" w:line="480" w:lineRule="auto"/>
        <w:ind w:right="-14"/>
        <w:rPr>
          <w:color w:val="000000"/>
        </w:rPr>
      </w:pPr>
      <w:r w:rsidRPr="004C1736">
        <w:rPr>
          <w:color w:val="000000"/>
          <w:u w:val="single"/>
        </w:rPr>
        <w:t>Hypothesis</w:t>
      </w:r>
      <w:r w:rsidRPr="004C1736">
        <w:rPr>
          <w:color w:val="000000"/>
        </w:rPr>
        <w:t xml:space="preserve">: future teachers (college students intending to enroll or currently enrolled in a teacher certification program) who participate in </w:t>
      </w:r>
      <w:r w:rsidR="002251F8">
        <w:rPr>
          <w:color w:val="000000"/>
        </w:rPr>
        <w:t>study abroad</w:t>
      </w:r>
      <w:r w:rsidRPr="004C1736">
        <w:rPr>
          <w:color w:val="000000"/>
        </w:rPr>
        <w:t xml:space="preserve"> programs </w:t>
      </w:r>
      <w:r w:rsidR="00255467">
        <w:rPr>
          <w:color w:val="000000"/>
        </w:rPr>
        <w:t>improve their global competency, and certain types of programs are more effective than others</w:t>
      </w:r>
      <w:r w:rsidRPr="004C1736">
        <w:rPr>
          <w:color w:val="000000"/>
        </w:rPr>
        <w:t>.</w:t>
      </w:r>
    </w:p>
    <w:p w14:paraId="2E4E0F74" w14:textId="00C42AE9" w:rsidR="004E4500" w:rsidRPr="004C1736" w:rsidRDefault="004E4500" w:rsidP="004C1736">
      <w:pPr>
        <w:pStyle w:val="ListParagraph"/>
        <w:numPr>
          <w:ilvl w:val="0"/>
          <w:numId w:val="6"/>
        </w:numPr>
        <w:autoSpaceDE w:val="0"/>
        <w:autoSpaceDN w:val="0"/>
        <w:adjustRightInd w:val="0"/>
        <w:spacing w:before="1" w:line="480" w:lineRule="auto"/>
        <w:ind w:right="-14"/>
        <w:rPr>
          <w:color w:val="000000"/>
        </w:rPr>
      </w:pPr>
      <w:r w:rsidRPr="004C1736">
        <w:rPr>
          <w:color w:val="000000"/>
          <w:u w:val="single"/>
        </w:rPr>
        <w:t>Null hypothesis</w:t>
      </w:r>
      <w:r w:rsidR="00F168DD" w:rsidRPr="004C1736">
        <w:rPr>
          <w:color w:val="000000"/>
          <w:u w:val="single"/>
        </w:rPr>
        <w:t>:</w:t>
      </w:r>
      <w:r w:rsidRPr="004C1736">
        <w:rPr>
          <w:color w:val="000000"/>
        </w:rPr>
        <w:t xml:space="preserve"> </w:t>
      </w:r>
      <w:r w:rsidR="002251F8">
        <w:rPr>
          <w:color w:val="000000"/>
        </w:rPr>
        <w:t>study abroad</w:t>
      </w:r>
      <w:r w:rsidRPr="004C1736">
        <w:rPr>
          <w:color w:val="000000"/>
        </w:rPr>
        <w:t xml:space="preserve"> programs do not </w:t>
      </w:r>
      <w:r w:rsidR="00255467">
        <w:rPr>
          <w:color w:val="000000"/>
        </w:rPr>
        <w:t xml:space="preserve">improve global competency </w:t>
      </w:r>
      <w:r w:rsidRPr="004C1736">
        <w:rPr>
          <w:color w:val="000000"/>
        </w:rPr>
        <w:t>among future teachers (as defined)</w:t>
      </w:r>
      <w:r w:rsidR="00255467">
        <w:rPr>
          <w:color w:val="000000"/>
        </w:rPr>
        <w:t>, and the structure of a program has no impact</w:t>
      </w:r>
      <w:r w:rsidRPr="004C1736">
        <w:rPr>
          <w:color w:val="000000"/>
        </w:rPr>
        <w:t>.</w:t>
      </w:r>
    </w:p>
    <w:p w14:paraId="7E4E87B7" w14:textId="77777777" w:rsidR="00AD6642" w:rsidRPr="004C1736" w:rsidRDefault="00AD6642" w:rsidP="004E4500">
      <w:pPr>
        <w:autoSpaceDE w:val="0"/>
        <w:autoSpaceDN w:val="0"/>
        <w:adjustRightInd w:val="0"/>
        <w:spacing w:before="1"/>
        <w:ind w:right="-20"/>
        <w:rPr>
          <w:color w:val="000000"/>
        </w:rPr>
      </w:pPr>
    </w:p>
    <w:p w14:paraId="28102E3D" w14:textId="0291E284" w:rsidR="004E4500" w:rsidRPr="004C1736" w:rsidRDefault="004E4500" w:rsidP="004E4500">
      <w:pPr>
        <w:autoSpaceDE w:val="0"/>
        <w:autoSpaceDN w:val="0"/>
        <w:adjustRightInd w:val="0"/>
        <w:spacing w:before="1"/>
        <w:ind w:right="-20"/>
        <w:rPr>
          <w:b/>
          <w:bCs/>
          <w:color w:val="000000"/>
        </w:rPr>
      </w:pPr>
      <w:r w:rsidRPr="004C1736">
        <w:rPr>
          <w:b/>
          <w:bCs/>
          <w:color w:val="000000"/>
        </w:rPr>
        <w:t>Participant</w:t>
      </w:r>
      <w:r w:rsidR="00107A91">
        <w:rPr>
          <w:b/>
          <w:bCs/>
          <w:color w:val="000000"/>
        </w:rPr>
        <w:t xml:space="preserve"> Selection</w:t>
      </w:r>
    </w:p>
    <w:p w14:paraId="0A86625F" w14:textId="60788650" w:rsidR="004E4500" w:rsidRPr="004C1736" w:rsidRDefault="004E4500" w:rsidP="004E4500">
      <w:pPr>
        <w:autoSpaceDE w:val="0"/>
        <w:autoSpaceDN w:val="0"/>
        <w:adjustRightInd w:val="0"/>
        <w:spacing w:before="1"/>
        <w:ind w:right="-20"/>
        <w:rPr>
          <w:color w:val="000000"/>
        </w:rPr>
      </w:pPr>
    </w:p>
    <w:p w14:paraId="184B86D3" w14:textId="4ABCFC76" w:rsidR="004E4500" w:rsidRDefault="00255467" w:rsidP="002251F8">
      <w:pPr>
        <w:autoSpaceDE w:val="0"/>
        <w:autoSpaceDN w:val="0"/>
        <w:adjustRightInd w:val="0"/>
        <w:spacing w:before="1" w:line="480" w:lineRule="auto"/>
        <w:ind w:right="-14" w:firstLine="720"/>
        <w:rPr>
          <w:color w:val="000000"/>
        </w:rPr>
      </w:pPr>
      <w:r>
        <w:rPr>
          <w:color w:val="000000"/>
        </w:rPr>
        <w:t xml:space="preserve">This study will use convenience sampling.  </w:t>
      </w:r>
      <w:r w:rsidR="004E4500" w:rsidRPr="004C1736">
        <w:rPr>
          <w:color w:val="000000"/>
        </w:rPr>
        <w:t xml:space="preserve">Participants </w:t>
      </w:r>
      <w:r w:rsidR="00C475CB">
        <w:rPr>
          <w:color w:val="000000"/>
        </w:rPr>
        <w:t>will be drawn</w:t>
      </w:r>
      <w:r w:rsidR="004E4500" w:rsidRPr="004C1736">
        <w:rPr>
          <w:color w:val="000000"/>
        </w:rPr>
        <w:t xml:space="preserve"> from</w:t>
      </w:r>
      <w:r w:rsidR="004C1736" w:rsidRPr="004C1736">
        <w:rPr>
          <w:color w:val="000000"/>
        </w:rPr>
        <w:t xml:space="preserve"> </w:t>
      </w:r>
      <w:r w:rsidR="004E4500" w:rsidRPr="004C1736">
        <w:rPr>
          <w:color w:val="000000"/>
        </w:rPr>
        <w:t xml:space="preserve">three targeted universities, each of which have a robust </w:t>
      </w:r>
      <w:r w:rsidR="007C4F18">
        <w:rPr>
          <w:color w:val="000000"/>
        </w:rPr>
        <w:t>study abroad</w:t>
      </w:r>
      <w:r w:rsidR="004E4500" w:rsidRPr="004C1736">
        <w:rPr>
          <w:color w:val="000000"/>
        </w:rPr>
        <w:t xml:space="preserve"> program and teacher certification </w:t>
      </w:r>
      <w:r w:rsidR="004E4500" w:rsidRPr="004C1736">
        <w:rPr>
          <w:color w:val="000000"/>
        </w:rPr>
        <w:lastRenderedPageBreak/>
        <w:t>program. The proposed universities are University of Washington</w:t>
      </w:r>
      <w:r w:rsidR="00C475CB">
        <w:rPr>
          <w:color w:val="000000"/>
        </w:rPr>
        <w:t xml:space="preserve"> (Seattle)</w:t>
      </w:r>
      <w:r w:rsidR="004E4500" w:rsidRPr="004C1736">
        <w:rPr>
          <w:color w:val="000000"/>
        </w:rPr>
        <w:t>, University</w:t>
      </w:r>
      <w:r w:rsidR="00C475CB">
        <w:rPr>
          <w:color w:val="000000"/>
        </w:rPr>
        <w:t xml:space="preserve"> of Texas (Austin)</w:t>
      </w:r>
      <w:r w:rsidR="004E4500" w:rsidRPr="004C1736">
        <w:rPr>
          <w:color w:val="000000"/>
        </w:rPr>
        <w:t>, and University</w:t>
      </w:r>
      <w:r w:rsidR="00C475CB">
        <w:rPr>
          <w:color w:val="000000"/>
        </w:rPr>
        <w:t xml:space="preserve"> of Maryland (College Park)</w:t>
      </w:r>
      <w:r w:rsidR="00920CBF">
        <w:rPr>
          <w:color w:val="000000"/>
        </w:rPr>
        <w:t xml:space="preserve">, each of which </w:t>
      </w:r>
      <w:r w:rsidR="00920CBF" w:rsidRPr="004C1736">
        <w:rPr>
          <w:color w:val="000000"/>
        </w:rPr>
        <w:t>is a public institution</w:t>
      </w:r>
      <w:r w:rsidR="00173F06">
        <w:rPr>
          <w:color w:val="000000"/>
        </w:rPr>
        <w:t>, of similar size, and</w:t>
      </w:r>
      <w:r w:rsidR="00920CBF" w:rsidRPr="004C1736">
        <w:rPr>
          <w:color w:val="000000"/>
        </w:rPr>
        <w:t xml:space="preserve"> with a similar level of diversity among the student body (College Factual, 2020).</w:t>
      </w:r>
      <w:r w:rsidR="004E4500" w:rsidRPr="004C1736">
        <w:rPr>
          <w:color w:val="000000"/>
        </w:rPr>
        <w:t xml:space="preserve">  These three universities</w:t>
      </w:r>
      <w:r w:rsidR="00173F06">
        <w:rPr>
          <w:color w:val="000000"/>
        </w:rPr>
        <w:t xml:space="preserve"> </w:t>
      </w:r>
      <w:r w:rsidR="004E4500" w:rsidRPr="004C1736">
        <w:rPr>
          <w:color w:val="000000"/>
        </w:rPr>
        <w:t xml:space="preserve">are intentionally chosen from three distinct parts of the United </w:t>
      </w:r>
      <w:commentRangeStart w:id="5"/>
      <w:r w:rsidR="004E4500" w:rsidRPr="004C1736">
        <w:rPr>
          <w:color w:val="000000"/>
        </w:rPr>
        <w:t>States</w:t>
      </w:r>
      <w:commentRangeEnd w:id="5"/>
      <w:r w:rsidR="004C6D63">
        <w:rPr>
          <w:rStyle w:val="CommentReference"/>
        </w:rPr>
        <w:commentReference w:id="5"/>
      </w:r>
      <w:r w:rsidR="004E4500" w:rsidRPr="004C1736">
        <w:rPr>
          <w:color w:val="000000"/>
        </w:rPr>
        <w:t xml:space="preserve"> to help provide </w:t>
      </w:r>
      <w:r w:rsidR="00920CBF">
        <w:rPr>
          <w:color w:val="000000"/>
        </w:rPr>
        <w:t xml:space="preserve">geographic </w:t>
      </w:r>
      <w:r w:rsidR="004E4500" w:rsidRPr="004C1736">
        <w:rPr>
          <w:color w:val="000000"/>
        </w:rPr>
        <w:t>diversity in the</w:t>
      </w:r>
      <w:r w:rsidR="00C475CB">
        <w:rPr>
          <w:color w:val="000000"/>
        </w:rPr>
        <w:t xml:space="preserve"> </w:t>
      </w:r>
      <w:r w:rsidR="004E4500" w:rsidRPr="004C1736">
        <w:rPr>
          <w:color w:val="000000"/>
        </w:rPr>
        <w:t xml:space="preserve">universities represented by the participants included in this research study.  </w:t>
      </w:r>
      <w:r w:rsidR="00920CBF">
        <w:rPr>
          <w:color w:val="000000"/>
        </w:rPr>
        <w:t>E</w:t>
      </w:r>
      <w:r w:rsidR="004E4500" w:rsidRPr="004C1736">
        <w:rPr>
          <w:color w:val="000000"/>
        </w:rPr>
        <w:t xml:space="preserve">ach of these universities has robust </w:t>
      </w:r>
      <w:r w:rsidR="004C1736" w:rsidRPr="004C1736">
        <w:rPr>
          <w:color w:val="000000"/>
        </w:rPr>
        <w:t xml:space="preserve">and recognized </w:t>
      </w:r>
      <w:r w:rsidR="004E4500" w:rsidRPr="004C1736">
        <w:rPr>
          <w:color w:val="000000"/>
        </w:rPr>
        <w:t>study abroad programs that are widely integrated into the culture and curriculum options of the university.</w:t>
      </w:r>
      <w:r w:rsidR="004C1736" w:rsidRPr="004C1736">
        <w:rPr>
          <w:color w:val="000000"/>
        </w:rPr>
        <w:t xml:space="preserve"> </w:t>
      </w:r>
      <w:r w:rsidR="00C475CB">
        <w:rPr>
          <w:color w:val="000000"/>
        </w:rPr>
        <w:t>Below is a summary chart briefly outlining the s</w:t>
      </w:r>
      <w:r w:rsidR="0008135C">
        <w:rPr>
          <w:color w:val="000000"/>
        </w:rPr>
        <w:t>chools, average number and percentage</w:t>
      </w:r>
      <w:r w:rsidR="00173F06">
        <w:rPr>
          <w:color w:val="000000"/>
        </w:rPr>
        <w:t xml:space="preserve"> </w:t>
      </w:r>
      <w:r w:rsidR="0008135C">
        <w:rPr>
          <w:color w:val="000000"/>
        </w:rPr>
        <w:t>of students participating in a</w:t>
      </w:r>
      <w:r w:rsidR="007C4F18">
        <w:rPr>
          <w:color w:val="000000"/>
        </w:rPr>
        <w:t xml:space="preserve"> </w:t>
      </w:r>
      <w:r w:rsidR="0008135C">
        <w:rPr>
          <w:color w:val="000000"/>
        </w:rPr>
        <w:t xml:space="preserve">study abroad program, average number of </w:t>
      </w:r>
      <w:proofErr w:type="gramStart"/>
      <w:r w:rsidR="00F32B96">
        <w:rPr>
          <w:color w:val="000000"/>
        </w:rPr>
        <w:t>study</w:t>
      </w:r>
      <w:proofErr w:type="gramEnd"/>
      <w:r w:rsidR="00F32B96">
        <w:rPr>
          <w:color w:val="000000"/>
        </w:rPr>
        <w:t xml:space="preserve"> abroad</w:t>
      </w:r>
      <w:r w:rsidR="0008135C">
        <w:rPr>
          <w:color w:val="000000"/>
        </w:rPr>
        <w:t xml:space="preserve"> programs offered at the university, and the reported percent of students self-identifying as minorities.  </w:t>
      </w:r>
    </w:p>
    <w:p w14:paraId="4F2E0B44" w14:textId="347305B9" w:rsidR="00DD6696" w:rsidRDefault="00DD6696" w:rsidP="00C874EC">
      <w:pPr>
        <w:autoSpaceDE w:val="0"/>
        <w:autoSpaceDN w:val="0"/>
        <w:adjustRightInd w:val="0"/>
        <w:spacing w:before="1" w:line="480" w:lineRule="auto"/>
        <w:ind w:right="-14"/>
        <w:rPr>
          <w:color w:val="000000"/>
          <w:sz w:val="22"/>
          <w:szCs w:val="22"/>
        </w:rPr>
      </w:pPr>
    </w:p>
    <w:p w14:paraId="3BAF51C4" w14:textId="649EC527" w:rsidR="00DD6696" w:rsidRDefault="00DD6696" w:rsidP="00C874EC">
      <w:pPr>
        <w:autoSpaceDE w:val="0"/>
        <w:autoSpaceDN w:val="0"/>
        <w:adjustRightInd w:val="0"/>
        <w:spacing w:before="1" w:line="480" w:lineRule="auto"/>
        <w:ind w:right="-14"/>
        <w:rPr>
          <w:color w:val="000000"/>
          <w:sz w:val="22"/>
          <w:szCs w:val="22"/>
        </w:rPr>
      </w:pPr>
    </w:p>
    <w:p w14:paraId="39FE5165" w14:textId="6C855C91" w:rsidR="00AE7087" w:rsidRDefault="00AE7087" w:rsidP="00C874EC">
      <w:pPr>
        <w:autoSpaceDE w:val="0"/>
        <w:autoSpaceDN w:val="0"/>
        <w:adjustRightInd w:val="0"/>
        <w:spacing w:before="1" w:line="480" w:lineRule="auto"/>
        <w:ind w:right="-14"/>
        <w:rPr>
          <w:color w:val="000000"/>
          <w:sz w:val="22"/>
          <w:szCs w:val="22"/>
        </w:rPr>
      </w:pPr>
    </w:p>
    <w:p w14:paraId="533D0E73" w14:textId="686041A5" w:rsidR="00AE7087" w:rsidRDefault="00AE7087" w:rsidP="00C874EC">
      <w:pPr>
        <w:autoSpaceDE w:val="0"/>
        <w:autoSpaceDN w:val="0"/>
        <w:adjustRightInd w:val="0"/>
        <w:spacing w:before="1" w:line="480" w:lineRule="auto"/>
        <w:ind w:right="-14"/>
        <w:rPr>
          <w:color w:val="000000"/>
          <w:sz w:val="22"/>
          <w:szCs w:val="22"/>
        </w:rPr>
      </w:pPr>
    </w:p>
    <w:p w14:paraId="4FC3380C" w14:textId="0F4A0DC9" w:rsidR="00AE7087" w:rsidRDefault="00AE7087" w:rsidP="00C874EC">
      <w:pPr>
        <w:autoSpaceDE w:val="0"/>
        <w:autoSpaceDN w:val="0"/>
        <w:adjustRightInd w:val="0"/>
        <w:spacing w:before="1" w:line="480" w:lineRule="auto"/>
        <w:ind w:right="-14"/>
        <w:rPr>
          <w:color w:val="000000"/>
          <w:sz w:val="22"/>
          <w:szCs w:val="22"/>
        </w:rPr>
      </w:pPr>
    </w:p>
    <w:p w14:paraId="26FFA14D" w14:textId="77777777" w:rsidR="00AE7087" w:rsidRDefault="00AE7087" w:rsidP="00C874EC">
      <w:pPr>
        <w:autoSpaceDE w:val="0"/>
        <w:autoSpaceDN w:val="0"/>
        <w:adjustRightInd w:val="0"/>
        <w:spacing w:before="1" w:line="480" w:lineRule="auto"/>
        <w:ind w:right="-14"/>
        <w:rPr>
          <w:color w:val="000000"/>
          <w:sz w:val="22"/>
          <w:szCs w:val="22"/>
        </w:rPr>
      </w:pPr>
    </w:p>
    <w:p w14:paraId="753E08F9" w14:textId="77777777" w:rsidR="00DD6696" w:rsidRDefault="00DD6696" w:rsidP="00C874EC">
      <w:pPr>
        <w:autoSpaceDE w:val="0"/>
        <w:autoSpaceDN w:val="0"/>
        <w:adjustRightInd w:val="0"/>
        <w:spacing w:before="1" w:line="480" w:lineRule="auto"/>
        <w:ind w:right="-14"/>
        <w:rPr>
          <w:color w:val="000000"/>
          <w:sz w:val="22"/>
          <w:szCs w:val="22"/>
        </w:rPr>
      </w:pPr>
    </w:p>
    <w:tbl>
      <w:tblPr>
        <w:tblpPr w:leftFromText="180" w:rightFromText="180" w:vertAnchor="text" w:horzAnchor="margin" w:tblpXSpec="center" w:tblpY="141"/>
        <w:tblW w:w="11720" w:type="dxa"/>
        <w:tblLook w:val="04A0" w:firstRow="1" w:lastRow="0" w:firstColumn="1" w:lastColumn="0" w:noHBand="0" w:noVBand="1"/>
      </w:tblPr>
      <w:tblGrid>
        <w:gridCol w:w="1520"/>
        <w:gridCol w:w="1520"/>
        <w:gridCol w:w="1520"/>
        <w:gridCol w:w="1520"/>
        <w:gridCol w:w="1520"/>
        <w:gridCol w:w="1520"/>
        <w:gridCol w:w="1300"/>
        <w:gridCol w:w="1300"/>
      </w:tblGrid>
      <w:tr w:rsidR="005B665A" w14:paraId="23D7F72E" w14:textId="77777777" w:rsidTr="003960CC">
        <w:trPr>
          <w:trHeight w:val="320"/>
        </w:trPr>
        <w:tc>
          <w:tcPr>
            <w:tcW w:w="9120" w:type="dxa"/>
            <w:gridSpan w:val="6"/>
            <w:tcBorders>
              <w:top w:val="nil"/>
              <w:left w:val="nil"/>
              <w:bottom w:val="nil"/>
              <w:right w:val="nil"/>
            </w:tcBorders>
            <w:shd w:val="clear" w:color="auto" w:fill="auto"/>
            <w:noWrap/>
            <w:vAlign w:val="bottom"/>
            <w:hideMark/>
          </w:tcPr>
          <w:p w14:paraId="2FE4331B" w14:textId="77777777" w:rsidR="005B665A" w:rsidRDefault="005B665A" w:rsidP="003960CC">
            <w:pPr>
              <w:rPr>
                <w:rFonts w:ascii="Calibri" w:hAnsi="Calibri" w:cs="Calibri"/>
                <w:color w:val="000000"/>
              </w:rPr>
            </w:pPr>
            <w:r>
              <w:rPr>
                <w:rFonts w:ascii="Calibri" w:hAnsi="Calibri" w:cs="Calibri"/>
                <w:color w:val="000000"/>
              </w:rPr>
              <w:t xml:space="preserve">Brief overview of target schools and international immersion (IM) reported </w:t>
            </w:r>
            <w:commentRangeStart w:id="6"/>
            <w:r>
              <w:rPr>
                <w:rFonts w:ascii="Calibri" w:hAnsi="Calibri" w:cs="Calibri"/>
                <w:color w:val="000000"/>
              </w:rPr>
              <w:t>data</w:t>
            </w:r>
            <w:commentRangeEnd w:id="6"/>
            <w:r w:rsidR="004C6D63">
              <w:rPr>
                <w:rStyle w:val="CommentReference"/>
              </w:rPr>
              <w:commentReference w:id="6"/>
            </w:r>
            <w:r>
              <w:rPr>
                <w:rFonts w:ascii="Calibri" w:hAnsi="Calibri" w:cs="Calibri"/>
                <w:color w:val="000000"/>
              </w:rPr>
              <w:t>*</w:t>
            </w:r>
          </w:p>
        </w:tc>
        <w:tc>
          <w:tcPr>
            <w:tcW w:w="1300" w:type="dxa"/>
            <w:tcBorders>
              <w:top w:val="nil"/>
              <w:left w:val="nil"/>
              <w:bottom w:val="nil"/>
              <w:right w:val="nil"/>
            </w:tcBorders>
            <w:shd w:val="clear" w:color="auto" w:fill="auto"/>
            <w:noWrap/>
            <w:vAlign w:val="bottom"/>
            <w:hideMark/>
          </w:tcPr>
          <w:p w14:paraId="60896B4C" w14:textId="77777777" w:rsidR="005B665A" w:rsidRDefault="005B665A" w:rsidP="003960CC">
            <w:pP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14:paraId="12E6304F" w14:textId="77777777" w:rsidR="005B665A" w:rsidRDefault="005B665A" w:rsidP="003960CC">
            <w:pPr>
              <w:rPr>
                <w:sz w:val="20"/>
                <w:szCs w:val="20"/>
              </w:rPr>
            </w:pPr>
          </w:p>
        </w:tc>
      </w:tr>
      <w:tr w:rsidR="005B665A" w14:paraId="377541A3" w14:textId="77777777" w:rsidTr="003960CC">
        <w:trPr>
          <w:trHeight w:val="1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26732" w14:textId="77777777" w:rsidR="005B665A" w:rsidRDefault="005B665A" w:rsidP="003960CC">
            <w:pPr>
              <w:jc w:val="center"/>
              <w:rPr>
                <w:b/>
                <w:bCs/>
                <w:color w:val="000000"/>
                <w:sz w:val="22"/>
                <w:szCs w:val="22"/>
              </w:rPr>
            </w:pPr>
            <w:r>
              <w:rPr>
                <w:b/>
                <w:bCs/>
                <w:color w:val="000000"/>
                <w:sz w:val="22"/>
                <w:szCs w:val="22"/>
              </w:rPr>
              <w:t>School</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BADA794" w14:textId="77777777" w:rsidR="005B665A" w:rsidRDefault="005B665A" w:rsidP="003960CC">
            <w:pPr>
              <w:jc w:val="center"/>
              <w:rPr>
                <w:b/>
                <w:bCs/>
                <w:color w:val="000000"/>
                <w:sz w:val="22"/>
                <w:szCs w:val="22"/>
              </w:rPr>
            </w:pPr>
            <w:r>
              <w:rPr>
                <w:b/>
                <w:bCs/>
                <w:color w:val="000000"/>
                <w:sz w:val="22"/>
                <w:szCs w:val="22"/>
              </w:rPr>
              <w:t>Location</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002BE5F" w14:textId="77777777" w:rsidR="005B665A" w:rsidRDefault="005B665A" w:rsidP="003960CC">
            <w:pPr>
              <w:jc w:val="center"/>
              <w:rPr>
                <w:b/>
                <w:bCs/>
                <w:color w:val="000000"/>
                <w:sz w:val="22"/>
                <w:szCs w:val="22"/>
              </w:rPr>
            </w:pPr>
            <w:r>
              <w:rPr>
                <w:b/>
                <w:bCs/>
                <w:color w:val="000000"/>
                <w:sz w:val="22"/>
                <w:szCs w:val="22"/>
              </w:rPr>
              <w:t>Total no. of students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44E01AD" w14:textId="77777777" w:rsidR="005B665A" w:rsidRDefault="005B665A" w:rsidP="003960CC">
            <w:pPr>
              <w:jc w:val="center"/>
              <w:rPr>
                <w:b/>
                <w:bCs/>
                <w:color w:val="000000"/>
                <w:sz w:val="22"/>
                <w:szCs w:val="22"/>
              </w:rPr>
            </w:pPr>
            <w:r>
              <w:rPr>
                <w:b/>
                <w:bCs/>
                <w:color w:val="000000"/>
                <w:sz w:val="22"/>
                <w:szCs w:val="22"/>
              </w:rPr>
              <w:t xml:space="preserve">Avg tuition (after </w:t>
            </w:r>
            <w:proofErr w:type="gramStart"/>
            <w:r>
              <w:rPr>
                <w:b/>
                <w:bCs/>
                <w:color w:val="000000"/>
                <w:sz w:val="22"/>
                <w:szCs w:val="22"/>
              </w:rPr>
              <w:t>aid)*</w:t>
            </w:r>
            <w:proofErr w:type="gramEnd"/>
            <w:r>
              <w:rPr>
                <w:b/>
                <w:bCs/>
                <w:color w:val="000000"/>
                <w:sz w:val="22"/>
                <w:szCs w:val="22"/>
              </w:rPr>
              <w:t>*</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FA32868" w14:textId="77777777" w:rsidR="005B665A" w:rsidRDefault="005B665A" w:rsidP="003960CC">
            <w:pPr>
              <w:jc w:val="center"/>
              <w:rPr>
                <w:b/>
                <w:bCs/>
                <w:color w:val="000000"/>
                <w:sz w:val="22"/>
                <w:szCs w:val="22"/>
              </w:rPr>
            </w:pPr>
            <w:r>
              <w:rPr>
                <w:b/>
                <w:bCs/>
                <w:color w:val="000000"/>
                <w:sz w:val="22"/>
                <w:szCs w:val="22"/>
              </w:rPr>
              <w:t xml:space="preserve">% </w:t>
            </w:r>
            <w:proofErr w:type="gramStart"/>
            <w:r>
              <w:rPr>
                <w:b/>
                <w:bCs/>
                <w:color w:val="000000"/>
                <w:sz w:val="22"/>
                <w:szCs w:val="22"/>
              </w:rPr>
              <w:t>of</w:t>
            </w:r>
            <w:proofErr w:type="gramEnd"/>
            <w:r>
              <w:rPr>
                <w:b/>
                <w:bCs/>
                <w:color w:val="000000"/>
                <w:sz w:val="22"/>
                <w:szCs w:val="22"/>
              </w:rPr>
              <w:t xml:space="preserve"> student minorities**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1520076" w14:textId="77777777" w:rsidR="005B665A" w:rsidRDefault="005B665A" w:rsidP="003960CC">
            <w:pPr>
              <w:jc w:val="center"/>
              <w:rPr>
                <w:b/>
                <w:bCs/>
                <w:color w:val="000000"/>
                <w:sz w:val="22"/>
                <w:szCs w:val="22"/>
              </w:rPr>
            </w:pPr>
            <w:r>
              <w:rPr>
                <w:b/>
                <w:bCs/>
                <w:color w:val="000000"/>
                <w:sz w:val="22"/>
                <w:szCs w:val="22"/>
              </w:rPr>
              <w:t>No. and % of students participating in IM programs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1E8912D" w14:textId="77777777" w:rsidR="005B665A" w:rsidRDefault="005B665A" w:rsidP="003960CC">
            <w:pPr>
              <w:jc w:val="center"/>
              <w:rPr>
                <w:b/>
                <w:bCs/>
                <w:color w:val="000000"/>
                <w:sz w:val="22"/>
                <w:szCs w:val="22"/>
              </w:rPr>
            </w:pPr>
            <w:r>
              <w:rPr>
                <w:b/>
                <w:bCs/>
                <w:color w:val="000000"/>
                <w:sz w:val="22"/>
                <w:szCs w:val="22"/>
              </w:rPr>
              <w:t>No of IM programs</w:t>
            </w:r>
          </w:p>
        </w:tc>
        <w:tc>
          <w:tcPr>
            <w:tcW w:w="1300" w:type="dxa"/>
            <w:tcBorders>
              <w:top w:val="nil"/>
              <w:left w:val="nil"/>
              <w:bottom w:val="nil"/>
              <w:right w:val="nil"/>
            </w:tcBorders>
            <w:shd w:val="clear" w:color="auto" w:fill="auto"/>
            <w:noWrap/>
            <w:vAlign w:val="bottom"/>
            <w:hideMark/>
          </w:tcPr>
          <w:p w14:paraId="52162AD0" w14:textId="77777777" w:rsidR="005B665A" w:rsidRDefault="005B665A" w:rsidP="003960CC">
            <w:pPr>
              <w:jc w:val="center"/>
              <w:rPr>
                <w:b/>
                <w:bCs/>
                <w:color w:val="000000"/>
                <w:sz w:val="22"/>
                <w:szCs w:val="22"/>
              </w:rPr>
            </w:pPr>
          </w:p>
        </w:tc>
      </w:tr>
      <w:tr w:rsidR="005B665A" w14:paraId="676044AA" w14:textId="77777777" w:rsidTr="003960CC">
        <w:trPr>
          <w:trHeight w:val="6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863CD0D" w14:textId="77777777" w:rsidR="005B665A" w:rsidRDefault="005B665A" w:rsidP="003960CC">
            <w:pPr>
              <w:rPr>
                <w:color w:val="000000"/>
                <w:sz w:val="22"/>
                <w:szCs w:val="22"/>
              </w:rPr>
            </w:pPr>
            <w:r>
              <w:rPr>
                <w:color w:val="000000"/>
                <w:sz w:val="22"/>
                <w:szCs w:val="22"/>
              </w:rPr>
              <w:t>University of Washington</w:t>
            </w:r>
          </w:p>
        </w:tc>
        <w:tc>
          <w:tcPr>
            <w:tcW w:w="1520" w:type="dxa"/>
            <w:tcBorders>
              <w:top w:val="nil"/>
              <w:left w:val="nil"/>
              <w:bottom w:val="single" w:sz="4" w:space="0" w:color="auto"/>
              <w:right w:val="single" w:sz="4" w:space="0" w:color="auto"/>
            </w:tcBorders>
            <w:shd w:val="clear" w:color="auto" w:fill="auto"/>
            <w:vAlign w:val="center"/>
            <w:hideMark/>
          </w:tcPr>
          <w:p w14:paraId="17BE4677" w14:textId="77777777" w:rsidR="005B665A" w:rsidRDefault="005B665A" w:rsidP="003960CC">
            <w:pPr>
              <w:rPr>
                <w:color w:val="000000"/>
                <w:sz w:val="22"/>
                <w:szCs w:val="22"/>
              </w:rPr>
            </w:pPr>
            <w:r>
              <w:rPr>
                <w:color w:val="000000"/>
                <w:sz w:val="22"/>
                <w:szCs w:val="22"/>
              </w:rPr>
              <w:t>Seattle, WA</w:t>
            </w:r>
          </w:p>
        </w:tc>
        <w:tc>
          <w:tcPr>
            <w:tcW w:w="1520" w:type="dxa"/>
            <w:tcBorders>
              <w:top w:val="nil"/>
              <w:left w:val="nil"/>
              <w:bottom w:val="single" w:sz="4" w:space="0" w:color="auto"/>
              <w:right w:val="single" w:sz="4" w:space="0" w:color="auto"/>
            </w:tcBorders>
            <w:shd w:val="clear" w:color="auto" w:fill="auto"/>
            <w:vAlign w:val="center"/>
            <w:hideMark/>
          </w:tcPr>
          <w:p w14:paraId="79A1F56E" w14:textId="77777777" w:rsidR="005B665A" w:rsidRDefault="005B665A" w:rsidP="003960CC">
            <w:pPr>
              <w:jc w:val="right"/>
              <w:rPr>
                <w:color w:val="000000"/>
                <w:sz w:val="22"/>
                <w:szCs w:val="22"/>
              </w:rPr>
            </w:pPr>
            <w:r>
              <w:rPr>
                <w:color w:val="000000"/>
                <w:sz w:val="22"/>
                <w:szCs w:val="22"/>
              </w:rPr>
              <w:t>54,000</w:t>
            </w:r>
          </w:p>
        </w:tc>
        <w:tc>
          <w:tcPr>
            <w:tcW w:w="1520" w:type="dxa"/>
            <w:tcBorders>
              <w:top w:val="nil"/>
              <w:left w:val="nil"/>
              <w:bottom w:val="single" w:sz="4" w:space="0" w:color="auto"/>
              <w:right w:val="single" w:sz="4" w:space="0" w:color="auto"/>
            </w:tcBorders>
            <w:shd w:val="clear" w:color="auto" w:fill="auto"/>
            <w:vAlign w:val="center"/>
            <w:hideMark/>
          </w:tcPr>
          <w:p w14:paraId="555171A0" w14:textId="77777777" w:rsidR="005B665A" w:rsidRDefault="005B665A" w:rsidP="003960CC">
            <w:pPr>
              <w:jc w:val="right"/>
              <w:rPr>
                <w:color w:val="000000"/>
                <w:sz w:val="22"/>
                <w:szCs w:val="22"/>
              </w:rPr>
            </w:pPr>
            <w:r>
              <w:rPr>
                <w:color w:val="000000"/>
                <w:sz w:val="22"/>
                <w:szCs w:val="22"/>
              </w:rPr>
              <w:t xml:space="preserve">$12,899 </w:t>
            </w:r>
          </w:p>
        </w:tc>
        <w:tc>
          <w:tcPr>
            <w:tcW w:w="1520" w:type="dxa"/>
            <w:tcBorders>
              <w:top w:val="nil"/>
              <w:left w:val="nil"/>
              <w:bottom w:val="single" w:sz="4" w:space="0" w:color="auto"/>
              <w:right w:val="single" w:sz="4" w:space="0" w:color="auto"/>
            </w:tcBorders>
            <w:shd w:val="clear" w:color="auto" w:fill="auto"/>
            <w:noWrap/>
            <w:vAlign w:val="bottom"/>
            <w:hideMark/>
          </w:tcPr>
          <w:p w14:paraId="3080D9EC" w14:textId="77777777" w:rsidR="005B665A" w:rsidRDefault="005B665A" w:rsidP="003960CC">
            <w:pPr>
              <w:jc w:val="right"/>
              <w:rPr>
                <w:color w:val="000000"/>
              </w:rPr>
            </w:pPr>
            <w:r>
              <w:rPr>
                <w:color w:val="000000"/>
              </w:rPr>
              <w:t>43.70%</w:t>
            </w:r>
          </w:p>
        </w:tc>
        <w:tc>
          <w:tcPr>
            <w:tcW w:w="1520" w:type="dxa"/>
            <w:tcBorders>
              <w:top w:val="nil"/>
              <w:left w:val="nil"/>
              <w:bottom w:val="single" w:sz="4" w:space="0" w:color="auto"/>
              <w:right w:val="single" w:sz="4" w:space="0" w:color="auto"/>
            </w:tcBorders>
            <w:shd w:val="clear" w:color="auto" w:fill="auto"/>
            <w:vAlign w:val="center"/>
            <w:hideMark/>
          </w:tcPr>
          <w:p w14:paraId="5A35018F" w14:textId="77777777" w:rsidR="005B665A" w:rsidRDefault="005B665A" w:rsidP="003960CC">
            <w:pPr>
              <w:rPr>
                <w:color w:val="000000"/>
                <w:sz w:val="22"/>
                <w:szCs w:val="22"/>
              </w:rPr>
            </w:pPr>
            <w:r>
              <w:rPr>
                <w:color w:val="000000"/>
                <w:sz w:val="22"/>
                <w:szCs w:val="22"/>
              </w:rPr>
              <w:t>2600 students or 5% of total</w:t>
            </w:r>
          </w:p>
        </w:tc>
        <w:tc>
          <w:tcPr>
            <w:tcW w:w="1300" w:type="dxa"/>
            <w:tcBorders>
              <w:top w:val="nil"/>
              <w:left w:val="nil"/>
              <w:bottom w:val="single" w:sz="4" w:space="0" w:color="auto"/>
              <w:right w:val="single" w:sz="4" w:space="0" w:color="auto"/>
            </w:tcBorders>
            <w:shd w:val="clear" w:color="auto" w:fill="auto"/>
            <w:noWrap/>
            <w:vAlign w:val="center"/>
            <w:hideMark/>
          </w:tcPr>
          <w:p w14:paraId="3E89A816" w14:textId="77777777" w:rsidR="005B665A" w:rsidRDefault="005B665A" w:rsidP="003960CC">
            <w:pPr>
              <w:jc w:val="right"/>
              <w:rPr>
                <w:color w:val="000000"/>
                <w:sz w:val="22"/>
                <w:szCs w:val="22"/>
              </w:rPr>
            </w:pPr>
            <w:r>
              <w:rPr>
                <w:color w:val="000000"/>
                <w:sz w:val="22"/>
                <w:szCs w:val="22"/>
              </w:rPr>
              <w:t>est. 350</w:t>
            </w:r>
          </w:p>
        </w:tc>
        <w:tc>
          <w:tcPr>
            <w:tcW w:w="1300" w:type="dxa"/>
            <w:tcBorders>
              <w:top w:val="nil"/>
              <w:left w:val="nil"/>
              <w:bottom w:val="nil"/>
              <w:right w:val="nil"/>
            </w:tcBorders>
            <w:shd w:val="clear" w:color="auto" w:fill="auto"/>
            <w:noWrap/>
            <w:vAlign w:val="bottom"/>
            <w:hideMark/>
          </w:tcPr>
          <w:p w14:paraId="4202255D" w14:textId="77777777" w:rsidR="005B665A" w:rsidRDefault="005B665A" w:rsidP="003960CC">
            <w:pPr>
              <w:jc w:val="right"/>
              <w:rPr>
                <w:color w:val="000000"/>
                <w:sz w:val="22"/>
                <w:szCs w:val="22"/>
              </w:rPr>
            </w:pPr>
          </w:p>
        </w:tc>
      </w:tr>
      <w:tr w:rsidR="005B665A" w14:paraId="27EBBCA9" w14:textId="77777777" w:rsidTr="003960CC">
        <w:trPr>
          <w:trHeight w:val="9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3370C77" w14:textId="77777777" w:rsidR="005B665A" w:rsidRDefault="005B665A" w:rsidP="003960CC">
            <w:pPr>
              <w:rPr>
                <w:color w:val="000000"/>
                <w:sz w:val="22"/>
                <w:szCs w:val="22"/>
              </w:rPr>
            </w:pPr>
            <w:r>
              <w:rPr>
                <w:color w:val="000000"/>
                <w:sz w:val="22"/>
                <w:szCs w:val="22"/>
              </w:rPr>
              <w:lastRenderedPageBreak/>
              <w:t>University of Texas</w:t>
            </w:r>
          </w:p>
        </w:tc>
        <w:tc>
          <w:tcPr>
            <w:tcW w:w="1520" w:type="dxa"/>
            <w:tcBorders>
              <w:top w:val="nil"/>
              <w:left w:val="nil"/>
              <w:bottom w:val="single" w:sz="4" w:space="0" w:color="auto"/>
              <w:right w:val="single" w:sz="4" w:space="0" w:color="auto"/>
            </w:tcBorders>
            <w:shd w:val="clear" w:color="auto" w:fill="auto"/>
            <w:vAlign w:val="center"/>
            <w:hideMark/>
          </w:tcPr>
          <w:p w14:paraId="21E621DA" w14:textId="77777777" w:rsidR="005B665A" w:rsidRDefault="005B665A" w:rsidP="003960CC">
            <w:pPr>
              <w:rPr>
                <w:color w:val="000000"/>
                <w:sz w:val="22"/>
                <w:szCs w:val="22"/>
              </w:rPr>
            </w:pPr>
            <w:r>
              <w:rPr>
                <w:color w:val="000000"/>
                <w:sz w:val="22"/>
                <w:szCs w:val="22"/>
              </w:rPr>
              <w:t>Austin, TX</w:t>
            </w:r>
          </w:p>
        </w:tc>
        <w:tc>
          <w:tcPr>
            <w:tcW w:w="1520" w:type="dxa"/>
            <w:tcBorders>
              <w:top w:val="nil"/>
              <w:left w:val="nil"/>
              <w:bottom w:val="single" w:sz="4" w:space="0" w:color="auto"/>
              <w:right w:val="single" w:sz="4" w:space="0" w:color="auto"/>
            </w:tcBorders>
            <w:shd w:val="clear" w:color="auto" w:fill="auto"/>
            <w:vAlign w:val="center"/>
            <w:hideMark/>
          </w:tcPr>
          <w:p w14:paraId="14AD5BF9" w14:textId="77777777" w:rsidR="005B665A" w:rsidRDefault="005B665A" w:rsidP="003960CC">
            <w:pPr>
              <w:jc w:val="right"/>
              <w:rPr>
                <w:color w:val="000000"/>
                <w:sz w:val="22"/>
                <w:szCs w:val="22"/>
              </w:rPr>
            </w:pPr>
            <w:r>
              <w:rPr>
                <w:color w:val="000000"/>
                <w:sz w:val="22"/>
                <w:szCs w:val="22"/>
              </w:rPr>
              <w:t>51,832</w:t>
            </w:r>
          </w:p>
        </w:tc>
        <w:tc>
          <w:tcPr>
            <w:tcW w:w="1520" w:type="dxa"/>
            <w:tcBorders>
              <w:top w:val="nil"/>
              <w:left w:val="nil"/>
              <w:bottom w:val="single" w:sz="4" w:space="0" w:color="auto"/>
              <w:right w:val="single" w:sz="4" w:space="0" w:color="auto"/>
            </w:tcBorders>
            <w:shd w:val="clear" w:color="auto" w:fill="auto"/>
            <w:vAlign w:val="center"/>
            <w:hideMark/>
          </w:tcPr>
          <w:p w14:paraId="59AE26A3" w14:textId="77777777" w:rsidR="005B665A" w:rsidRDefault="005B665A" w:rsidP="003960CC">
            <w:pPr>
              <w:jc w:val="right"/>
              <w:rPr>
                <w:color w:val="000000"/>
                <w:sz w:val="22"/>
                <w:szCs w:val="22"/>
              </w:rPr>
            </w:pPr>
            <w:r>
              <w:rPr>
                <w:color w:val="000000"/>
                <w:sz w:val="22"/>
                <w:szCs w:val="22"/>
              </w:rPr>
              <w:t xml:space="preserve">$16,960 </w:t>
            </w:r>
          </w:p>
        </w:tc>
        <w:tc>
          <w:tcPr>
            <w:tcW w:w="1520" w:type="dxa"/>
            <w:tcBorders>
              <w:top w:val="nil"/>
              <w:left w:val="nil"/>
              <w:bottom w:val="single" w:sz="4" w:space="0" w:color="auto"/>
              <w:right w:val="single" w:sz="4" w:space="0" w:color="auto"/>
            </w:tcBorders>
            <w:shd w:val="clear" w:color="auto" w:fill="auto"/>
            <w:noWrap/>
            <w:vAlign w:val="bottom"/>
            <w:hideMark/>
          </w:tcPr>
          <w:p w14:paraId="090D2A7D" w14:textId="77777777" w:rsidR="005B665A" w:rsidRDefault="005B665A" w:rsidP="003960CC">
            <w:pPr>
              <w:jc w:val="right"/>
              <w:rPr>
                <w:color w:val="000000"/>
              </w:rPr>
            </w:pPr>
            <w:r>
              <w:rPr>
                <w:color w:val="000000"/>
              </w:rPr>
              <w:t>52.60%</w:t>
            </w:r>
          </w:p>
        </w:tc>
        <w:tc>
          <w:tcPr>
            <w:tcW w:w="1520" w:type="dxa"/>
            <w:tcBorders>
              <w:top w:val="nil"/>
              <w:left w:val="nil"/>
              <w:bottom w:val="single" w:sz="4" w:space="0" w:color="auto"/>
              <w:right w:val="single" w:sz="4" w:space="0" w:color="auto"/>
            </w:tcBorders>
            <w:shd w:val="clear" w:color="auto" w:fill="auto"/>
            <w:vAlign w:val="center"/>
            <w:hideMark/>
          </w:tcPr>
          <w:p w14:paraId="5923A6C5" w14:textId="77777777" w:rsidR="005B665A" w:rsidRDefault="005B665A" w:rsidP="003960CC">
            <w:pPr>
              <w:rPr>
                <w:color w:val="000000"/>
                <w:sz w:val="22"/>
                <w:szCs w:val="22"/>
              </w:rPr>
            </w:pPr>
            <w:r>
              <w:rPr>
                <w:color w:val="000000"/>
                <w:sz w:val="22"/>
                <w:szCs w:val="22"/>
              </w:rPr>
              <w:t>4400 students or 8.5% of total</w:t>
            </w:r>
          </w:p>
        </w:tc>
        <w:tc>
          <w:tcPr>
            <w:tcW w:w="1300" w:type="dxa"/>
            <w:tcBorders>
              <w:top w:val="nil"/>
              <w:left w:val="nil"/>
              <w:bottom w:val="single" w:sz="4" w:space="0" w:color="auto"/>
              <w:right w:val="single" w:sz="4" w:space="0" w:color="auto"/>
            </w:tcBorders>
            <w:shd w:val="clear" w:color="auto" w:fill="auto"/>
            <w:noWrap/>
            <w:vAlign w:val="center"/>
            <w:hideMark/>
          </w:tcPr>
          <w:p w14:paraId="47C1B798" w14:textId="77777777" w:rsidR="005B665A" w:rsidRDefault="005B665A" w:rsidP="003960CC">
            <w:pPr>
              <w:jc w:val="right"/>
              <w:rPr>
                <w:color w:val="000000"/>
                <w:sz w:val="22"/>
                <w:szCs w:val="22"/>
              </w:rPr>
            </w:pPr>
            <w:r>
              <w:rPr>
                <w:color w:val="000000"/>
                <w:sz w:val="22"/>
                <w:szCs w:val="22"/>
              </w:rPr>
              <w:t>400</w:t>
            </w:r>
          </w:p>
        </w:tc>
        <w:tc>
          <w:tcPr>
            <w:tcW w:w="1300" w:type="dxa"/>
            <w:tcBorders>
              <w:top w:val="nil"/>
              <w:left w:val="nil"/>
              <w:bottom w:val="nil"/>
              <w:right w:val="nil"/>
            </w:tcBorders>
            <w:shd w:val="clear" w:color="auto" w:fill="auto"/>
            <w:noWrap/>
            <w:vAlign w:val="bottom"/>
            <w:hideMark/>
          </w:tcPr>
          <w:p w14:paraId="6DAD2EDD" w14:textId="77777777" w:rsidR="005B665A" w:rsidRDefault="005B665A" w:rsidP="003960CC">
            <w:pPr>
              <w:jc w:val="right"/>
              <w:rPr>
                <w:color w:val="000000"/>
                <w:sz w:val="22"/>
                <w:szCs w:val="22"/>
              </w:rPr>
            </w:pPr>
          </w:p>
        </w:tc>
      </w:tr>
      <w:tr w:rsidR="005B665A" w14:paraId="13E33455" w14:textId="77777777" w:rsidTr="003960CC">
        <w:trPr>
          <w:trHeight w:val="9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B17A49" w14:textId="77777777" w:rsidR="005B665A" w:rsidRDefault="005B665A" w:rsidP="003960CC">
            <w:pPr>
              <w:rPr>
                <w:color w:val="000000"/>
                <w:sz w:val="22"/>
                <w:szCs w:val="22"/>
              </w:rPr>
            </w:pPr>
            <w:r>
              <w:rPr>
                <w:color w:val="000000"/>
                <w:sz w:val="22"/>
                <w:szCs w:val="22"/>
              </w:rPr>
              <w:t>University of Maryland</w:t>
            </w:r>
          </w:p>
        </w:tc>
        <w:tc>
          <w:tcPr>
            <w:tcW w:w="1520" w:type="dxa"/>
            <w:tcBorders>
              <w:top w:val="nil"/>
              <w:left w:val="nil"/>
              <w:bottom w:val="single" w:sz="4" w:space="0" w:color="auto"/>
              <w:right w:val="single" w:sz="4" w:space="0" w:color="auto"/>
            </w:tcBorders>
            <w:shd w:val="clear" w:color="auto" w:fill="auto"/>
            <w:vAlign w:val="center"/>
            <w:hideMark/>
          </w:tcPr>
          <w:p w14:paraId="48AD02A8" w14:textId="77777777" w:rsidR="005B665A" w:rsidRDefault="005B665A" w:rsidP="003960CC">
            <w:pPr>
              <w:rPr>
                <w:color w:val="000000"/>
                <w:sz w:val="22"/>
                <w:szCs w:val="22"/>
              </w:rPr>
            </w:pPr>
            <w:r>
              <w:rPr>
                <w:color w:val="000000"/>
                <w:sz w:val="22"/>
                <w:szCs w:val="22"/>
              </w:rPr>
              <w:t>College Park, MD</w:t>
            </w:r>
          </w:p>
        </w:tc>
        <w:tc>
          <w:tcPr>
            <w:tcW w:w="1520" w:type="dxa"/>
            <w:tcBorders>
              <w:top w:val="nil"/>
              <w:left w:val="nil"/>
              <w:bottom w:val="single" w:sz="4" w:space="0" w:color="auto"/>
              <w:right w:val="single" w:sz="4" w:space="0" w:color="auto"/>
            </w:tcBorders>
            <w:shd w:val="clear" w:color="auto" w:fill="auto"/>
            <w:vAlign w:val="center"/>
            <w:hideMark/>
          </w:tcPr>
          <w:p w14:paraId="304BD374" w14:textId="77777777" w:rsidR="005B665A" w:rsidRDefault="005B665A" w:rsidP="003960CC">
            <w:pPr>
              <w:jc w:val="right"/>
              <w:rPr>
                <w:color w:val="000000"/>
                <w:sz w:val="22"/>
                <w:szCs w:val="22"/>
              </w:rPr>
            </w:pPr>
            <w:r>
              <w:rPr>
                <w:color w:val="000000"/>
                <w:sz w:val="22"/>
                <w:szCs w:val="22"/>
              </w:rPr>
              <w:t>41,000</w:t>
            </w:r>
          </w:p>
        </w:tc>
        <w:tc>
          <w:tcPr>
            <w:tcW w:w="1520" w:type="dxa"/>
            <w:tcBorders>
              <w:top w:val="nil"/>
              <w:left w:val="nil"/>
              <w:bottom w:val="single" w:sz="4" w:space="0" w:color="auto"/>
              <w:right w:val="single" w:sz="4" w:space="0" w:color="auto"/>
            </w:tcBorders>
            <w:shd w:val="clear" w:color="auto" w:fill="auto"/>
            <w:vAlign w:val="center"/>
            <w:hideMark/>
          </w:tcPr>
          <w:p w14:paraId="67FBDC9C" w14:textId="77777777" w:rsidR="005B665A" w:rsidRDefault="005B665A" w:rsidP="003960CC">
            <w:pPr>
              <w:jc w:val="right"/>
              <w:rPr>
                <w:color w:val="000000"/>
                <w:sz w:val="22"/>
                <w:szCs w:val="22"/>
              </w:rPr>
            </w:pPr>
            <w:r>
              <w:rPr>
                <w:color w:val="000000"/>
                <w:sz w:val="22"/>
                <w:szCs w:val="22"/>
              </w:rPr>
              <w:t xml:space="preserve">$18,517 </w:t>
            </w:r>
          </w:p>
        </w:tc>
        <w:tc>
          <w:tcPr>
            <w:tcW w:w="1520" w:type="dxa"/>
            <w:tcBorders>
              <w:top w:val="nil"/>
              <w:left w:val="nil"/>
              <w:bottom w:val="single" w:sz="4" w:space="0" w:color="auto"/>
              <w:right w:val="single" w:sz="4" w:space="0" w:color="auto"/>
            </w:tcBorders>
            <w:shd w:val="clear" w:color="auto" w:fill="auto"/>
            <w:noWrap/>
            <w:vAlign w:val="bottom"/>
            <w:hideMark/>
          </w:tcPr>
          <w:p w14:paraId="444B33D9" w14:textId="77777777" w:rsidR="005B665A" w:rsidRDefault="005B665A" w:rsidP="003960CC">
            <w:pPr>
              <w:jc w:val="right"/>
              <w:rPr>
                <w:color w:val="000000"/>
              </w:rPr>
            </w:pPr>
            <w:r>
              <w:rPr>
                <w:color w:val="000000"/>
              </w:rPr>
              <w:t>43.10%</w:t>
            </w:r>
          </w:p>
        </w:tc>
        <w:tc>
          <w:tcPr>
            <w:tcW w:w="1520" w:type="dxa"/>
            <w:tcBorders>
              <w:top w:val="nil"/>
              <w:left w:val="nil"/>
              <w:bottom w:val="single" w:sz="4" w:space="0" w:color="auto"/>
              <w:right w:val="single" w:sz="4" w:space="0" w:color="auto"/>
            </w:tcBorders>
            <w:shd w:val="clear" w:color="auto" w:fill="auto"/>
            <w:vAlign w:val="center"/>
            <w:hideMark/>
          </w:tcPr>
          <w:p w14:paraId="1410EA3F" w14:textId="77777777" w:rsidR="005B665A" w:rsidRDefault="005B665A" w:rsidP="003960CC">
            <w:pPr>
              <w:rPr>
                <w:color w:val="000000"/>
                <w:sz w:val="22"/>
                <w:szCs w:val="22"/>
              </w:rPr>
            </w:pPr>
            <w:r>
              <w:rPr>
                <w:color w:val="000000"/>
                <w:sz w:val="22"/>
                <w:szCs w:val="22"/>
              </w:rPr>
              <w:t>1835 students or 4.5% of total</w:t>
            </w:r>
          </w:p>
        </w:tc>
        <w:tc>
          <w:tcPr>
            <w:tcW w:w="1300" w:type="dxa"/>
            <w:tcBorders>
              <w:top w:val="nil"/>
              <w:left w:val="nil"/>
              <w:bottom w:val="single" w:sz="4" w:space="0" w:color="auto"/>
              <w:right w:val="single" w:sz="4" w:space="0" w:color="auto"/>
            </w:tcBorders>
            <w:shd w:val="clear" w:color="auto" w:fill="auto"/>
            <w:noWrap/>
            <w:vAlign w:val="center"/>
            <w:hideMark/>
          </w:tcPr>
          <w:p w14:paraId="67F72144" w14:textId="77777777" w:rsidR="005B665A" w:rsidRDefault="005B665A" w:rsidP="003960CC">
            <w:pPr>
              <w:jc w:val="right"/>
              <w:rPr>
                <w:color w:val="000000"/>
                <w:sz w:val="22"/>
                <w:szCs w:val="22"/>
              </w:rPr>
            </w:pPr>
            <w:r>
              <w:rPr>
                <w:color w:val="000000"/>
                <w:sz w:val="22"/>
                <w:szCs w:val="22"/>
              </w:rPr>
              <w:t>447</w:t>
            </w:r>
          </w:p>
        </w:tc>
        <w:tc>
          <w:tcPr>
            <w:tcW w:w="1300" w:type="dxa"/>
            <w:tcBorders>
              <w:top w:val="nil"/>
              <w:left w:val="nil"/>
              <w:bottom w:val="nil"/>
              <w:right w:val="nil"/>
            </w:tcBorders>
            <w:shd w:val="clear" w:color="auto" w:fill="auto"/>
            <w:noWrap/>
            <w:vAlign w:val="bottom"/>
            <w:hideMark/>
          </w:tcPr>
          <w:p w14:paraId="0EC41841" w14:textId="77777777" w:rsidR="005B665A" w:rsidRDefault="005B665A" w:rsidP="003960CC">
            <w:pPr>
              <w:jc w:val="right"/>
              <w:rPr>
                <w:color w:val="000000"/>
                <w:sz w:val="22"/>
                <w:szCs w:val="22"/>
              </w:rPr>
            </w:pPr>
          </w:p>
        </w:tc>
      </w:tr>
      <w:tr w:rsidR="005B665A" w14:paraId="7B7B9BF5" w14:textId="77777777" w:rsidTr="003960CC">
        <w:trPr>
          <w:trHeight w:val="320"/>
        </w:trPr>
        <w:tc>
          <w:tcPr>
            <w:tcW w:w="1520" w:type="dxa"/>
            <w:tcBorders>
              <w:top w:val="nil"/>
              <w:left w:val="nil"/>
              <w:bottom w:val="nil"/>
              <w:right w:val="nil"/>
            </w:tcBorders>
            <w:shd w:val="clear" w:color="auto" w:fill="auto"/>
            <w:noWrap/>
            <w:vAlign w:val="bottom"/>
            <w:hideMark/>
          </w:tcPr>
          <w:p w14:paraId="0E5B55A2" w14:textId="77777777" w:rsidR="005B665A" w:rsidRDefault="005B665A" w:rsidP="003960CC">
            <w:pPr>
              <w:rPr>
                <w:sz w:val="20"/>
                <w:szCs w:val="20"/>
              </w:rPr>
            </w:pPr>
          </w:p>
        </w:tc>
        <w:tc>
          <w:tcPr>
            <w:tcW w:w="1520" w:type="dxa"/>
            <w:tcBorders>
              <w:top w:val="nil"/>
              <w:left w:val="nil"/>
              <w:bottom w:val="nil"/>
              <w:right w:val="nil"/>
            </w:tcBorders>
            <w:shd w:val="clear" w:color="auto" w:fill="auto"/>
            <w:noWrap/>
            <w:vAlign w:val="bottom"/>
            <w:hideMark/>
          </w:tcPr>
          <w:p w14:paraId="60F0D688" w14:textId="77777777" w:rsidR="005B665A" w:rsidRDefault="005B665A" w:rsidP="003960CC">
            <w:pPr>
              <w:rPr>
                <w:sz w:val="20"/>
                <w:szCs w:val="20"/>
              </w:rPr>
            </w:pPr>
          </w:p>
        </w:tc>
        <w:tc>
          <w:tcPr>
            <w:tcW w:w="1520" w:type="dxa"/>
            <w:tcBorders>
              <w:top w:val="nil"/>
              <w:left w:val="nil"/>
              <w:bottom w:val="nil"/>
              <w:right w:val="nil"/>
            </w:tcBorders>
            <w:shd w:val="clear" w:color="auto" w:fill="auto"/>
            <w:noWrap/>
            <w:vAlign w:val="bottom"/>
            <w:hideMark/>
          </w:tcPr>
          <w:p w14:paraId="1262FF78" w14:textId="77777777" w:rsidR="005B665A" w:rsidRDefault="005B665A" w:rsidP="003960CC">
            <w:pPr>
              <w:rPr>
                <w:sz w:val="20"/>
                <w:szCs w:val="20"/>
              </w:rPr>
            </w:pPr>
          </w:p>
        </w:tc>
        <w:tc>
          <w:tcPr>
            <w:tcW w:w="1520" w:type="dxa"/>
            <w:tcBorders>
              <w:top w:val="nil"/>
              <w:left w:val="nil"/>
              <w:bottom w:val="nil"/>
              <w:right w:val="nil"/>
            </w:tcBorders>
            <w:shd w:val="clear" w:color="auto" w:fill="auto"/>
            <w:noWrap/>
            <w:vAlign w:val="bottom"/>
            <w:hideMark/>
          </w:tcPr>
          <w:p w14:paraId="7AEF4CD2" w14:textId="77777777" w:rsidR="005B665A" w:rsidRDefault="005B665A" w:rsidP="003960CC">
            <w:pPr>
              <w:rPr>
                <w:sz w:val="20"/>
                <w:szCs w:val="20"/>
              </w:rPr>
            </w:pPr>
          </w:p>
        </w:tc>
        <w:tc>
          <w:tcPr>
            <w:tcW w:w="1520" w:type="dxa"/>
            <w:tcBorders>
              <w:top w:val="nil"/>
              <w:left w:val="nil"/>
              <w:bottom w:val="nil"/>
              <w:right w:val="nil"/>
            </w:tcBorders>
            <w:shd w:val="clear" w:color="auto" w:fill="auto"/>
            <w:noWrap/>
            <w:vAlign w:val="bottom"/>
            <w:hideMark/>
          </w:tcPr>
          <w:p w14:paraId="49631743" w14:textId="77777777" w:rsidR="005B665A" w:rsidRDefault="005B665A" w:rsidP="003960CC">
            <w:pPr>
              <w:rPr>
                <w:sz w:val="20"/>
                <w:szCs w:val="20"/>
              </w:rPr>
            </w:pPr>
          </w:p>
        </w:tc>
        <w:tc>
          <w:tcPr>
            <w:tcW w:w="1520" w:type="dxa"/>
            <w:tcBorders>
              <w:top w:val="nil"/>
              <w:left w:val="nil"/>
              <w:bottom w:val="nil"/>
              <w:right w:val="nil"/>
            </w:tcBorders>
            <w:shd w:val="clear" w:color="auto" w:fill="auto"/>
            <w:noWrap/>
            <w:vAlign w:val="bottom"/>
            <w:hideMark/>
          </w:tcPr>
          <w:p w14:paraId="798052A8" w14:textId="77777777" w:rsidR="005B665A" w:rsidRDefault="005B665A" w:rsidP="003960CC">
            <w:pPr>
              <w:rPr>
                <w:sz w:val="20"/>
                <w:szCs w:val="20"/>
              </w:rPr>
            </w:pPr>
          </w:p>
        </w:tc>
        <w:tc>
          <w:tcPr>
            <w:tcW w:w="1300" w:type="dxa"/>
            <w:tcBorders>
              <w:top w:val="nil"/>
              <w:left w:val="nil"/>
              <w:bottom w:val="nil"/>
              <w:right w:val="nil"/>
            </w:tcBorders>
            <w:shd w:val="clear" w:color="auto" w:fill="auto"/>
            <w:noWrap/>
            <w:vAlign w:val="bottom"/>
            <w:hideMark/>
          </w:tcPr>
          <w:p w14:paraId="4AEFF7C2" w14:textId="77777777" w:rsidR="005B665A" w:rsidRDefault="005B665A" w:rsidP="003960CC">
            <w:pPr>
              <w:rPr>
                <w:sz w:val="20"/>
                <w:szCs w:val="20"/>
              </w:rPr>
            </w:pPr>
          </w:p>
        </w:tc>
        <w:tc>
          <w:tcPr>
            <w:tcW w:w="1300" w:type="dxa"/>
            <w:tcBorders>
              <w:top w:val="nil"/>
              <w:left w:val="nil"/>
              <w:bottom w:val="nil"/>
              <w:right w:val="nil"/>
            </w:tcBorders>
            <w:shd w:val="clear" w:color="auto" w:fill="auto"/>
            <w:noWrap/>
            <w:vAlign w:val="bottom"/>
            <w:hideMark/>
          </w:tcPr>
          <w:p w14:paraId="7300A9B6" w14:textId="77777777" w:rsidR="005B665A" w:rsidRDefault="005B665A" w:rsidP="003960CC">
            <w:pPr>
              <w:rPr>
                <w:sz w:val="20"/>
                <w:szCs w:val="20"/>
              </w:rPr>
            </w:pPr>
          </w:p>
        </w:tc>
      </w:tr>
      <w:tr w:rsidR="005B665A" w14:paraId="353A8E7D" w14:textId="77777777" w:rsidTr="003960CC">
        <w:trPr>
          <w:trHeight w:val="320"/>
        </w:trPr>
        <w:tc>
          <w:tcPr>
            <w:tcW w:w="11720" w:type="dxa"/>
            <w:gridSpan w:val="8"/>
            <w:tcBorders>
              <w:top w:val="nil"/>
              <w:left w:val="nil"/>
              <w:bottom w:val="nil"/>
              <w:right w:val="nil"/>
            </w:tcBorders>
            <w:shd w:val="clear" w:color="auto" w:fill="auto"/>
            <w:noWrap/>
            <w:vAlign w:val="center"/>
            <w:hideMark/>
          </w:tcPr>
          <w:p w14:paraId="501AF51F" w14:textId="77777777" w:rsidR="005B665A" w:rsidRPr="00C874EC" w:rsidRDefault="005B665A" w:rsidP="003960CC">
            <w:pPr>
              <w:rPr>
                <w:color w:val="000000"/>
                <w:sz w:val="21"/>
                <w:szCs w:val="21"/>
              </w:rPr>
            </w:pPr>
            <w:r w:rsidRPr="00C874EC">
              <w:rPr>
                <w:color w:val="000000"/>
                <w:sz w:val="21"/>
                <w:szCs w:val="21"/>
              </w:rPr>
              <w:t>*Information from school websites: https://global.utexas.edu/; http://www.washington.edu/; https://globalmaryland.umd.edu/</w:t>
            </w:r>
          </w:p>
        </w:tc>
      </w:tr>
      <w:tr w:rsidR="005B665A" w14:paraId="480666C6" w14:textId="77777777" w:rsidTr="003960CC">
        <w:trPr>
          <w:trHeight w:val="320"/>
        </w:trPr>
        <w:tc>
          <w:tcPr>
            <w:tcW w:w="4560" w:type="dxa"/>
            <w:gridSpan w:val="3"/>
            <w:tcBorders>
              <w:top w:val="nil"/>
              <w:left w:val="nil"/>
              <w:bottom w:val="nil"/>
              <w:right w:val="nil"/>
            </w:tcBorders>
            <w:shd w:val="clear" w:color="auto" w:fill="auto"/>
            <w:noWrap/>
            <w:vAlign w:val="center"/>
            <w:hideMark/>
          </w:tcPr>
          <w:p w14:paraId="22791E4A" w14:textId="77777777" w:rsidR="005B665A" w:rsidRPr="00C874EC" w:rsidRDefault="005B665A" w:rsidP="003960CC">
            <w:pPr>
              <w:rPr>
                <w:color w:val="000000"/>
                <w:sz w:val="21"/>
                <w:szCs w:val="21"/>
              </w:rPr>
            </w:pPr>
            <w:r w:rsidRPr="00C874EC">
              <w:rPr>
                <w:color w:val="000000"/>
                <w:sz w:val="21"/>
                <w:szCs w:val="21"/>
              </w:rPr>
              <w:t>**data from https://www.collegefactual.com</w:t>
            </w:r>
          </w:p>
        </w:tc>
        <w:tc>
          <w:tcPr>
            <w:tcW w:w="1520" w:type="dxa"/>
            <w:tcBorders>
              <w:top w:val="nil"/>
              <w:left w:val="nil"/>
              <w:bottom w:val="nil"/>
              <w:right w:val="nil"/>
            </w:tcBorders>
            <w:shd w:val="clear" w:color="auto" w:fill="auto"/>
            <w:noWrap/>
            <w:vAlign w:val="bottom"/>
            <w:hideMark/>
          </w:tcPr>
          <w:p w14:paraId="1B8BBE4C" w14:textId="77777777" w:rsidR="005B665A" w:rsidRPr="00C874EC" w:rsidRDefault="005B665A" w:rsidP="003960CC">
            <w:pPr>
              <w:rPr>
                <w:color w:val="000000"/>
                <w:sz w:val="21"/>
                <w:szCs w:val="21"/>
              </w:rPr>
            </w:pPr>
          </w:p>
        </w:tc>
        <w:tc>
          <w:tcPr>
            <w:tcW w:w="1520" w:type="dxa"/>
            <w:tcBorders>
              <w:top w:val="nil"/>
              <w:left w:val="nil"/>
              <w:bottom w:val="nil"/>
              <w:right w:val="nil"/>
            </w:tcBorders>
            <w:shd w:val="clear" w:color="auto" w:fill="auto"/>
            <w:noWrap/>
            <w:vAlign w:val="bottom"/>
            <w:hideMark/>
          </w:tcPr>
          <w:p w14:paraId="5B10330A" w14:textId="77777777" w:rsidR="005B665A" w:rsidRPr="00C874EC" w:rsidRDefault="005B665A" w:rsidP="003960CC">
            <w:pPr>
              <w:rPr>
                <w:sz w:val="21"/>
                <w:szCs w:val="21"/>
              </w:rPr>
            </w:pPr>
          </w:p>
        </w:tc>
        <w:tc>
          <w:tcPr>
            <w:tcW w:w="1520" w:type="dxa"/>
            <w:tcBorders>
              <w:top w:val="nil"/>
              <w:left w:val="nil"/>
              <w:bottom w:val="nil"/>
              <w:right w:val="nil"/>
            </w:tcBorders>
            <w:shd w:val="clear" w:color="auto" w:fill="auto"/>
            <w:noWrap/>
            <w:vAlign w:val="bottom"/>
            <w:hideMark/>
          </w:tcPr>
          <w:p w14:paraId="1782E0C6" w14:textId="77777777" w:rsidR="005B665A" w:rsidRPr="00C874EC" w:rsidRDefault="005B665A" w:rsidP="003960CC">
            <w:pPr>
              <w:rPr>
                <w:sz w:val="21"/>
                <w:szCs w:val="21"/>
              </w:rPr>
            </w:pPr>
          </w:p>
        </w:tc>
        <w:tc>
          <w:tcPr>
            <w:tcW w:w="1300" w:type="dxa"/>
            <w:tcBorders>
              <w:top w:val="nil"/>
              <w:left w:val="nil"/>
              <w:bottom w:val="nil"/>
              <w:right w:val="nil"/>
            </w:tcBorders>
            <w:shd w:val="clear" w:color="auto" w:fill="auto"/>
            <w:noWrap/>
            <w:vAlign w:val="bottom"/>
            <w:hideMark/>
          </w:tcPr>
          <w:p w14:paraId="12F5D31D" w14:textId="77777777" w:rsidR="005B665A" w:rsidRPr="00C874EC" w:rsidRDefault="005B665A" w:rsidP="003960CC">
            <w:pPr>
              <w:rPr>
                <w:sz w:val="21"/>
                <w:szCs w:val="21"/>
              </w:rPr>
            </w:pPr>
          </w:p>
        </w:tc>
        <w:tc>
          <w:tcPr>
            <w:tcW w:w="1300" w:type="dxa"/>
            <w:tcBorders>
              <w:top w:val="nil"/>
              <w:left w:val="nil"/>
              <w:bottom w:val="nil"/>
              <w:right w:val="nil"/>
            </w:tcBorders>
            <w:shd w:val="clear" w:color="auto" w:fill="auto"/>
            <w:noWrap/>
            <w:vAlign w:val="bottom"/>
            <w:hideMark/>
          </w:tcPr>
          <w:p w14:paraId="7BB0C870" w14:textId="77777777" w:rsidR="005B665A" w:rsidRPr="00C874EC" w:rsidRDefault="005B665A" w:rsidP="003960CC">
            <w:pPr>
              <w:rPr>
                <w:sz w:val="21"/>
                <w:szCs w:val="21"/>
              </w:rPr>
            </w:pPr>
          </w:p>
        </w:tc>
      </w:tr>
      <w:tr w:rsidR="005B665A" w14:paraId="0F7A5008" w14:textId="77777777" w:rsidTr="003960CC">
        <w:trPr>
          <w:trHeight w:val="320"/>
        </w:trPr>
        <w:tc>
          <w:tcPr>
            <w:tcW w:w="1520" w:type="dxa"/>
            <w:tcBorders>
              <w:top w:val="nil"/>
              <w:left w:val="nil"/>
              <w:bottom w:val="nil"/>
              <w:right w:val="nil"/>
            </w:tcBorders>
            <w:shd w:val="clear" w:color="auto" w:fill="auto"/>
            <w:noWrap/>
            <w:vAlign w:val="bottom"/>
            <w:hideMark/>
          </w:tcPr>
          <w:p w14:paraId="38A19DF6" w14:textId="77777777" w:rsidR="005B665A" w:rsidRDefault="005B665A" w:rsidP="003960CC">
            <w:pPr>
              <w:rPr>
                <w:sz w:val="20"/>
                <w:szCs w:val="20"/>
              </w:rPr>
            </w:pPr>
          </w:p>
        </w:tc>
        <w:tc>
          <w:tcPr>
            <w:tcW w:w="1520" w:type="dxa"/>
            <w:tcBorders>
              <w:top w:val="nil"/>
              <w:left w:val="nil"/>
              <w:bottom w:val="nil"/>
              <w:right w:val="nil"/>
            </w:tcBorders>
            <w:shd w:val="clear" w:color="auto" w:fill="auto"/>
            <w:noWrap/>
            <w:vAlign w:val="bottom"/>
            <w:hideMark/>
          </w:tcPr>
          <w:p w14:paraId="2B35ACA7" w14:textId="77777777" w:rsidR="005B665A" w:rsidRDefault="005B665A" w:rsidP="003960CC">
            <w:pPr>
              <w:rPr>
                <w:sz w:val="20"/>
                <w:szCs w:val="20"/>
              </w:rPr>
            </w:pPr>
          </w:p>
        </w:tc>
        <w:tc>
          <w:tcPr>
            <w:tcW w:w="1520" w:type="dxa"/>
            <w:tcBorders>
              <w:top w:val="nil"/>
              <w:left w:val="nil"/>
              <w:bottom w:val="nil"/>
              <w:right w:val="nil"/>
            </w:tcBorders>
            <w:shd w:val="clear" w:color="auto" w:fill="auto"/>
            <w:noWrap/>
            <w:vAlign w:val="bottom"/>
            <w:hideMark/>
          </w:tcPr>
          <w:p w14:paraId="452D44AE" w14:textId="77777777" w:rsidR="005B665A" w:rsidRDefault="005B665A" w:rsidP="003960CC">
            <w:pPr>
              <w:rPr>
                <w:sz w:val="20"/>
                <w:szCs w:val="20"/>
              </w:rPr>
            </w:pPr>
          </w:p>
        </w:tc>
        <w:tc>
          <w:tcPr>
            <w:tcW w:w="1520" w:type="dxa"/>
            <w:tcBorders>
              <w:top w:val="nil"/>
              <w:left w:val="nil"/>
              <w:bottom w:val="nil"/>
              <w:right w:val="nil"/>
            </w:tcBorders>
            <w:shd w:val="clear" w:color="auto" w:fill="auto"/>
            <w:noWrap/>
            <w:vAlign w:val="bottom"/>
            <w:hideMark/>
          </w:tcPr>
          <w:p w14:paraId="74B0A205" w14:textId="77777777" w:rsidR="005B665A" w:rsidRDefault="005B665A" w:rsidP="003960CC">
            <w:pPr>
              <w:rPr>
                <w:sz w:val="20"/>
                <w:szCs w:val="20"/>
              </w:rPr>
            </w:pPr>
          </w:p>
        </w:tc>
        <w:tc>
          <w:tcPr>
            <w:tcW w:w="1520" w:type="dxa"/>
            <w:tcBorders>
              <w:top w:val="nil"/>
              <w:left w:val="nil"/>
              <w:bottom w:val="nil"/>
              <w:right w:val="nil"/>
            </w:tcBorders>
            <w:shd w:val="clear" w:color="auto" w:fill="auto"/>
            <w:noWrap/>
            <w:vAlign w:val="bottom"/>
            <w:hideMark/>
          </w:tcPr>
          <w:p w14:paraId="37449FB7" w14:textId="77777777" w:rsidR="005B665A" w:rsidRDefault="005B665A" w:rsidP="003960CC">
            <w:pPr>
              <w:rPr>
                <w:sz w:val="20"/>
                <w:szCs w:val="20"/>
              </w:rPr>
            </w:pPr>
          </w:p>
        </w:tc>
        <w:tc>
          <w:tcPr>
            <w:tcW w:w="1520" w:type="dxa"/>
            <w:tcBorders>
              <w:top w:val="nil"/>
              <w:left w:val="nil"/>
              <w:bottom w:val="nil"/>
              <w:right w:val="nil"/>
            </w:tcBorders>
            <w:shd w:val="clear" w:color="auto" w:fill="auto"/>
            <w:noWrap/>
            <w:vAlign w:val="bottom"/>
            <w:hideMark/>
          </w:tcPr>
          <w:p w14:paraId="5EAFF9BC" w14:textId="77777777" w:rsidR="005B665A" w:rsidRDefault="005B665A" w:rsidP="003960CC">
            <w:pPr>
              <w:rPr>
                <w:sz w:val="20"/>
                <w:szCs w:val="20"/>
              </w:rPr>
            </w:pPr>
          </w:p>
        </w:tc>
        <w:tc>
          <w:tcPr>
            <w:tcW w:w="1300" w:type="dxa"/>
            <w:tcBorders>
              <w:top w:val="nil"/>
              <w:left w:val="nil"/>
              <w:bottom w:val="nil"/>
              <w:right w:val="nil"/>
            </w:tcBorders>
            <w:shd w:val="clear" w:color="auto" w:fill="auto"/>
            <w:noWrap/>
            <w:vAlign w:val="bottom"/>
            <w:hideMark/>
          </w:tcPr>
          <w:p w14:paraId="200C7B5D" w14:textId="77777777" w:rsidR="005B665A" w:rsidRDefault="005B665A" w:rsidP="003960CC">
            <w:pPr>
              <w:rPr>
                <w:sz w:val="20"/>
                <w:szCs w:val="20"/>
              </w:rPr>
            </w:pPr>
          </w:p>
        </w:tc>
        <w:tc>
          <w:tcPr>
            <w:tcW w:w="1300" w:type="dxa"/>
            <w:tcBorders>
              <w:top w:val="nil"/>
              <w:left w:val="nil"/>
              <w:bottom w:val="nil"/>
              <w:right w:val="nil"/>
            </w:tcBorders>
            <w:shd w:val="clear" w:color="auto" w:fill="auto"/>
            <w:noWrap/>
            <w:vAlign w:val="bottom"/>
            <w:hideMark/>
          </w:tcPr>
          <w:p w14:paraId="19E55F00" w14:textId="77777777" w:rsidR="005B665A" w:rsidRDefault="005B665A" w:rsidP="003960CC">
            <w:pPr>
              <w:rPr>
                <w:sz w:val="20"/>
                <w:szCs w:val="20"/>
              </w:rPr>
            </w:pPr>
          </w:p>
        </w:tc>
      </w:tr>
    </w:tbl>
    <w:p w14:paraId="0B1211BF" w14:textId="77777777" w:rsidR="00F32B96" w:rsidRDefault="00F32B96" w:rsidP="004E4500">
      <w:pPr>
        <w:autoSpaceDE w:val="0"/>
        <w:autoSpaceDN w:val="0"/>
        <w:adjustRightInd w:val="0"/>
        <w:spacing w:before="1"/>
        <w:ind w:right="-20"/>
        <w:rPr>
          <w:color w:val="000000"/>
        </w:rPr>
      </w:pPr>
    </w:p>
    <w:p w14:paraId="6048C159" w14:textId="76E49EF0" w:rsidR="004E4500" w:rsidRDefault="00173F06" w:rsidP="004E4500">
      <w:pPr>
        <w:autoSpaceDE w:val="0"/>
        <w:autoSpaceDN w:val="0"/>
        <w:adjustRightInd w:val="0"/>
        <w:spacing w:before="1"/>
        <w:ind w:right="-20"/>
        <w:rPr>
          <w:color w:val="000000"/>
        </w:rPr>
      </w:pPr>
      <w:r w:rsidRPr="00C874EC">
        <w:rPr>
          <w:color w:val="000000"/>
        </w:rPr>
        <w:t>Volunteer</w:t>
      </w:r>
      <w:r w:rsidR="00F32B96">
        <w:rPr>
          <w:color w:val="000000"/>
        </w:rPr>
        <w:t xml:space="preserve"> participants in this study </w:t>
      </w:r>
      <w:r w:rsidRPr="00C874EC">
        <w:rPr>
          <w:color w:val="000000"/>
        </w:rPr>
        <w:t xml:space="preserve">must fall within the following parameters: </w:t>
      </w:r>
    </w:p>
    <w:p w14:paraId="3BB267BB" w14:textId="77777777" w:rsidR="00DD6696" w:rsidRPr="00C874EC" w:rsidRDefault="00DD6696" w:rsidP="004E4500">
      <w:pPr>
        <w:autoSpaceDE w:val="0"/>
        <w:autoSpaceDN w:val="0"/>
        <w:adjustRightInd w:val="0"/>
        <w:spacing w:before="1"/>
        <w:ind w:right="-20"/>
        <w:rPr>
          <w:color w:val="000000"/>
        </w:rPr>
      </w:pPr>
    </w:p>
    <w:p w14:paraId="3EBDF39A" w14:textId="692ACE59" w:rsidR="004E4500" w:rsidRPr="00C874EC" w:rsidRDefault="00173F06" w:rsidP="003960CC">
      <w:pPr>
        <w:pStyle w:val="ListParagraph"/>
        <w:numPr>
          <w:ilvl w:val="0"/>
          <w:numId w:val="4"/>
        </w:numPr>
        <w:autoSpaceDE w:val="0"/>
        <w:autoSpaceDN w:val="0"/>
        <w:adjustRightInd w:val="0"/>
        <w:spacing w:before="1" w:line="480" w:lineRule="auto"/>
        <w:ind w:right="-14"/>
        <w:rPr>
          <w:color w:val="000000"/>
        </w:rPr>
      </w:pPr>
      <w:r w:rsidRPr="00C874EC">
        <w:rPr>
          <w:color w:val="000000"/>
        </w:rPr>
        <w:t xml:space="preserve">Identify as a student intending to teach </w:t>
      </w:r>
      <w:r w:rsidR="007C4F18">
        <w:rPr>
          <w:color w:val="000000"/>
        </w:rPr>
        <w:t>in the future</w:t>
      </w:r>
    </w:p>
    <w:p w14:paraId="1C2650FC" w14:textId="2A3B172E" w:rsidR="004E4500" w:rsidRPr="00C874EC" w:rsidRDefault="004E4500" w:rsidP="003960CC">
      <w:pPr>
        <w:pStyle w:val="ListParagraph"/>
        <w:numPr>
          <w:ilvl w:val="0"/>
          <w:numId w:val="4"/>
        </w:numPr>
        <w:autoSpaceDE w:val="0"/>
        <w:autoSpaceDN w:val="0"/>
        <w:adjustRightInd w:val="0"/>
        <w:spacing w:before="1" w:line="480" w:lineRule="auto"/>
        <w:ind w:right="-14"/>
        <w:rPr>
          <w:color w:val="000000"/>
        </w:rPr>
      </w:pPr>
      <w:r w:rsidRPr="00C874EC">
        <w:rPr>
          <w:color w:val="000000"/>
        </w:rPr>
        <w:t>Not participated in a study abroad program previously</w:t>
      </w:r>
    </w:p>
    <w:p w14:paraId="62A5DECD" w14:textId="37F51A4D" w:rsidR="004E4500" w:rsidRPr="00C874EC" w:rsidRDefault="004E4500" w:rsidP="003960CC">
      <w:pPr>
        <w:pStyle w:val="ListParagraph"/>
        <w:numPr>
          <w:ilvl w:val="0"/>
          <w:numId w:val="4"/>
        </w:numPr>
        <w:autoSpaceDE w:val="0"/>
        <w:autoSpaceDN w:val="0"/>
        <w:adjustRightInd w:val="0"/>
        <w:spacing w:before="1" w:line="480" w:lineRule="auto"/>
        <w:ind w:right="-14"/>
        <w:rPr>
          <w:color w:val="000000"/>
        </w:rPr>
      </w:pPr>
      <w:r w:rsidRPr="00C874EC">
        <w:rPr>
          <w:color w:val="000000"/>
        </w:rPr>
        <w:t>Had not traveled to the intended study abroad program country previously</w:t>
      </w:r>
    </w:p>
    <w:p w14:paraId="2CFD1042" w14:textId="5FECFD2B" w:rsidR="004E4500" w:rsidRPr="00C874EC" w:rsidRDefault="004E4500" w:rsidP="003960CC">
      <w:pPr>
        <w:pStyle w:val="ListParagraph"/>
        <w:numPr>
          <w:ilvl w:val="0"/>
          <w:numId w:val="4"/>
        </w:numPr>
        <w:autoSpaceDE w:val="0"/>
        <w:autoSpaceDN w:val="0"/>
        <w:adjustRightInd w:val="0"/>
        <w:spacing w:before="1" w:line="480" w:lineRule="auto"/>
        <w:ind w:right="-14"/>
        <w:rPr>
          <w:color w:val="000000"/>
        </w:rPr>
      </w:pPr>
      <w:r w:rsidRPr="00C874EC">
        <w:rPr>
          <w:color w:val="000000"/>
        </w:rPr>
        <w:t>Fall within the age range of 20 to 30 years</w:t>
      </w:r>
      <w:r w:rsidR="004C1736" w:rsidRPr="00C874EC">
        <w:rPr>
          <w:color w:val="000000"/>
        </w:rPr>
        <w:t>.</w:t>
      </w:r>
    </w:p>
    <w:p w14:paraId="21B93EA7" w14:textId="4642453A" w:rsidR="002659E0" w:rsidRDefault="002659E0" w:rsidP="003960CC">
      <w:pPr>
        <w:pStyle w:val="ListParagraph"/>
        <w:numPr>
          <w:ilvl w:val="0"/>
          <w:numId w:val="4"/>
        </w:numPr>
        <w:autoSpaceDE w:val="0"/>
        <w:autoSpaceDN w:val="0"/>
        <w:adjustRightInd w:val="0"/>
        <w:spacing w:before="1" w:line="480" w:lineRule="auto"/>
        <w:ind w:right="-14"/>
        <w:rPr>
          <w:color w:val="000000"/>
        </w:rPr>
      </w:pPr>
      <w:r w:rsidRPr="00C874EC">
        <w:rPr>
          <w:color w:val="000000"/>
        </w:rPr>
        <w:t>Will be participating in a semester/quarter or academic year length program</w:t>
      </w:r>
    </w:p>
    <w:p w14:paraId="689D86F9" w14:textId="196C93B5" w:rsidR="004C1736" w:rsidRPr="004C1736" w:rsidRDefault="00DD6696" w:rsidP="003960CC">
      <w:pPr>
        <w:autoSpaceDE w:val="0"/>
        <w:autoSpaceDN w:val="0"/>
        <w:adjustRightInd w:val="0"/>
        <w:spacing w:before="1" w:line="480" w:lineRule="auto"/>
        <w:ind w:right="-14" w:firstLine="360"/>
        <w:rPr>
          <w:color w:val="000000"/>
        </w:rPr>
      </w:pPr>
      <w:r>
        <w:rPr>
          <w:color w:val="000000"/>
        </w:rPr>
        <w:t xml:space="preserve">This study will include 35 </w:t>
      </w:r>
      <w:commentRangeStart w:id="7"/>
      <w:r>
        <w:rPr>
          <w:color w:val="000000"/>
        </w:rPr>
        <w:t>students</w:t>
      </w:r>
      <w:commentRangeEnd w:id="7"/>
      <w:r w:rsidR="004C6D63">
        <w:rPr>
          <w:rStyle w:val="CommentReference"/>
        </w:rPr>
        <w:commentReference w:id="7"/>
      </w:r>
      <w:r>
        <w:rPr>
          <w:color w:val="000000"/>
        </w:rPr>
        <w:t xml:space="preserve"> from each university for a total of 105 volunteers. </w:t>
      </w:r>
      <w:r w:rsidR="003960CC">
        <w:rPr>
          <w:color w:val="000000"/>
        </w:rPr>
        <w:t xml:space="preserve"> </w:t>
      </w:r>
      <w:r w:rsidR="00F469C0">
        <w:rPr>
          <w:color w:val="000000"/>
        </w:rPr>
        <w:t xml:space="preserve">To recruit students, </w:t>
      </w:r>
      <w:r w:rsidR="00F469C0" w:rsidRPr="004C1736">
        <w:rPr>
          <w:color w:val="000000"/>
        </w:rPr>
        <w:t xml:space="preserve">volunteers would be requested in coordination with the university administration and/or faculty.  </w:t>
      </w:r>
      <w:r>
        <w:rPr>
          <w:color w:val="000000"/>
        </w:rPr>
        <w:t xml:space="preserve">Tools to recruit volunteers will include online communication such as emails and university websites; direct invitations from faculty, student associations and clubs; and other vehicles offered by the university.  </w:t>
      </w:r>
      <w:r w:rsidR="00F469C0">
        <w:rPr>
          <w:color w:val="000000"/>
        </w:rPr>
        <w:t xml:space="preserve">All volunteers will be offered $150 in renumeration for their participation.  </w:t>
      </w:r>
    </w:p>
    <w:p w14:paraId="2BD80AC0" w14:textId="1A213886" w:rsidR="004E4500" w:rsidRPr="00F168DD" w:rsidRDefault="004E4500" w:rsidP="004E4500">
      <w:pPr>
        <w:autoSpaceDE w:val="0"/>
        <w:autoSpaceDN w:val="0"/>
        <w:adjustRightInd w:val="0"/>
        <w:spacing w:before="1"/>
        <w:ind w:right="-20"/>
        <w:rPr>
          <w:color w:val="000000"/>
          <w:sz w:val="22"/>
          <w:szCs w:val="22"/>
        </w:rPr>
      </w:pPr>
    </w:p>
    <w:p w14:paraId="75D25CD9" w14:textId="25936478" w:rsidR="004E4500" w:rsidRDefault="004E4500" w:rsidP="004E4500">
      <w:pPr>
        <w:autoSpaceDE w:val="0"/>
        <w:autoSpaceDN w:val="0"/>
        <w:adjustRightInd w:val="0"/>
        <w:spacing w:before="5"/>
        <w:ind w:right="-20"/>
        <w:rPr>
          <w:b/>
          <w:bCs/>
          <w:color w:val="221F1F"/>
        </w:rPr>
      </w:pPr>
      <w:r w:rsidRPr="004C1736">
        <w:rPr>
          <w:b/>
          <w:bCs/>
          <w:color w:val="221F1F"/>
          <w:spacing w:val="-1"/>
        </w:rPr>
        <w:t>Me</w:t>
      </w:r>
      <w:r w:rsidRPr="004C1736">
        <w:rPr>
          <w:b/>
          <w:bCs/>
          <w:color w:val="221F1F"/>
        </w:rPr>
        <w:t>as</w:t>
      </w:r>
      <w:r w:rsidRPr="004C1736">
        <w:rPr>
          <w:b/>
          <w:bCs/>
          <w:color w:val="221F1F"/>
          <w:spacing w:val="1"/>
        </w:rPr>
        <w:t>u</w:t>
      </w:r>
      <w:r w:rsidRPr="004C1736">
        <w:rPr>
          <w:b/>
          <w:bCs/>
          <w:color w:val="221F1F"/>
          <w:spacing w:val="-1"/>
        </w:rPr>
        <w:t>re</w:t>
      </w:r>
      <w:r w:rsidRPr="004C1736">
        <w:rPr>
          <w:b/>
          <w:bCs/>
          <w:color w:val="221F1F"/>
        </w:rPr>
        <w:t>s</w:t>
      </w:r>
    </w:p>
    <w:p w14:paraId="22820F36" w14:textId="213741B9" w:rsidR="004860AA" w:rsidRDefault="004860AA" w:rsidP="004E4500">
      <w:pPr>
        <w:autoSpaceDE w:val="0"/>
        <w:autoSpaceDN w:val="0"/>
        <w:adjustRightInd w:val="0"/>
        <w:spacing w:before="5"/>
        <w:ind w:right="-20"/>
        <w:rPr>
          <w:b/>
          <w:bCs/>
          <w:color w:val="221F1F"/>
        </w:rPr>
      </w:pPr>
    </w:p>
    <w:p w14:paraId="10A640F7" w14:textId="241FF92E" w:rsidR="004860AA" w:rsidRDefault="005B665A" w:rsidP="003960CC">
      <w:pPr>
        <w:autoSpaceDE w:val="0"/>
        <w:autoSpaceDN w:val="0"/>
        <w:adjustRightInd w:val="0"/>
        <w:spacing w:before="5" w:line="480" w:lineRule="auto"/>
        <w:ind w:right="-14" w:firstLine="720"/>
        <w:rPr>
          <w:bCs/>
          <w:color w:val="221F1F"/>
        </w:rPr>
      </w:pPr>
      <w:r>
        <w:rPr>
          <w:color w:val="221F1F"/>
        </w:rPr>
        <w:t xml:space="preserve">Three different measures will be given to participants: </w:t>
      </w:r>
      <w:r w:rsidR="007C4F18">
        <w:rPr>
          <w:color w:val="221F1F"/>
        </w:rPr>
        <w:t>(1)</w:t>
      </w:r>
      <w:r>
        <w:rPr>
          <w:color w:val="221F1F"/>
        </w:rPr>
        <w:t xml:space="preserve"> a</w:t>
      </w:r>
      <w:r w:rsidR="007C4F18">
        <w:rPr>
          <w:color w:val="221F1F"/>
        </w:rPr>
        <w:t xml:space="preserve"> </w:t>
      </w:r>
      <w:r w:rsidR="00701CFD">
        <w:rPr>
          <w:color w:val="221F1F"/>
        </w:rPr>
        <w:t>demographic survey of participants</w:t>
      </w:r>
      <w:r w:rsidR="00D95D3F">
        <w:rPr>
          <w:color w:val="221F1F"/>
        </w:rPr>
        <w:t xml:space="preserve"> collected pre-test</w:t>
      </w:r>
      <w:r w:rsidR="00701CFD">
        <w:rPr>
          <w:color w:val="221F1F"/>
        </w:rPr>
        <w:t xml:space="preserve">, </w:t>
      </w:r>
      <w:r w:rsidR="007C4F18">
        <w:rPr>
          <w:color w:val="221F1F"/>
        </w:rPr>
        <w:t xml:space="preserve">(2) </w:t>
      </w:r>
      <w:r w:rsidR="00701CFD">
        <w:rPr>
          <w:color w:val="221F1F"/>
        </w:rPr>
        <w:t xml:space="preserve">the Global </w:t>
      </w:r>
      <w:r w:rsidR="00C74601">
        <w:rPr>
          <w:color w:val="221F1F"/>
        </w:rPr>
        <w:t xml:space="preserve">Citizenship </w:t>
      </w:r>
      <w:r w:rsidR="00701CFD">
        <w:rPr>
          <w:color w:val="221F1F"/>
        </w:rPr>
        <w:t xml:space="preserve">Scale pre-test and post-test, and </w:t>
      </w:r>
      <w:r w:rsidR="007C4F18">
        <w:rPr>
          <w:color w:val="221F1F"/>
        </w:rPr>
        <w:t xml:space="preserve">(3) </w:t>
      </w:r>
      <w:r w:rsidR="00701CFD">
        <w:rPr>
          <w:color w:val="221F1F"/>
        </w:rPr>
        <w:t xml:space="preserve">a </w:t>
      </w:r>
      <w:r w:rsidR="007C4F18">
        <w:rPr>
          <w:color w:val="221F1F"/>
        </w:rPr>
        <w:t xml:space="preserve">Content Survey assessing the design of the </w:t>
      </w:r>
      <w:r w:rsidR="00701CFD">
        <w:rPr>
          <w:color w:val="221F1F"/>
        </w:rPr>
        <w:t xml:space="preserve">study abroad </w:t>
      </w:r>
      <w:r w:rsidR="007C4F18">
        <w:rPr>
          <w:color w:val="221F1F"/>
        </w:rPr>
        <w:t xml:space="preserve">program, which will be </w:t>
      </w:r>
      <w:r w:rsidR="00701CFD">
        <w:rPr>
          <w:color w:val="221F1F"/>
        </w:rPr>
        <w:t xml:space="preserve">provided post-test.  </w:t>
      </w:r>
    </w:p>
    <w:p w14:paraId="44355CCB" w14:textId="0471FDBD" w:rsidR="004860AA" w:rsidRPr="003960CC" w:rsidRDefault="004860AA" w:rsidP="00C874EC">
      <w:pPr>
        <w:autoSpaceDE w:val="0"/>
        <w:autoSpaceDN w:val="0"/>
        <w:adjustRightInd w:val="0"/>
        <w:spacing w:before="5" w:line="480" w:lineRule="auto"/>
        <w:ind w:right="-14" w:firstLine="720"/>
        <w:rPr>
          <w:strike/>
          <w:color w:val="000000"/>
        </w:rPr>
      </w:pPr>
      <w:r>
        <w:rPr>
          <w:bCs/>
          <w:i/>
          <w:color w:val="221F1F"/>
        </w:rPr>
        <w:lastRenderedPageBreak/>
        <w:t>Demographics</w:t>
      </w:r>
      <w:r w:rsidRPr="00C874EC">
        <w:rPr>
          <w:bCs/>
          <w:i/>
        </w:rPr>
        <w:t>.</w:t>
      </w:r>
      <w:r w:rsidR="00173F06" w:rsidRPr="00C874EC">
        <w:t xml:space="preserve"> </w:t>
      </w:r>
      <w:r w:rsidR="00701CFD" w:rsidRPr="00C874EC">
        <w:t xml:space="preserve">All </w:t>
      </w:r>
      <w:r w:rsidR="00701CFD">
        <w:rPr>
          <w:color w:val="221F1F"/>
        </w:rPr>
        <w:t xml:space="preserve">volunteers will be asked to complete an online application that will serve as a baseline of demographic information. This application will ask for </w:t>
      </w:r>
      <w:r w:rsidR="00173F06" w:rsidRPr="00C874EC">
        <w:rPr>
          <w:color w:val="000000"/>
        </w:rPr>
        <w:t>general biographical data (age</w:t>
      </w:r>
      <w:r w:rsidR="00701CFD">
        <w:rPr>
          <w:color w:val="000000"/>
        </w:rPr>
        <w:t xml:space="preserve">; </w:t>
      </w:r>
      <w:r w:rsidR="00173F06" w:rsidRPr="00C874EC">
        <w:rPr>
          <w:color w:val="000000"/>
        </w:rPr>
        <w:t>school</w:t>
      </w:r>
      <w:r w:rsidR="00701CFD">
        <w:rPr>
          <w:color w:val="000000"/>
        </w:rPr>
        <w:t>;</w:t>
      </w:r>
      <w:r w:rsidR="00173F06" w:rsidRPr="00C874EC">
        <w:rPr>
          <w:color w:val="000000"/>
        </w:rPr>
        <w:t xml:space="preserve"> year in school</w:t>
      </w:r>
      <w:r w:rsidR="00701CFD">
        <w:rPr>
          <w:color w:val="000000"/>
        </w:rPr>
        <w:t>;</w:t>
      </w:r>
      <w:r w:rsidR="00173F06" w:rsidRPr="00C874EC">
        <w:rPr>
          <w:color w:val="000000"/>
        </w:rPr>
        <w:t xml:space="preserve"> </w:t>
      </w:r>
      <w:r w:rsidR="00701CFD" w:rsidRPr="00C874EC">
        <w:rPr>
          <w:color w:val="000000"/>
        </w:rPr>
        <w:t>major in school</w:t>
      </w:r>
      <w:r w:rsidR="00701CFD">
        <w:rPr>
          <w:color w:val="000000"/>
        </w:rPr>
        <w:t>;</w:t>
      </w:r>
      <w:r w:rsidR="00701CFD" w:rsidRPr="00C874EC">
        <w:rPr>
          <w:color w:val="000000"/>
        </w:rPr>
        <w:t xml:space="preserve"> minor in school, as applicable</w:t>
      </w:r>
      <w:r w:rsidR="00701CFD">
        <w:rPr>
          <w:color w:val="000000"/>
        </w:rPr>
        <w:t>;</w:t>
      </w:r>
      <w:r w:rsidR="00701CFD" w:rsidRPr="00C874EC">
        <w:rPr>
          <w:color w:val="000000"/>
        </w:rPr>
        <w:t xml:space="preserve"> </w:t>
      </w:r>
      <w:r w:rsidR="00173F06" w:rsidRPr="00C874EC">
        <w:rPr>
          <w:color w:val="000000"/>
        </w:rPr>
        <w:t>race</w:t>
      </w:r>
      <w:r w:rsidR="00701CFD">
        <w:rPr>
          <w:color w:val="000000"/>
        </w:rPr>
        <w:t xml:space="preserve">; </w:t>
      </w:r>
      <w:r w:rsidR="00173F06" w:rsidRPr="00C874EC">
        <w:rPr>
          <w:color w:val="000000"/>
        </w:rPr>
        <w:t>gender</w:t>
      </w:r>
      <w:r w:rsidR="00701CFD">
        <w:rPr>
          <w:color w:val="000000"/>
        </w:rPr>
        <w:t>;</w:t>
      </w:r>
      <w:r w:rsidR="00173F06" w:rsidRPr="00C874EC">
        <w:rPr>
          <w:color w:val="000000"/>
        </w:rPr>
        <w:t xml:space="preserve"> sexual orientation</w:t>
      </w:r>
      <w:r w:rsidR="00701CFD">
        <w:rPr>
          <w:color w:val="000000"/>
        </w:rPr>
        <w:t>;</w:t>
      </w:r>
      <w:r w:rsidR="00173F06" w:rsidRPr="00C874EC">
        <w:rPr>
          <w:color w:val="000000"/>
        </w:rPr>
        <w:t xml:space="preserve"> marital status</w:t>
      </w:r>
      <w:r w:rsidR="00701CFD">
        <w:rPr>
          <w:color w:val="000000"/>
        </w:rPr>
        <w:t>;</w:t>
      </w:r>
      <w:r w:rsidR="00173F06" w:rsidRPr="00C874EC">
        <w:rPr>
          <w:color w:val="000000"/>
        </w:rPr>
        <w:t xml:space="preserve"> intended grades to teach</w:t>
      </w:r>
      <w:r w:rsidR="00701CFD">
        <w:rPr>
          <w:color w:val="000000"/>
        </w:rPr>
        <w:t>;</w:t>
      </w:r>
      <w:r w:rsidR="00173F06" w:rsidRPr="00C874EC">
        <w:rPr>
          <w:color w:val="000000"/>
        </w:rPr>
        <w:t xml:space="preserve"> </w:t>
      </w:r>
      <w:r w:rsidR="00701CFD">
        <w:rPr>
          <w:color w:val="000000"/>
        </w:rPr>
        <w:t>previous international travel experience (</w:t>
      </w:r>
      <w:r w:rsidR="00013808">
        <w:rPr>
          <w:color w:val="000000"/>
        </w:rPr>
        <w:t xml:space="preserve">purpose and location); </w:t>
      </w:r>
      <w:r w:rsidR="00173F06" w:rsidRPr="00C874EC">
        <w:rPr>
          <w:color w:val="000000"/>
        </w:rPr>
        <w:t>and destination of study abroad program</w:t>
      </w:r>
      <w:r w:rsidR="003960CC">
        <w:rPr>
          <w:color w:val="000000"/>
        </w:rPr>
        <w:t xml:space="preserve">. </w:t>
      </w:r>
    </w:p>
    <w:p w14:paraId="7049316C" w14:textId="2DAAC65F" w:rsidR="00EF7E9C" w:rsidRPr="004C1736" w:rsidRDefault="00013808" w:rsidP="00C874EC">
      <w:pPr>
        <w:autoSpaceDE w:val="0"/>
        <w:autoSpaceDN w:val="0"/>
        <w:adjustRightInd w:val="0"/>
        <w:spacing w:before="5" w:line="480" w:lineRule="auto"/>
        <w:ind w:right="-14"/>
        <w:rPr>
          <w:color w:val="221F1F"/>
        </w:rPr>
      </w:pPr>
      <w:r>
        <w:rPr>
          <w:bCs/>
          <w:i/>
          <w:color w:val="221F1F"/>
        </w:rPr>
        <w:tab/>
      </w:r>
      <w:r w:rsidR="004860AA" w:rsidRPr="00C874EC">
        <w:rPr>
          <w:bCs/>
          <w:i/>
          <w:color w:val="221F1F"/>
        </w:rPr>
        <w:t>Global Citizenship.</w:t>
      </w:r>
      <w:r w:rsidR="004860AA">
        <w:rPr>
          <w:color w:val="221F1F"/>
        </w:rPr>
        <w:t xml:space="preserve"> </w:t>
      </w:r>
      <w:r w:rsidR="004C1736" w:rsidRPr="004C1736">
        <w:rPr>
          <w:color w:val="221F1F"/>
        </w:rPr>
        <w:t>Th</w:t>
      </w:r>
      <w:r>
        <w:rPr>
          <w:color w:val="221F1F"/>
        </w:rPr>
        <w:t xml:space="preserve">e Global Citizenship Scale </w:t>
      </w:r>
      <w:r w:rsidR="004C1736" w:rsidRPr="004C1736">
        <w:rPr>
          <w:color w:val="221F1F"/>
        </w:rPr>
        <w:t xml:space="preserve">is </w:t>
      </w:r>
      <w:r>
        <w:rPr>
          <w:color w:val="221F1F"/>
        </w:rPr>
        <w:t>a survey of 56 questions</w:t>
      </w:r>
      <w:r w:rsidRPr="004C1736">
        <w:rPr>
          <w:color w:val="221F1F"/>
        </w:rPr>
        <w:t xml:space="preserve"> </w:t>
      </w:r>
      <w:r>
        <w:rPr>
          <w:color w:val="221F1F"/>
        </w:rPr>
        <w:t xml:space="preserve">developed and </w:t>
      </w:r>
      <w:r w:rsidR="004C1736" w:rsidRPr="004C1736">
        <w:rPr>
          <w:color w:val="221F1F"/>
        </w:rPr>
        <w:t xml:space="preserve">introduced by researchers in 2011 to provide a conceptual framework for assessing outcomes following study abroad or other international immersion experiences </w:t>
      </w:r>
      <w:r w:rsidR="00D95D3F">
        <w:rPr>
          <w:color w:val="221F1F"/>
        </w:rPr>
        <w:t xml:space="preserve">for undergraduate students </w:t>
      </w:r>
      <w:r w:rsidR="004C1736" w:rsidRPr="004C1736">
        <w:rPr>
          <w:color w:val="221F1F"/>
        </w:rPr>
        <w:t>(Morais &amp; Ogden, 2011).</w:t>
      </w:r>
      <w:r w:rsidR="004860AA">
        <w:rPr>
          <w:color w:val="221F1F"/>
        </w:rPr>
        <w:t xml:space="preserve"> </w:t>
      </w:r>
      <w:r w:rsidR="00EF7E9C" w:rsidRPr="004C1736">
        <w:rPr>
          <w:color w:val="221F1F"/>
        </w:rPr>
        <w:t xml:space="preserve">The Global Citizenship Scale (GCS) </w:t>
      </w:r>
      <w:r w:rsidR="00EF7E9C">
        <w:rPr>
          <w:color w:val="221F1F"/>
        </w:rPr>
        <w:t>is</w:t>
      </w:r>
      <w:r w:rsidR="00EF7E9C" w:rsidRPr="004C1736">
        <w:rPr>
          <w:color w:val="221F1F"/>
        </w:rPr>
        <w:t xml:space="preserve"> a three-dimensional scale that includes </w:t>
      </w:r>
      <w:r w:rsidR="00EF7E9C" w:rsidRPr="004C1736">
        <w:t>social responsibility, global competence, and global civic engagement</w:t>
      </w:r>
      <w:r w:rsidR="00EF7E9C">
        <w:t xml:space="preserve"> that provides a measurement of global citizenship</w:t>
      </w:r>
      <w:r w:rsidR="00293FF6">
        <w:t xml:space="preserve"> </w:t>
      </w:r>
      <w:r w:rsidR="00D95D3F">
        <w:t>(</w:t>
      </w:r>
      <w:r w:rsidR="005D503F">
        <w:t>Morais and Ogden</w:t>
      </w:r>
      <w:r w:rsidR="00D95D3F">
        <w:t xml:space="preserve">, </w:t>
      </w:r>
      <w:r w:rsidR="005D503F">
        <w:t>20</w:t>
      </w:r>
      <w:r w:rsidR="00D95D3F">
        <w:t>11).</w:t>
      </w:r>
    </w:p>
    <w:p w14:paraId="0312D661" w14:textId="0CC8F64A" w:rsidR="004C1736" w:rsidRDefault="004C1736" w:rsidP="003960CC">
      <w:pPr>
        <w:autoSpaceDE w:val="0"/>
        <w:autoSpaceDN w:val="0"/>
        <w:adjustRightInd w:val="0"/>
        <w:spacing w:before="5" w:line="480" w:lineRule="auto"/>
        <w:ind w:right="-14" w:firstLine="720"/>
      </w:pPr>
      <w:r w:rsidRPr="004C1736">
        <w:t>Each of these factors is broken down into subareas, which are captured in a questionnaire</w:t>
      </w:r>
      <w:r w:rsidR="00214AF6">
        <w:t xml:space="preserve"> </w:t>
      </w:r>
      <w:r w:rsidR="00013808">
        <w:t>(</w:t>
      </w:r>
      <w:r w:rsidR="00214AF6">
        <w:t>s</w:t>
      </w:r>
      <w:r w:rsidR="00013808">
        <w:t>ee appendix A)</w:t>
      </w:r>
      <w:r w:rsidR="00214AF6">
        <w:t>.</w:t>
      </w:r>
      <w:r w:rsidRPr="004C1736">
        <w:t xml:space="preserve"> </w:t>
      </w:r>
      <w:r w:rsidR="00D95D3F">
        <w:t xml:space="preserve"> </w:t>
      </w:r>
      <w:r w:rsidRPr="004C1736">
        <w:t>The tool uses a 5-point Likert scale asking for agreement or disagreement related to self-perceptions of global citizenship.</w:t>
      </w:r>
      <w:r w:rsidR="00C74601">
        <w:t xml:space="preserve"> The GCS uses internal consistency based on the number of items in the </w:t>
      </w:r>
      <w:commentRangeStart w:id="8"/>
      <w:r w:rsidR="00C74601">
        <w:t>scale</w:t>
      </w:r>
      <w:commentRangeEnd w:id="8"/>
      <w:r w:rsidR="004C6D63">
        <w:rPr>
          <w:rStyle w:val="CommentReference"/>
        </w:rPr>
        <w:commentReference w:id="8"/>
      </w:r>
      <w:r w:rsidR="00C74601">
        <w:t xml:space="preserve">; to check for evidence based on </w:t>
      </w:r>
      <w:r w:rsidR="005F2979">
        <w:t>content</w:t>
      </w:r>
      <w:r w:rsidR="00C74601">
        <w:t xml:space="preserve">, this study will use the expertise of senior researchers to examine the content </w:t>
      </w:r>
      <w:r w:rsidR="005F2979">
        <w:t xml:space="preserve">to ensure it </w:t>
      </w:r>
      <w:r w:rsidR="0095441A">
        <w:t>accurately</w:t>
      </w:r>
      <w:r w:rsidR="005F2979">
        <w:t xml:space="preserve"> </w:t>
      </w:r>
      <w:commentRangeStart w:id="9"/>
      <w:r w:rsidR="005F2979">
        <w:t>represents</w:t>
      </w:r>
      <w:commentRangeEnd w:id="9"/>
      <w:r w:rsidR="004C6D63">
        <w:rPr>
          <w:rStyle w:val="CommentReference"/>
        </w:rPr>
        <w:commentReference w:id="9"/>
      </w:r>
      <w:r w:rsidR="005F2979">
        <w:t xml:space="preserve"> the construct presented in this study, namely, illuminating levels of global citizenship.  In addition, this survey measures three key dimensions of global citizenship; factor analysis could be used to analyze the relationships among those elements measured to determine if the construct measured is uni or multi-dimensional. If a factor analysis shows that the three components of global citizenship are present, then we have </w:t>
      </w:r>
      <w:r w:rsidR="00D95D3F">
        <w:t xml:space="preserve">some </w:t>
      </w:r>
      <w:r w:rsidR="005F2979">
        <w:t xml:space="preserve">evidence of internal </w:t>
      </w:r>
      <w:commentRangeStart w:id="10"/>
      <w:r w:rsidR="005F2979">
        <w:t>structure</w:t>
      </w:r>
      <w:commentRangeEnd w:id="10"/>
      <w:r w:rsidR="004C6D63">
        <w:rPr>
          <w:rStyle w:val="CommentReference"/>
        </w:rPr>
        <w:commentReference w:id="10"/>
      </w:r>
      <w:r w:rsidR="005F2979">
        <w:t xml:space="preserve">. </w:t>
      </w:r>
    </w:p>
    <w:p w14:paraId="5CA289E6" w14:textId="33F7BD62" w:rsidR="005F2979" w:rsidRPr="003960CC" w:rsidRDefault="0095441A" w:rsidP="00C874EC">
      <w:pPr>
        <w:autoSpaceDE w:val="0"/>
        <w:autoSpaceDN w:val="0"/>
        <w:adjustRightInd w:val="0"/>
        <w:spacing w:before="5" w:line="480" w:lineRule="auto"/>
        <w:ind w:right="-14"/>
        <w:rPr>
          <w:strike/>
        </w:rPr>
      </w:pPr>
      <w:r>
        <w:tab/>
      </w:r>
      <w:r w:rsidR="00C74601">
        <w:rPr>
          <w:i/>
          <w:iCs/>
        </w:rPr>
        <w:t>Content Survey</w:t>
      </w:r>
      <w:r>
        <w:t xml:space="preserve">. At the conclusion of the study abroad program, participants will complete a </w:t>
      </w:r>
      <w:r w:rsidR="00C74601">
        <w:t>Content S</w:t>
      </w:r>
      <w:r>
        <w:t xml:space="preserve">urvey </w:t>
      </w:r>
      <w:r w:rsidR="00C74601">
        <w:t xml:space="preserve">(CS) </w:t>
      </w:r>
      <w:r>
        <w:t xml:space="preserve">about the </w:t>
      </w:r>
      <w:r w:rsidR="00B307DE">
        <w:t>program design</w:t>
      </w:r>
      <w:r>
        <w:t xml:space="preserve"> of the </w:t>
      </w:r>
      <w:r w:rsidR="00B307DE">
        <w:t>study abroad experience (</w:t>
      </w:r>
      <w:r w:rsidR="00214AF6">
        <w:t>s</w:t>
      </w:r>
      <w:r w:rsidR="00B307DE">
        <w:t xml:space="preserve">ee </w:t>
      </w:r>
      <w:r w:rsidR="00B307DE">
        <w:lastRenderedPageBreak/>
        <w:t xml:space="preserve">appendix </w:t>
      </w:r>
      <w:r w:rsidR="00AE2A19">
        <w:t>C</w:t>
      </w:r>
      <w:r w:rsidR="00214AF6">
        <w:t xml:space="preserve">). </w:t>
      </w:r>
      <w:r>
        <w:t xml:space="preserve">The </w:t>
      </w:r>
      <w:r w:rsidR="00B307DE">
        <w:t>objective</w:t>
      </w:r>
      <w:r>
        <w:t xml:space="preserve"> of </w:t>
      </w:r>
      <w:r w:rsidR="00C74601">
        <w:t>the CS</w:t>
      </w:r>
      <w:r>
        <w:t xml:space="preserve"> is to </w:t>
      </w:r>
      <w:r w:rsidR="00B307DE">
        <w:t xml:space="preserve">provide information if certain components of a study abroad program have more influence on global competency than other components.  </w:t>
      </w:r>
      <w:r>
        <w:t>The</w:t>
      </w:r>
      <w:r w:rsidR="00B307DE">
        <w:t xml:space="preserve"> following components make up the survey: </w:t>
      </w:r>
      <w:r w:rsidR="00F65938">
        <w:t>orientation and post-debrief; duration</w:t>
      </w:r>
      <w:r w:rsidR="00B307DE">
        <w:t xml:space="preserve"> of program; </w:t>
      </w:r>
      <w:r w:rsidR="00F65938">
        <w:t xml:space="preserve">housing; </w:t>
      </w:r>
      <w:r w:rsidR="00B307DE">
        <w:t>level of foreign language competency; required language use</w:t>
      </w:r>
      <w:r w:rsidR="00F65938">
        <w:t>, if applicable</w:t>
      </w:r>
      <w:r w:rsidR="00B307DE">
        <w:t xml:space="preserve"> (in class); use of local faculty</w:t>
      </w:r>
      <w:r w:rsidR="00F65938">
        <w:t xml:space="preserve"> and host institution faculty</w:t>
      </w:r>
      <w:r w:rsidR="00B307DE">
        <w:t xml:space="preserve">; </w:t>
      </w:r>
      <w:r w:rsidR="002659E0">
        <w:t xml:space="preserve">cross-cultural communication course; experiential learning activities; </w:t>
      </w:r>
      <w:r w:rsidR="00F65938">
        <w:t>internship and volunteer opportunities; reflection; travel; and time with other Americans</w:t>
      </w:r>
      <w:r w:rsidR="002659E0">
        <w:t xml:space="preserve"> (Engle &amp; Engle, 2004</w:t>
      </w:r>
      <w:r w:rsidR="00F65938">
        <w:t xml:space="preserve">; </w:t>
      </w:r>
      <w:r w:rsidR="00F65938" w:rsidRPr="00F65938">
        <w:t>Whatley, M., Landon, A. C., Tarrant, M. A., &amp; Rubin, D.</w:t>
      </w:r>
      <w:r w:rsidR="00F65938">
        <w:t xml:space="preserve">, </w:t>
      </w:r>
      <w:r w:rsidR="00F65938" w:rsidRPr="00F65938">
        <w:t>2020</w:t>
      </w:r>
      <w:r w:rsidR="002659E0">
        <w:t>).</w:t>
      </w:r>
      <w:r w:rsidR="00F65938">
        <w:t xml:space="preserve"> </w:t>
      </w:r>
    </w:p>
    <w:p w14:paraId="4C2289A0" w14:textId="77777777" w:rsidR="004E4500" w:rsidRPr="004C1736" w:rsidRDefault="004E4500" w:rsidP="004E4500">
      <w:pPr>
        <w:autoSpaceDE w:val="0"/>
        <w:autoSpaceDN w:val="0"/>
        <w:adjustRightInd w:val="0"/>
        <w:spacing w:line="271" w:lineRule="exact"/>
        <w:ind w:right="-20"/>
        <w:rPr>
          <w:color w:val="221F1F"/>
          <w:position w:val="2"/>
        </w:rPr>
      </w:pPr>
    </w:p>
    <w:p w14:paraId="77A3E5D0" w14:textId="6FF6035B" w:rsidR="004E4500" w:rsidRPr="004C1736" w:rsidRDefault="004E4500" w:rsidP="004E4500">
      <w:pPr>
        <w:autoSpaceDE w:val="0"/>
        <w:autoSpaceDN w:val="0"/>
        <w:adjustRightInd w:val="0"/>
        <w:spacing w:line="276" w:lineRule="exact"/>
        <w:ind w:right="-20"/>
        <w:rPr>
          <w:color w:val="221F1F"/>
          <w:spacing w:val="2"/>
          <w:position w:val="2"/>
        </w:rPr>
      </w:pPr>
      <w:r w:rsidRPr="004C1736">
        <w:rPr>
          <w:b/>
          <w:bCs/>
          <w:color w:val="221F1F"/>
          <w:spacing w:val="-3"/>
          <w:position w:val="2"/>
        </w:rPr>
        <w:t>P</w:t>
      </w:r>
      <w:r w:rsidRPr="004C1736">
        <w:rPr>
          <w:b/>
          <w:bCs/>
          <w:color w:val="221F1F"/>
          <w:spacing w:val="-1"/>
          <w:position w:val="2"/>
        </w:rPr>
        <w:t>r</w:t>
      </w:r>
      <w:r w:rsidRPr="004C1736">
        <w:rPr>
          <w:b/>
          <w:bCs/>
          <w:color w:val="221F1F"/>
          <w:spacing w:val="2"/>
          <w:position w:val="2"/>
        </w:rPr>
        <w:t>o</w:t>
      </w:r>
      <w:r w:rsidRPr="004C1736">
        <w:rPr>
          <w:b/>
          <w:bCs/>
          <w:color w:val="221F1F"/>
          <w:spacing w:val="-1"/>
          <w:position w:val="2"/>
        </w:rPr>
        <w:t>ce</w:t>
      </w:r>
      <w:r w:rsidRPr="004C1736">
        <w:rPr>
          <w:b/>
          <w:bCs/>
          <w:color w:val="221F1F"/>
          <w:spacing w:val="1"/>
          <w:position w:val="2"/>
        </w:rPr>
        <w:t>du</w:t>
      </w:r>
      <w:r w:rsidRPr="004C1736">
        <w:rPr>
          <w:b/>
          <w:bCs/>
          <w:color w:val="221F1F"/>
          <w:spacing w:val="-1"/>
          <w:position w:val="2"/>
        </w:rPr>
        <w:t>re</w:t>
      </w:r>
      <w:r w:rsidRPr="004C1736">
        <w:rPr>
          <w:b/>
          <w:bCs/>
          <w:color w:val="221F1F"/>
          <w:position w:val="2"/>
        </w:rPr>
        <w:t>s</w:t>
      </w:r>
      <w:r w:rsidRPr="004C1736">
        <w:rPr>
          <w:b/>
          <w:bCs/>
          <w:color w:val="221F1F"/>
          <w:spacing w:val="2"/>
          <w:position w:val="2"/>
        </w:rPr>
        <w:t xml:space="preserve"> </w:t>
      </w:r>
    </w:p>
    <w:p w14:paraId="547CCFC2" w14:textId="77777777" w:rsidR="004E4500" w:rsidRPr="004C1736" w:rsidRDefault="004E4500" w:rsidP="004E4500">
      <w:pPr>
        <w:autoSpaceDE w:val="0"/>
        <w:autoSpaceDN w:val="0"/>
        <w:adjustRightInd w:val="0"/>
        <w:spacing w:line="276" w:lineRule="exact"/>
        <w:ind w:right="-20"/>
        <w:rPr>
          <w:color w:val="221F1F"/>
          <w:spacing w:val="2"/>
          <w:position w:val="2"/>
        </w:rPr>
      </w:pPr>
    </w:p>
    <w:p w14:paraId="346630D8" w14:textId="507E1054" w:rsidR="004C1736" w:rsidRDefault="004C1736" w:rsidP="004C1736">
      <w:pPr>
        <w:autoSpaceDE w:val="0"/>
        <w:autoSpaceDN w:val="0"/>
        <w:adjustRightInd w:val="0"/>
        <w:spacing w:line="480" w:lineRule="auto"/>
        <w:ind w:right="-14" w:firstLine="720"/>
      </w:pPr>
      <w:r w:rsidRPr="004C1736">
        <w:t>Once volunteers are selected, each volunteer would be asked to sign a written consent that would explain the purpose of the study, the potential risks of participation, the freedom to withdraw, and the confidentiality and privacy of all results. All participants would also be invited to review the final research report, which would not contain names or other identifying information of participants.</w:t>
      </w:r>
    </w:p>
    <w:p w14:paraId="3A5B25FC" w14:textId="2B33058D" w:rsidR="004E4500" w:rsidRPr="00C874EC" w:rsidRDefault="004E4500" w:rsidP="00840754">
      <w:pPr>
        <w:autoSpaceDE w:val="0"/>
        <w:autoSpaceDN w:val="0"/>
        <w:adjustRightInd w:val="0"/>
        <w:spacing w:line="480" w:lineRule="auto"/>
        <w:ind w:right="-14" w:firstLine="720"/>
        <w:rPr>
          <w:strike/>
          <w:color w:val="221F1F"/>
          <w:spacing w:val="2"/>
          <w:position w:val="2"/>
        </w:rPr>
      </w:pPr>
      <w:r w:rsidRPr="004C1736">
        <w:rPr>
          <w:color w:val="221F1F"/>
          <w:spacing w:val="2"/>
          <w:position w:val="2"/>
        </w:rPr>
        <w:t>Data collection begins with a pre-test assessment using the Global Citizenship Scale</w:t>
      </w:r>
      <w:r w:rsidR="009C74CA">
        <w:rPr>
          <w:color w:val="221F1F"/>
          <w:spacing w:val="2"/>
          <w:position w:val="2"/>
        </w:rPr>
        <w:t xml:space="preserve"> (GCS)</w:t>
      </w:r>
      <w:r w:rsidRPr="004C1736">
        <w:rPr>
          <w:color w:val="221F1F"/>
          <w:spacing w:val="2"/>
          <w:position w:val="2"/>
        </w:rPr>
        <w:t xml:space="preserve">.  Each participant </w:t>
      </w:r>
      <w:r w:rsidR="009C74CA">
        <w:rPr>
          <w:color w:val="221F1F"/>
          <w:spacing w:val="2"/>
          <w:position w:val="2"/>
        </w:rPr>
        <w:t xml:space="preserve">will receive the GCS </w:t>
      </w:r>
      <w:proofErr w:type="gramStart"/>
      <w:r w:rsidR="009C74CA">
        <w:rPr>
          <w:color w:val="221F1F"/>
          <w:spacing w:val="2"/>
          <w:position w:val="2"/>
        </w:rPr>
        <w:t>online, and</w:t>
      </w:r>
      <w:proofErr w:type="gramEnd"/>
      <w:r w:rsidR="009C74CA">
        <w:rPr>
          <w:color w:val="221F1F"/>
          <w:spacing w:val="2"/>
          <w:position w:val="2"/>
        </w:rPr>
        <w:t xml:space="preserve"> </w:t>
      </w:r>
      <w:r w:rsidRPr="004C1736">
        <w:rPr>
          <w:color w:val="221F1F"/>
          <w:spacing w:val="2"/>
          <w:position w:val="2"/>
        </w:rPr>
        <w:t xml:space="preserve">must complete the scale within </w:t>
      </w:r>
      <w:r w:rsidR="009C74CA">
        <w:rPr>
          <w:color w:val="221F1F"/>
          <w:spacing w:val="2"/>
          <w:position w:val="2"/>
        </w:rPr>
        <w:t>ten</w:t>
      </w:r>
      <w:r w:rsidRPr="004C1736">
        <w:rPr>
          <w:color w:val="221F1F"/>
          <w:spacing w:val="2"/>
          <w:position w:val="2"/>
        </w:rPr>
        <w:t xml:space="preserve"> days prio</w:t>
      </w:r>
      <w:r w:rsidR="004C1736" w:rsidRPr="004C1736">
        <w:rPr>
          <w:color w:val="221F1F"/>
          <w:spacing w:val="2"/>
          <w:position w:val="2"/>
        </w:rPr>
        <w:t>r</w:t>
      </w:r>
      <w:r w:rsidRPr="004C1736">
        <w:rPr>
          <w:color w:val="221F1F"/>
          <w:spacing w:val="2"/>
          <w:position w:val="2"/>
        </w:rPr>
        <w:t xml:space="preserve"> to departure.</w:t>
      </w:r>
      <w:r w:rsidR="004C1736" w:rsidRPr="004C1736">
        <w:rPr>
          <w:color w:val="221F1F"/>
          <w:spacing w:val="2"/>
          <w:position w:val="2"/>
        </w:rPr>
        <w:t xml:space="preserve"> </w:t>
      </w:r>
      <w:r w:rsidR="009C74CA">
        <w:rPr>
          <w:color w:val="221F1F"/>
          <w:spacing w:val="2"/>
          <w:position w:val="2"/>
        </w:rPr>
        <w:t xml:space="preserve"> </w:t>
      </w:r>
      <w:r w:rsidRPr="004C1736">
        <w:rPr>
          <w:color w:val="221F1F"/>
          <w:spacing w:val="2"/>
          <w:position w:val="2"/>
        </w:rPr>
        <w:t xml:space="preserve">Upon return from the study abroad program, participants will be asked to complete the </w:t>
      </w:r>
      <w:r w:rsidR="009C74CA">
        <w:rPr>
          <w:color w:val="221F1F"/>
          <w:spacing w:val="2"/>
          <w:position w:val="2"/>
        </w:rPr>
        <w:t>GCS</w:t>
      </w:r>
      <w:r w:rsidRPr="004C1736">
        <w:rPr>
          <w:color w:val="221F1F"/>
          <w:spacing w:val="2"/>
          <w:position w:val="2"/>
        </w:rPr>
        <w:t xml:space="preserve"> again </w:t>
      </w:r>
      <w:r w:rsidR="009C74CA">
        <w:rPr>
          <w:color w:val="221F1F"/>
          <w:spacing w:val="2"/>
          <w:position w:val="2"/>
        </w:rPr>
        <w:t>within ten days</w:t>
      </w:r>
      <w:r w:rsidRPr="004C1736">
        <w:rPr>
          <w:color w:val="221F1F"/>
          <w:spacing w:val="2"/>
          <w:position w:val="2"/>
        </w:rPr>
        <w:t xml:space="preserve"> upon returning. </w:t>
      </w:r>
      <w:r w:rsidR="009C74CA">
        <w:rPr>
          <w:color w:val="221F1F"/>
          <w:spacing w:val="2"/>
          <w:position w:val="2"/>
        </w:rPr>
        <w:t xml:space="preserve">In addition, students will be asked to complete the </w:t>
      </w:r>
      <w:r w:rsidR="00DC410A">
        <w:rPr>
          <w:color w:val="221F1F"/>
          <w:spacing w:val="2"/>
          <w:position w:val="2"/>
        </w:rPr>
        <w:t>Content Survey</w:t>
      </w:r>
      <w:r w:rsidR="009C74CA">
        <w:rPr>
          <w:color w:val="221F1F"/>
          <w:spacing w:val="2"/>
          <w:position w:val="2"/>
        </w:rPr>
        <w:t xml:space="preserve"> regarding the structural components of the</w:t>
      </w:r>
      <w:r w:rsidR="00BE4D8E">
        <w:rPr>
          <w:color w:val="221F1F"/>
          <w:spacing w:val="2"/>
          <w:position w:val="2"/>
        </w:rPr>
        <w:t>ir p</w:t>
      </w:r>
      <w:r w:rsidR="009C74CA">
        <w:rPr>
          <w:color w:val="221F1F"/>
          <w:spacing w:val="2"/>
          <w:position w:val="2"/>
        </w:rPr>
        <w:t>rogram</w:t>
      </w:r>
      <w:r w:rsidR="00DC410A">
        <w:rPr>
          <w:color w:val="221F1F"/>
          <w:spacing w:val="2"/>
          <w:position w:val="2"/>
        </w:rPr>
        <w:t>.</w:t>
      </w:r>
      <w:r w:rsidR="009C74CA">
        <w:rPr>
          <w:color w:val="221F1F"/>
          <w:spacing w:val="2"/>
          <w:position w:val="2"/>
        </w:rPr>
        <w:t xml:space="preserve"> </w:t>
      </w:r>
    </w:p>
    <w:p w14:paraId="6BF85F9E" w14:textId="77777777" w:rsidR="004E4500" w:rsidRPr="004C1736" w:rsidRDefault="004E4500" w:rsidP="004E4500">
      <w:pPr>
        <w:autoSpaceDE w:val="0"/>
        <w:autoSpaceDN w:val="0"/>
        <w:adjustRightInd w:val="0"/>
        <w:spacing w:line="276" w:lineRule="exact"/>
        <w:ind w:right="-20"/>
        <w:rPr>
          <w:color w:val="221F1F"/>
          <w:position w:val="2"/>
        </w:rPr>
      </w:pPr>
    </w:p>
    <w:p w14:paraId="5F2A94E6" w14:textId="7AE94FAD" w:rsidR="004E4500" w:rsidRPr="004C1736" w:rsidRDefault="004E4500" w:rsidP="004E4500">
      <w:pPr>
        <w:autoSpaceDE w:val="0"/>
        <w:autoSpaceDN w:val="0"/>
        <w:adjustRightInd w:val="0"/>
        <w:spacing w:line="276" w:lineRule="exact"/>
        <w:ind w:right="-20"/>
        <w:rPr>
          <w:b/>
          <w:color w:val="221F1F"/>
        </w:rPr>
      </w:pPr>
      <w:r w:rsidRPr="004C1736">
        <w:rPr>
          <w:b/>
          <w:color w:val="221F1F"/>
        </w:rPr>
        <w:t>Ethical Considerations</w:t>
      </w:r>
    </w:p>
    <w:p w14:paraId="63A28D64" w14:textId="6E1724BE" w:rsidR="00F168DD" w:rsidRPr="004C1736" w:rsidRDefault="00F168DD" w:rsidP="004E4500">
      <w:pPr>
        <w:autoSpaceDE w:val="0"/>
        <w:autoSpaceDN w:val="0"/>
        <w:adjustRightInd w:val="0"/>
        <w:spacing w:line="276" w:lineRule="exact"/>
        <w:ind w:right="-20"/>
        <w:rPr>
          <w:b/>
          <w:color w:val="221F1F"/>
        </w:rPr>
      </w:pPr>
    </w:p>
    <w:p w14:paraId="4600AF5F" w14:textId="16EA40CE" w:rsidR="004C1736" w:rsidRPr="004C1736" w:rsidRDefault="004C1736" w:rsidP="004C1736">
      <w:pPr>
        <w:spacing w:line="480" w:lineRule="auto"/>
        <w:ind w:firstLine="720"/>
      </w:pPr>
      <w:r w:rsidRPr="004C1736">
        <w:t xml:space="preserve">This research study, while it does not include minors, does include human </w:t>
      </w:r>
      <w:proofErr w:type="gramStart"/>
      <w:r w:rsidRPr="004C1736">
        <w:t>subjects</w:t>
      </w:r>
      <w:proofErr w:type="gramEnd"/>
      <w:r w:rsidRPr="004C1736">
        <w:t xml:space="preserve"> and therefore would require </w:t>
      </w:r>
      <w:r w:rsidR="00C74601" w:rsidRPr="004C1736">
        <w:t>In</w:t>
      </w:r>
      <w:r w:rsidR="00C74601">
        <w:t>stitutional</w:t>
      </w:r>
      <w:r w:rsidR="00C74601" w:rsidRPr="004C1736">
        <w:t xml:space="preserve"> </w:t>
      </w:r>
      <w:r w:rsidRPr="004C1736">
        <w:t xml:space="preserve">Review Board </w:t>
      </w:r>
      <w:r w:rsidR="00C74601">
        <w:t xml:space="preserve">(IRB) </w:t>
      </w:r>
      <w:r w:rsidRPr="004C1736">
        <w:t xml:space="preserve">approval.  As noted above, written </w:t>
      </w:r>
      <w:r w:rsidRPr="004C1736">
        <w:lastRenderedPageBreak/>
        <w:t xml:space="preserve">informed consent will be obtained from each participant. </w:t>
      </w:r>
      <w:r w:rsidR="00C74601">
        <w:t xml:space="preserve">Each participant will receive a copy of that consent, and the researchers will maintain the original copy within a locked cabinet. </w:t>
      </w:r>
      <w:r w:rsidRPr="004C1736">
        <w:t xml:space="preserve">Also, all participants will be informed that they can withdraw from the research study at anytime without any </w:t>
      </w:r>
      <w:r w:rsidR="00C74601">
        <w:t xml:space="preserve">adverse or other </w:t>
      </w:r>
      <w:r w:rsidRPr="004C1736">
        <w:t xml:space="preserve">consequence.  </w:t>
      </w:r>
      <w:r w:rsidR="00C74601">
        <w:t xml:space="preserve">Any conversations </w:t>
      </w:r>
      <w:commentRangeStart w:id="11"/>
      <w:r w:rsidR="00C74601">
        <w:t>that</w:t>
      </w:r>
      <w:commentRangeEnd w:id="11"/>
      <w:r w:rsidR="004C6D63">
        <w:rPr>
          <w:rStyle w:val="CommentReference"/>
        </w:rPr>
        <w:commentReference w:id="11"/>
      </w:r>
      <w:r w:rsidR="00C74601">
        <w:t xml:space="preserve"> may occur between the researcher and the participants will be kept confidential. </w:t>
      </w:r>
      <w:r w:rsidRPr="004C1736">
        <w:t xml:space="preserve">To help ensure privacy, all email correspondence would be encrypted and subsequently deleted at the conclusion of the study.  Information gathered from the </w:t>
      </w:r>
      <w:r w:rsidR="009C74CA">
        <w:t>GCS</w:t>
      </w:r>
      <w:r w:rsidRPr="004C1736">
        <w:t xml:space="preserve"> will be anonymized</w:t>
      </w:r>
      <w:r w:rsidR="001B099E">
        <w:t xml:space="preserve"> by removing names and any personally identifying information</w:t>
      </w:r>
      <w:r w:rsidR="009C74CA">
        <w:t>.</w:t>
      </w:r>
      <w:r w:rsidRPr="004C1736">
        <w:t xml:space="preserve"> </w:t>
      </w:r>
    </w:p>
    <w:p w14:paraId="73A7D809" w14:textId="510AF03A" w:rsidR="00F168DD" w:rsidRPr="004C1736" w:rsidRDefault="00F168DD" w:rsidP="004E4500">
      <w:pPr>
        <w:autoSpaceDE w:val="0"/>
        <w:autoSpaceDN w:val="0"/>
        <w:adjustRightInd w:val="0"/>
        <w:spacing w:line="276" w:lineRule="exact"/>
        <w:ind w:right="-20"/>
      </w:pPr>
    </w:p>
    <w:p w14:paraId="49F7E7FA" w14:textId="66198371" w:rsidR="007F5771" w:rsidRDefault="007F5771" w:rsidP="004E4500">
      <w:pPr>
        <w:autoSpaceDE w:val="0"/>
        <w:autoSpaceDN w:val="0"/>
        <w:adjustRightInd w:val="0"/>
        <w:spacing w:line="276" w:lineRule="exact"/>
        <w:ind w:right="-20"/>
        <w:rPr>
          <w:b/>
          <w:color w:val="000000"/>
        </w:rPr>
      </w:pPr>
      <w:r>
        <w:rPr>
          <w:b/>
          <w:color w:val="000000"/>
        </w:rPr>
        <w:t>Limitations</w:t>
      </w:r>
    </w:p>
    <w:p w14:paraId="7BD46D73" w14:textId="1F77C818" w:rsidR="009C74CA" w:rsidRDefault="009C74CA" w:rsidP="004E4500">
      <w:pPr>
        <w:autoSpaceDE w:val="0"/>
        <w:autoSpaceDN w:val="0"/>
        <w:adjustRightInd w:val="0"/>
        <w:spacing w:line="276" w:lineRule="exact"/>
        <w:ind w:right="-20"/>
        <w:rPr>
          <w:b/>
          <w:color w:val="000000"/>
        </w:rPr>
      </w:pPr>
    </w:p>
    <w:p w14:paraId="56461D71" w14:textId="41FF4C53" w:rsidR="00920CBF" w:rsidRPr="00840754" w:rsidRDefault="00E279A1" w:rsidP="00840754">
      <w:pPr>
        <w:autoSpaceDE w:val="0"/>
        <w:autoSpaceDN w:val="0"/>
        <w:adjustRightInd w:val="0"/>
        <w:spacing w:before="1" w:line="480" w:lineRule="auto"/>
        <w:ind w:right="-14" w:firstLine="720"/>
        <w:rPr>
          <w:bCs/>
          <w:color w:val="000000"/>
        </w:rPr>
      </w:pPr>
      <w:r>
        <w:rPr>
          <w:color w:val="000000"/>
        </w:rPr>
        <w:t>This</w:t>
      </w:r>
      <w:r w:rsidR="004074B8" w:rsidRPr="004C1736">
        <w:rPr>
          <w:color w:val="000000"/>
        </w:rPr>
        <w:t xml:space="preserve"> study will seek to mitigate several potential </w:t>
      </w:r>
      <w:r w:rsidR="004074B8">
        <w:rPr>
          <w:color w:val="000000"/>
        </w:rPr>
        <w:t>internal validity threats</w:t>
      </w:r>
      <w:r w:rsidR="004074B8" w:rsidRPr="004C1736">
        <w:rPr>
          <w:color w:val="000000"/>
        </w:rPr>
        <w:t xml:space="preserve"> such as selection bias, testing, </w:t>
      </w:r>
      <w:proofErr w:type="gramStart"/>
      <w:r w:rsidR="004074B8" w:rsidRPr="004C1736">
        <w:rPr>
          <w:color w:val="000000"/>
        </w:rPr>
        <w:t>history</w:t>
      </w:r>
      <w:proofErr w:type="gramEnd"/>
      <w:r w:rsidR="004074B8" w:rsidRPr="004C1736">
        <w:rPr>
          <w:color w:val="000000"/>
        </w:rPr>
        <w:t xml:space="preserve"> or attrition</w:t>
      </w:r>
      <w:r>
        <w:rPr>
          <w:color w:val="000000"/>
        </w:rPr>
        <w:t xml:space="preserve"> as well as to address the </w:t>
      </w:r>
      <w:r w:rsidR="009C74CA">
        <w:rPr>
          <w:bCs/>
          <w:color w:val="000000"/>
        </w:rPr>
        <w:t>pretest-posttest research method</w:t>
      </w:r>
      <w:r>
        <w:rPr>
          <w:bCs/>
          <w:color w:val="000000"/>
        </w:rPr>
        <w:t xml:space="preserve"> limitations. In this research method, a</w:t>
      </w:r>
      <w:r w:rsidR="009C74CA">
        <w:rPr>
          <w:bCs/>
          <w:color w:val="000000"/>
        </w:rPr>
        <w:t xml:space="preserve"> risk</w:t>
      </w:r>
      <w:r w:rsidR="004074B8">
        <w:rPr>
          <w:bCs/>
          <w:color w:val="000000"/>
        </w:rPr>
        <w:t xml:space="preserve"> of</w:t>
      </w:r>
      <w:r w:rsidR="009C74CA">
        <w:rPr>
          <w:bCs/>
          <w:color w:val="000000"/>
        </w:rPr>
        <w:t xml:space="preserve"> extraneous variables occurring during the intermediary period between testin</w:t>
      </w:r>
      <w:r w:rsidR="004074B8">
        <w:rPr>
          <w:bCs/>
          <w:color w:val="000000"/>
        </w:rPr>
        <w:t>g</w:t>
      </w:r>
      <w:r>
        <w:rPr>
          <w:bCs/>
          <w:color w:val="000000"/>
        </w:rPr>
        <w:t xml:space="preserve"> is possible, and therefore </w:t>
      </w:r>
      <w:r w:rsidR="004074B8">
        <w:rPr>
          <w:bCs/>
          <w:color w:val="000000"/>
        </w:rPr>
        <w:t>c</w:t>
      </w:r>
      <w:r w:rsidR="009C74CA">
        <w:rPr>
          <w:bCs/>
          <w:color w:val="000000"/>
        </w:rPr>
        <w:t>hanges in s</w:t>
      </w:r>
      <w:r w:rsidR="004074B8">
        <w:rPr>
          <w:bCs/>
          <w:color w:val="000000"/>
        </w:rPr>
        <w:t>cor</w:t>
      </w:r>
      <w:r w:rsidR="009C74CA">
        <w:rPr>
          <w:bCs/>
          <w:color w:val="000000"/>
        </w:rPr>
        <w:t>es on the GCS cannot automatically</w:t>
      </w:r>
      <w:r w:rsidR="004074B8">
        <w:rPr>
          <w:bCs/>
          <w:color w:val="000000"/>
        </w:rPr>
        <w:t xml:space="preserve"> infer causation or relationship to the study abroad program.</w:t>
      </w:r>
      <w:r w:rsidR="009C74CA">
        <w:rPr>
          <w:bCs/>
          <w:color w:val="000000"/>
        </w:rPr>
        <w:t xml:space="preserve"> </w:t>
      </w:r>
      <w:r w:rsidR="004074B8">
        <w:rPr>
          <w:bCs/>
          <w:color w:val="000000"/>
        </w:rPr>
        <w:t xml:space="preserve"> </w:t>
      </w:r>
      <w:r w:rsidR="003D6E25">
        <w:rPr>
          <w:bCs/>
          <w:color w:val="000000"/>
        </w:rPr>
        <w:t>A pretest-posttest can suggest there is an association between participation in a study abroad program and increased global competency, but this method is insufficient to determine causation.</w:t>
      </w:r>
    </w:p>
    <w:p w14:paraId="6FB81E00" w14:textId="77777777" w:rsidR="00214AF6" w:rsidRDefault="00920CBF" w:rsidP="003D6E25">
      <w:pPr>
        <w:autoSpaceDE w:val="0"/>
        <w:autoSpaceDN w:val="0"/>
        <w:adjustRightInd w:val="0"/>
        <w:spacing w:before="5" w:line="480" w:lineRule="auto"/>
        <w:ind w:right="-20" w:firstLine="720"/>
        <w:rPr>
          <w:color w:val="000000"/>
        </w:rPr>
      </w:pPr>
      <w:r w:rsidRPr="00C874EC">
        <w:rPr>
          <w:i/>
          <w:iCs/>
          <w:color w:val="000000"/>
        </w:rPr>
        <w:t>Selection Bias:</w:t>
      </w:r>
      <w:r>
        <w:rPr>
          <w:color w:val="000000"/>
        </w:rPr>
        <w:t xml:space="preserve">  </w:t>
      </w:r>
      <w:r w:rsidR="004074B8">
        <w:rPr>
          <w:color w:val="000000"/>
        </w:rPr>
        <w:t xml:space="preserve">Several potential biases in selection are possible.  For example, a possible selection bias relates to cost of </w:t>
      </w:r>
      <w:r>
        <w:rPr>
          <w:color w:val="000000"/>
        </w:rPr>
        <w:t>participation</w:t>
      </w:r>
      <w:r w:rsidR="004074B8">
        <w:rPr>
          <w:color w:val="000000"/>
        </w:rPr>
        <w:t xml:space="preserve"> in a study abroad program.  Universities were chosen based on their average tuition and availability of scholarships for study abroad programs.  </w:t>
      </w:r>
      <w:r w:rsidRPr="004C1736">
        <w:rPr>
          <w:color w:val="000000"/>
        </w:rPr>
        <w:t xml:space="preserve">By holding steady the financial implications of study abroad programs and the average tuition, this study seeks to mitigate “cost” as a significant extraneous variable. </w:t>
      </w:r>
      <w:r w:rsidR="0008135C">
        <w:rPr>
          <w:color w:val="000000"/>
        </w:rPr>
        <w:t xml:space="preserve">In addition, an effort to mitigate a lack of exposure to student populations of different cultures was made by choosing universities having similar diversity levels as noted in the self-identification of students upon </w:t>
      </w:r>
      <w:r w:rsidR="0008135C">
        <w:rPr>
          <w:color w:val="000000"/>
        </w:rPr>
        <w:lastRenderedPageBreak/>
        <w:t>enrollment.  By mitigating this factor, the objective is to approximate some equal level of exposure to students of different races and ethnicities, even if such exposure was limited to the classroom.</w:t>
      </w:r>
      <w:r w:rsidR="004074B8">
        <w:rPr>
          <w:color w:val="000000"/>
        </w:rPr>
        <w:t xml:space="preserve">  </w:t>
      </w:r>
      <w:r w:rsidR="00E279A1">
        <w:rPr>
          <w:color w:val="000000"/>
        </w:rPr>
        <w:t>Finally</w:t>
      </w:r>
      <w:r w:rsidR="004074B8">
        <w:rPr>
          <w:color w:val="000000"/>
        </w:rPr>
        <w:t>, the parameters of accepting volunteers</w:t>
      </w:r>
      <w:r w:rsidR="00E279A1">
        <w:rPr>
          <w:color w:val="000000"/>
        </w:rPr>
        <w:t xml:space="preserve"> who had not participated in a study abroad program previously as well as had not traveled to the program’s destination helps mitigate exposure to the environment, which may impact the results given on the GCS.  </w:t>
      </w:r>
    </w:p>
    <w:p w14:paraId="486C9290" w14:textId="557D2D71" w:rsidR="004E4500" w:rsidRPr="004C1736" w:rsidRDefault="00214AF6" w:rsidP="00C874EC">
      <w:pPr>
        <w:autoSpaceDE w:val="0"/>
        <w:autoSpaceDN w:val="0"/>
        <w:adjustRightInd w:val="0"/>
        <w:spacing w:before="5" w:line="480" w:lineRule="auto"/>
        <w:ind w:right="-20" w:firstLine="720"/>
        <w:rPr>
          <w:color w:val="221F1F"/>
        </w:rPr>
      </w:pPr>
      <w:r>
        <w:rPr>
          <w:color w:val="000000"/>
        </w:rPr>
        <w:t xml:space="preserve">A separate but additional selection bias limitation is whether there are sufficient future teacher students willing to volunteer for this study </w:t>
      </w:r>
      <w:proofErr w:type="gramStart"/>
      <w:r>
        <w:rPr>
          <w:color w:val="000000"/>
        </w:rPr>
        <w:t>in order to</w:t>
      </w:r>
      <w:proofErr w:type="gramEnd"/>
      <w:r>
        <w:rPr>
          <w:color w:val="000000"/>
        </w:rPr>
        <w:t xml:space="preserve"> meet the n sample.  Should there be an insufficient number of volunteers, this study will </w:t>
      </w:r>
      <w:r w:rsidR="001B099E">
        <w:rPr>
          <w:color w:val="000000"/>
        </w:rPr>
        <w:t xml:space="preserve">work with fewer volunteers rather than </w:t>
      </w:r>
      <w:r>
        <w:rPr>
          <w:color w:val="000000"/>
        </w:rPr>
        <w:t xml:space="preserve">take volunteers who do not meet the criteria </w:t>
      </w:r>
      <w:proofErr w:type="gramStart"/>
      <w:r>
        <w:rPr>
          <w:color w:val="000000"/>
        </w:rPr>
        <w:t>in order to</w:t>
      </w:r>
      <w:proofErr w:type="gramEnd"/>
      <w:r>
        <w:rPr>
          <w:color w:val="000000"/>
        </w:rPr>
        <w:t xml:space="preserve"> maintain the integrity of the parameters of the study.</w:t>
      </w:r>
    </w:p>
    <w:p w14:paraId="187C7D76" w14:textId="1A5DAC92" w:rsidR="004C1736" w:rsidRPr="004C1736" w:rsidRDefault="00E279A1" w:rsidP="00C874EC">
      <w:pPr>
        <w:autoSpaceDE w:val="0"/>
        <w:autoSpaceDN w:val="0"/>
        <w:adjustRightInd w:val="0"/>
        <w:spacing w:before="1" w:line="480" w:lineRule="auto"/>
        <w:ind w:right="-14"/>
        <w:rPr>
          <w:color w:val="221F1F"/>
        </w:rPr>
      </w:pPr>
      <w:r w:rsidRPr="00C874EC">
        <w:rPr>
          <w:color w:val="221F1F"/>
        </w:rPr>
        <w:tab/>
      </w:r>
      <w:r w:rsidR="004C1736" w:rsidRPr="00C874EC">
        <w:rPr>
          <w:i/>
          <w:color w:val="221F1F"/>
        </w:rPr>
        <w:t>Instrumentation.</w:t>
      </w:r>
      <w:r w:rsidR="004C1736" w:rsidRPr="004C1736">
        <w:rPr>
          <w:color w:val="221F1F"/>
        </w:rPr>
        <w:t xml:space="preserve">  Because this study utilizes the Global Citizenship Scale twice</w:t>
      </w:r>
      <w:r w:rsidR="00C475CB">
        <w:rPr>
          <w:color w:val="221F1F"/>
        </w:rPr>
        <w:t xml:space="preserve"> (pre- and </w:t>
      </w:r>
      <w:proofErr w:type="gramStart"/>
      <w:r w:rsidR="00C475CB">
        <w:rPr>
          <w:color w:val="221F1F"/>
        </w:rPr>
        <w:t>post -test</w:t>
      </w:r>
      <w:proofErr w:type="gramEnd"/>
      <w:r w:rsidR="00C475CB">
        <w:rPr>
          <w:color w:val="221F1F"/>
        </w:rPr>
        <w:t>)</w:t>
      </w:r>
      <w:r w:rsidR="004C1736" w:rsidRPr="004C1736">
        <w:rPr>
          <w:color w:val="221F1F"/>
        </w:rPr>
        <w:t xml:space="preserve">, </w:t>
      </w:r>
      <w:r w:rsidR="00C475CB">
        <w:rPr>
          <w:color w:val="221F1F"/>
        </w:rPr>
        <w:t xml:space="preserve">the risk of recollection of questions by the participants </w:t>
      </w:r>
      <w:r>
        <w:rPr>
          <w:color w:val="221F1F"/>
        </w:rPr>
        <w:t>will be</w:t>
      </w:r>
      <w:r w:rsidR="00C475CB">
        <w:rPr>
          <w:color w:val="221F1F"/>
        </w:rPr>
        <w:t xml:space="preserve"> introduced, which may lead to responses orientated toward what researchers would expect </w:t>
      </w:r>
      <w:r>
        <w:rPr>
          <w:color w:val="221F1F"/>
        </w:rPr>
        <w:t xml:space="preserve">to see, </w:t>
      </w:r>
      <w:r w:rsidR="00C475CB">
        <w:rPr>
          <w:color w:val="221F1F"/>
        </w:rPr>
        <w:t xml:space="preserve">or participants may not take the second test seriously.  </w:t>
      </w:r>
      <w:r>
        <w:rPr>
          <w:color w:val="221F1F"/>
        </w:rPr>
        <w:t>In addition, the survey about the study abroad program may be influenced by how the participants felt about the program, and therefore mark accordingly.  To address these risks, scores will be correlated between and among participants to check for reliability</w:t>
      </w:r>
      <w:r w:rsidR="00993F5E">
        <w:rPr>
          <w:color w:val="221F1F"/>
        </w:rPr>
        <w:t>. While not a formal instrument used in this study, p</w:t>
      </w:r>
      <w:r w:rsidR="00C475CB">
        <w:rPr>
          <w:color w:val="221F1F"/>
        </w:rPr>
        <w:t xml:space="preserve">articipants </w:t>
      </w:r>
      <w:r w:rsidR="00993F5E">
        <w:rPr>
          <w:color w:val="221F1F"/>
        </w:rPr>
        <w:t>will be asked</w:t>
      </w:r>
      <w:r w:rsidR="00C475CB">
        <w:rPr>
          <w:color w:val="221F1F"/>
        </w:rPr>
        <w:t xml:space="preserve"> to maintain a travel journal to record their observations, reflect on their experiences, and self-monitor their insights and progression of thought development, which may assist in mitigating this risk</w:t>
      </w:r>
      <w:r w:rsidR="00993F5E">
        <w:rPr>
          <w:color w:val="221F1F"/>
        </w:rPr>
        <w:t>.</w:t>
      </w:r>
    </w:p>
    <w:p w14:paraId="06A63C85" w14:textId="464B89BF" w:rsidR="004C1736" w:rsidRPr="00C874EC" w:rsidRDefault="004C1736" w:rsidP="00840754">
      <w:pPr>
        <w:autoSpaceDE w:val="0"/>
        <w:autoSpaceDN w:val="0"/>
        <w:adjustRightInd w:val="0"/>
        <w:spacing w:before="1" w:line="480" w:lineRule="auto"/>
        <w:ind w:right="-14" w:firstLine="720"/>
        <w:rPr>
          <w:strike/>
          <w:color w:val="000000"/>
        </w:rPr>
      </w:pPr>
      <w:r w:rsidRPr="00C874EC">
        <w:rPr>
          <w:i/>
          <w:color w:val="221F1F"/>
        </w:rPr>
        <w:t>History.</w:t>
      </w:r>
      <w:r w:rsidRPr="004C1736">
        <w:rPr>
          <w:color w:val="221F1F"/>
        </w:rPr>
        <w:t xml:space="preserve"> Another challenge is that an event may occur in one of the locations </w:t>
      </w:r>
      <w:r w:rsidR="003D6E25">
        <w:rPr>
          <w:color w:val="221F1F"/>
        </w:rPr>
        <w:t xml:space="preserve">or regions </w:t>
      </w:r>
      <w:r w:rsidRPr="004C1736">
        <w:rPr>
          <w:color w:val="221F1F"/>
        </w:rPr>
        <w:t xml:space="preserve">that uniquely impacts </w:t>
      </w:r>
      <w:r w:rsidR="003D6E25">
        <w:rPr>
          <w:color w:val="221F1F"/>
        </w:rPr>
        <w:t>a particular study abroad program</w:t>
      </w:r>
      <w:r w:rsidRPr="004C1736">
        <w:rPr>
          <w:color w:val="221F1F"/>
        </w:rPr>
        <w:t xml:space="preserve">.  For example, a tsunami may hit Thailand (should that be a destination) but have no effect on Honduras. </w:t>
      </w:r>
      <w:r w:rsidR="003D6E25">
        <w:rPr>
          <w:color w:val="221F1F"/>
        </w:rPr>
        <w:t xml:space="preserve"> </w:t>
      </w:r>
      <w:r w:rsidR="00993F5E">
        <w:rPr>
          <w:color w:val="221F1F"/>
        </w:rPr>
        <w:t xml:space="preserve">A conflict may rise in </w:t>
      </w:r>
      <w:r w:rsidR="00993F5E">
        <w:rPr>
          <w:color w:val="221F1F"/>
        </w:rPr>
        <w:lastRenderedPageBreak/>
        <w:t xml:space="preserve">Ethiopia but not in Zambia.  </w:t>
      </w:r>
      <w:r w:rsidR="003D6E25">
        <w:rPr>
          <w:color w:val="221F1F"/>
        </w:rPr>
        <w:t xml:space="preserve">In addition, an unexpected event in the personal </w:t>
      </w:r>
      <w:r w:rsidR="00993F5E">
        <w:rPr>
          <w:color w:val="221F1F"/>
        </w:rPr>
        <w:t xml:space="preserve">life of a participant may inadvertently alter the experience of the study abroad program; or, a key faculty member may depart, which disrupts the program’s experience. This challenge may be mitigated by the travel journal noted above, by attrition, or by integrating this information as data in an </w:t>
      </w:r>
      <w:commentRangeStart w:id="12"/>
      <w:r w:rsidR="00993F5E">
        <w:rPr>
          <w:color w:val="221F1F"/>
        </w:rPr>
        <w:t>analysis</w:t>
      </w:r>
      <w:commentRangeEnd w:id="12"/>
      <w:r w:rsidR="004C6D63">
        <w:rPr>
          <w:rStyle w:val="CommentReference"/>
        </w:rPr>
        <w:commentReference w:id="12"/>
      </w:r>
      <w:r w:rsidR="00993F5E">
        <w:rPr>
          <w:color w:val="221F1F"/>
        </w:rPr>
        <w:t xml:space="preserve">. </w:t>
      </w:r>
    </w:p>
    <w:p w14:paraId="004A29E9" w14:textId="39BBB227" w:rsidR="004C1736" w:rsidRPr="00C874EC" w:rsidRDefault="004C1736" w:rsidP="004E4500">
      <w:pPr>
        <w:autoSpaceDE w:val="0"/>
        <w:autoSpaceDN w:val="0"/>
        <w:adjustRightInd w:val="0"/>
        <w:spacing w:before="5"/>
        <w:ind w:right="-20"/>
        <w:rPr>
          <w:strike/>
          <w:color w:val="221F1F"/>
        </w:rPr>
      </w:pPr>
    </w:p>
    <w:p w14:paraId="7F9F1D08" w14:textId="0D403939" w:rsidR="004E4500" w:rsidRDefault="004E4500" w:rsidP="004E4500">
      <w:pPr>
        <w:autoSpaceDE w:val="0"/>
        <w:autoSpaceDN w:val="0"/>
        <w:adjustRightInd w:val="0"/>
        <w:spacing w:before="5"/>
        <w:ind w:right="-20"/>
        <w:rPr>
          <w:b/>
          <w:bCs/>
          <w:color w:val="221F1F"/>
        </w:rPr>
      </w:pPr>
      <w:r w:rsidRPr="004C1736">
        <w:rPr>
          <w:b/>
          <w:bCs/>
          <w:color w:val="221F1F"/>
          <w:spacing w:val="-3"/>
        </w:rPr>
        <w:t>P</w:t>
      </w:r>
      <w:r w:rsidRPr="004C1736">
        <w:rPr>
          <w:b/>
          <w:bCs/>
          <w:color w:val="221F1F"/>
          <w:spacing w:val="-1"/>
        </w:rPr>
        <w:t>r</w:t>
      </w:r>
      <w:r w:rsidRPr="004C1736">
        <w:rPr>
          <w:b/>
          <w:bCs/>
          <w:color w:val="221F1F"/>
        </w:rPr>
        <w:t>o</w:t>
      </w:r>
      <w:r w:rsidRPr="004C1736">
        <w:rPr>
          <w:b/>
          <w:bCs/>
          <w:color w:val="221F1F"/>
          <w:spacing w:val="1"/>
        </w:rPr>
        <w:t>p</w:t>
      </w:r>
      <w:r w:rsidRPr="004C1736">
        <w:rPr>
          <w:b/>
          <w:bCs/>
          <w:color w:val="221F1F"/>
        </w:rPr>
        <w:t>osed</w:t>
      </w:r>
      <w:r w:rsidRPr="004C1736">
        <w:rPr>
          <w:b/>
          <w:bCs/>
          <w:color w:val="221F1F"/>
          <w:spacing w:val="2"/>
        </w:rPr>
        <w:t xml:space="preserve"> </w:t>
      </w:r>
      <w:r w:rsidRPr="004C1736">
        <w:rPr>
          <w:b/>
          <w:bCs/>
          <w:color w:val="221F1F"/>
          <w:spacing w:val="1"/>
        </w:rPr>
        <w:t>P</w:t>
      </w:r>
      <w:r w:rsidRPr="004C1736">
        <w:rPr>
          <w:b/>
          <w:bCs/>
          <w:color w:val="221F1F"/>
          <w:spacing w:val="-1"/>
        </w:rPr>
        <w:t>re</w:t>
      </w:r>
      <w:r w:rsidRPr="004C1736">
        <w:rPr>
          <w:b/>
          <w:bCs/>
          <w:color w:val="221F1F"/>
        </w:rPr>
        <w:t>l</w:t>
      </w:r>
      <w:r w:rsidRPr="004C1736">
        <w:rPr>
          <w:b/>
          <w:bCs/>
          <w:color w:val="221F1F"/>
          <w:spacing w:val="3"/>
        </w:rPr>
        <w:t>i</w:t>
      </w:r>
      <w:r w:rsidRPr="004C1736">
        <w:rPr>
          <w:b/>
          <w:bCs/>
          <w:color w:val="221F1F"/>
          <w:spacing w:val="-3"/>
        </w:rPr>
        <w:t>m</w:t>
      </w:r>
      <w:r w:rsidRPr="004C1736">
        <w:rPr>
          <w:b/>
          <w:bCs/>
          <w:color w:val="221F1F"/>
        </w:rPr>
        <w:t>i</w:t>
      </w:r>
      <w:r w:rsidRPr="004C1736">
        <w:rPr>
          <w:b/>
          <w:bCs/>
          <w:color w:val="221F1F"/>
          <w:spacing w:val="1"/>
        </w:rPr>
        <w:t>n</w:t>
      </w:r>
      <w:r w:rsidRPr="004C1736">
        <w:rPr>
          <w:b/>
          <w:bCs/>
          <w:color w:val="221F1F"/>
        </w:rPr>
        <w:t>a</w:t>
      </w:r>
      <w:r w:rsidRPr="004C1736">
        <w:rPr>
          <w:b/>
          <w:bCs/>
          <w:color w:val="221F1F"/>
          <w:spacing w:val="-1"/>
        </w:rPr>
        <w:t>r</w:t>
      </w:r>
      <w:r w:rsidRPr="004C1736">
        <w:rPr>
          <w:b/>
          <w:bCs/>
          <w:color w:val="221F1F"/>
        </w:rPr>
        <w:t>y</w:t>
      </w:r>
      <w:r w:rsidRPr="004C1736">
        <w:rPr>
          <w:b/>
          <w:bCs/>
          <w:color w:val="221F1F"/>
          <w:spacing w:val="2"/>
        </w:rPr>
        <w:t xml:space="preserve"> </w:t>
      </w:r>
      <w:r w:rsidRPr="004C1736">
        <w:rPr>
          <w:b/>
          <w:bCs/>
          <w:color w:val="221F1F"/>
        </w:rPr>
        <w:t>Da</w:t>
      </w:r>
      <w:r w:rsidRPr="004C1736">
        <w:rPr>
          <w:b/>
          <w:bCs/>
          <w:color w:val="221F1F"/>
          <w:spacing w:val="-1"/>
        </w:rPr>
        <w:t>t</w:t>
      </w:r>
      <w:r w:rsidRPr="004C1736">
        <w:rPr>
          <w:b/>
          <w:bCs/>
          <w:color w:val="221F1F"/>
        </w:rPr>
        <w:t>a A</w:t>
      </w:r>
      <w:r w:rsidRPr="004C1736">
        <w:rPr>
          <w:b/>
          <w:bCs/>
          <w:color w:val="221F1F"/>
          <w:spacing w:val="1"/>
        </w:rPr>
        <w:t>n</w:t>
      </w:r>
      <w:r w:rsidRPr="004C1736">
        <w:rPr>
          <w:b/>
          <w:bCs/>
          <w:color w:val="221F1F"/>
        </w:rPr>
        <w:t>alyses</w:t>
      </w:r>
    </w:p>
    <w:p w14:paraId="73DFEBE9" w14:textId="706A504A" w:rsidR="00993F5E" w:rsidRDefault="00993F5E" w:rsidP="004E4500">
      <w:pPr>
        <w:autoSpaceDE w:val="0"/>
        <w:autoSpaceDN w:val="0"/>
        <w:adjustRightInd w:val="0"/>
        <w:spacing w:before="5"/>
        <w:ind w:right="-20"/>
        <w:rPr>
          <w:b/>
          <w:bCs/>
          <w:color w:val="221F1F"/>
        </w:rPr>
      </w:pPr>
    </w:p>
    <w:p w14:paraId="7191FD2E" w14:textId="6A790C6E" w:rsidR="00EF7E9C" w:rsidRDefault="00EF7E9C" w:rsidP="00C874EC">
      <w:pPr>
        <w:spacing w:before="240" w:line="480" w:lineRule="auto"/>
        <w:ind w:firstLine="720"/>
        <w:rPr>
          <w:color w:val="000000"/>
        </w:rPr>
      </w:pPr>
      <w:r w:rsidRPr="004C6D63">
        <w:rPr>
          <w:strike/>
          <w:color w:val="221F1F"/>
        </w:rPr>
        <w:t xml:space="preserve">The planned analysis will use participation in a Study Abroad program as the </w:t>
      </w:r>
      <w:r w:rsidR="00C74601" w:rsidRPr="004C6D63">
        <w:rPr>
          <w:strike/>
          <w:color w:val="221F1F"/>
        </w:rPr>
        <w:t>constant.</w:t>
      </w:r>
      <w:r w:rsidR="00C74601">
        <w:rPr>
          <w:color w:val="221F1F"/>
        </w:rPr>
        <w:t xml:space="preserve">  The </w:t>
      </w:r>
      <w:r w:rsidRPr="00637DAA">
        <w:rPr>
          <w:color w:val="221F1F"/>
        </w:rPr>
        <w:t>Independent Variable (IV)</w:t>
      </w:r>
      <w:r w:rsidR="00174A1B">
        <w:rPr>
          <w:color w:val="221F1F"/>
        </w:rPr>
        <w:t xml:space="preserve"> is the structure of </w:t>
      </w:r>
      <w:commentRangeStart w:id="13"/>
      <w:r w:rsidR="00174A1B">
        <w:rPr>
          <w:color w:val="221F1F"/>
        </w:rPr>
        <w:t>the</w:t>
      </w:r>
      <w:commentRangeEnd w:id="13"/>
      <w:r w:rsidR="004C6D63">
        <w:rPr>
          <w:rStyle w:val="CommentReference"/>
        </w:rPr>
        <w:commentReference w:id="13"/>
      </w:r>
      <w:r w:rsidR="00174A1B">
        <w:rPr>
          <w:color w:val="221F1F"/>
        </w:rPr>
        <w:t xml:space="preserve"> program, and the </w:t>
      </w:r>
      <w:r w:rsidRPr="00637DAA">
        <w:rPr>
          <w:color w:val="221F1F"/>
        </w:rPr>
        <w:t>Dependent Variable (DV)</w:t>
      </w:r>
      <w:r w:rsidR="00174A1B">
        <w:rPr>
          <w:color w:val="221F1F"/>
        </w:rPr>
        <w:t xml:space="preserve"> is </w:t>
      </w:r>
      <w:r w:rsidRPr="00637DAA">
        <w:rPr>
          <w:color w:val="221F1F"/>
        </w:rPr>
        <w:t xml:space="preserve">the perceived level of global competency recorded by </w:t>
      </w:r>
      <w:commentRangeStart w:id="14"/>
      <w:r w:rsidRPr="00637DAA">
        <w:rPr>
          <w:color w:val="221F1F"/>
        </w:rPr>
        <w:t>participants</w:t>
      </w:r>
      <w:commentRangeEnd w:id="14"/>
      <w:r w:rsidR="004C6D63">
        <w:rPr>
          <w:rStyle w:val="CommentReference"/>
        </w:rPr>
        <w:commentReference w:id="14"/>
      </w:r>
      <w:r w:rsidR="00174A1B">
        <w:rPr>
          <w:color w:val="221F1F"/>
        </w:rPr>
        <w:t>.</w:t>
      </w:r>
    </w:p>
    <w:p w14:paraId="3ACBE8C4" w14:textId="37DBD32D" w:rsidR="00C56B2B" w:rsidRDefault="00993F5E" w:rsidP="00C874EC">
      <w:pPr>
        <w:autoSpaceDE w:val="0"/>
        <w:autoSpaceDN w:val="0"/>
        <w:adjustRightInd w:val="0"/>
        <w:spacing w:before="5" w:line="480" w:lineRule="auto"/>
        <w:ind w:right="-14" w:firstLine="720"/>
        <w:rPr>
          <w:color w:val="221F1F"/>
        </w:rPr>
      </w:pPr>
      <w:r>
        <w:rPr>
          <w:color w:val="221F1F"/>
        </w:rPr>
        <w:t>This research study will use a dependent t-test that will compare pre and post text scores</w:t>
      </w:r>
      <w:r w:rsidR="00354859">
        <w:rPr>
          <w:color w:val="221F1F"/>
        </w:rPr>
        <w:t xml:space="preserve"> of </w:t>
      </w:r>
      <w:r w:rsidR="00174A1B">
        <w:rPr>
          <w:color w:val="221F1F"/>
        </w:rPr>
        <w:t>the GCS measurement tool</w:t>
      </w:r>
      <w:r>
        <w:rPr>
          <w:color w:val="221F1F"/>
        </w:rPr>
        <w:t xml:space="preserve">.  In addition, results from the </w:t>
      </w:r>
      <w:r w:rsidR="00DC410A">
        <w:rPr>
          <w:color w:val="221F1F"/>
        </w:rPr>
        <w:t xml:space="preserve">Content Survey </w:t>
      </w:r>
      <w:r w:rsidR="0094092D">
        <w:rPr>
          <w:color w:val="221F1F"/>
        </w:rPr>
        <w:t xml:space="preserve">will be analyzed to check for similarities and differences among the </w:t>
      </w:r>
      <w:commentRangeStart w:id="15"/>
      <w:r w:rsidR="0094092D">
        <w:rPr>
          <w:color w:val="221F1F"/>
        </w:rPr>
        <w:t>programs</w:t>
      </w:r>
      <w:commentRangeEnd w:id="15"/>
      <w:r w:rsidR="00A20F5B">
        <w:rPr>
          <w:rStyle w:val="CommentReference"/>
        </w:rPr>
        <w:commentReference w:id="15"/>
      </w:r>
      <w:r w:rsidR="00B31DD0">
        <w:rPr>
          <w:color w:val="221F1F"/>
        </w:rPr>
        <w:t xml:space="preserve"> using ANOVA (when appropriate)</w:t>
      </w:r>
      <w:r w:rsidR="0094092D">
        <w:rPr>
          <w:color w:val="221F1F"/>
        </w:rPr>
        <w:t xml:space="preserve">.  Further, the Content Survey data will be added to the </w:t>
      </w:r>
      <w:proofErr w:type="gramStart"/>
      <w:r w:rsidR="0094092D">
        <w:rPr>
          <w:color w:val="221F1F"/>
        </w:rPr>
        <w:t>particular student’s</w:t>
      </w:r>
      <w:proofErr w:type="gramEnd"/>
      <w:r w:rsidR="0094092D">
        <w:rPr>
          <w:color w:val="221F1F"/>
        </w:rPr>
        <w:t xml:space="preserve"> demographic data</w:t>
      </w:r>
      <w:r w:rsidR="00B31DD0">
        <w:rPr>
          <w:color w:val="221F1F"/>
        </w:rPr>
        <w:t xml:space="preserve"> as predictor variables in a regression analysis to examine the </w:t>
      </w:r>
      <w:r w:rsidR="0094092D">
        <w:rPr>
          <w:color w:val="221F1F"/>
        </w:rPr>
        <w:t xml:space="preserve">relationship between the </w:t>
      </w:r>
      <w:r w:rsidR="00DC410A">
        <w:rPr>
          <w:color w:val="221F1F"/>
        </w:rPr>
        <w:t xml:space="preserve">factors in the Content Survey </w:t>
      </w:r>
      <w:r w:rsidR="0094092D">
        <w:rPr>
          <w:color w:val="221F1F"/>
        </w:rPr>
        <w:t>an</w:t>
      </w:r>
      <w:r w:rsidR="00B31DD0">
        <w:rPr>
          <w:color w:val="221F1F"/>
        </w:rPr>
        <w:t>d</w:t>
      </w:r>
      <w:r w:rsidR="0094092D">
        <w:rPr>
          <w:color w:val="221F1F"/>
        </w:rPr>
        <w:t xml:space="preserve"> </w:t>
      </w:r>
      <w:r w:rsidR="00DC410A">
        <w:rPr>
          <w:color w:val="221F1F"/>
        </w:rPr>
        <w:t xml:space="preserve">levels of perceived global competency. </w:t>
      </w:r>
    </w:p>
    <w:p w14:paraId="07F765C2" w14:textId="00AEDC4E" w:rsidR="00174A1B" w:rsidRPr="00A20F5B" w:rsidRDefault="00174A1B" w:rsidP="00C874EC">
      <w:pPr>
        <w:autoSpaceDE w:val="0"/>
        <w:autoSpaceDN w:val="0"/>
        <w:adjustRightInd w:val="0"/>
        <w:spacing w:before="5" w:line="480" w:lineRule="auto"/>
        <w:ind w:right="-14" w:firstLine="720"/>
        <w:rPr>
          <w:strike/>
          <w:color w:val="221F1F"/>
        </w:rPr>
      </w:pPr>
      <w:r w:rsidRPr="00A20F5B">
        <w:rPr>
          <w:strike/>
          <w:color w:val="221F1F"/>
        </w:rPr>
        <w:t>Participant demographic data will be analy</w:t>
      </w:r>
      <w:r w:rsidR="00AE7087" w:rsidRPr="00A20F5B">
        <w:rPr>
          <w:strike/>
          <w:color w:val="221F1F"/>
        </w:rPr>
        <w:t>z</w:t>
      </w:r>
      <w:r w:rsidRPr="00A20F5B">
        <w:rPr>
          <w:strike/>
          <w:color w:val="221F1F"/>
        </w:rPr>
        <w:t xml:space="preserve">ed and disaggregated by each of the reported </w:t>
      </w:r>
      <w:commentRangeStart w:id="16"/>
      <w:r w:rsidRPr="00A20F5B">
        <w:rPr>
          <w:strike/>
          <w:color w:val="221F1F"/>
        </w:rPr>
        <w:t>data</w:t>
      </w:r>
      <w:commentRangeEnd w:id="16"/>
      <w:r w:rsidR="00A20F5B" w:rsidRPr="00A20F5B">
        <w:rPr>
          <w:rStyle w:val="CommentReference"/>
          <w:strike/>
        </w:rPr>
        <w:commentReference w:id="16"/>
      </w:r>
      <w:r w:rsidRPr="00A20F5B">
        <w:rPr>
          <w:strike/>
          <w:color w:val="221F1F"/>
        </w:rPr>
        <w:t xml:space="preserve">.  Where redundancies become prominent, such as participants’ major, groups will be maintained at least by gender, race, destination, and previous experience </w:t>
      </w:r>
      <w:commentRangeStart w:id="17"/>
      <w:r w:rsidRPr="00A20F5B">
        <w:rPr>
          <w:strike/>
          <w:color w:val="221F1F"/>
        </w:rPr>
        <w:t>abroad</w:t>
      </w:r>
      <w:commentRangeEnd w:id="17"/>
      <w:r w:rsidR="00A20F5B" w:rsidRPr="00A20F5B">
        <w:rPr>
          <w:rStyle w:val="CommentReference"/>
          <w:strike/>
        </w:rPr>
        <w:commentReference w:id="17"/>
      </w:r>
      <w:r w:rsidRPr="00A20F5B">
        <w:rPr>
          <w:strike/>
          <w:color w:val="221F1F"/>
        </w:rPr>
        <w:t xml:space="preserve">. </w:t>
      </w:r>
    </w:p>
    <w:p w14:paraId="133336C1" w14:textId="77777777" w:rsidR="004E4500" w:rsidRPr="004C1736" w:rsidRDefault="004E4500" w:rsidP="00C874EC">
      <w:pPr>
        <w:autoSpaceDE w:val="0"/>
        <w:autoSpaceDN w:val="0"/>
        <w:adjustRightInd w:val="0"/>
        <w:spacing w:before="5" w:line="480" w:lineRule="auto"/>
        <w:ind w:right="-14"/>
      </w:pPr>
    </w:p>
    <w:p w14:paraId="0109AC1D" w14:textId="3B4DC1AD" w:rsidR="00C66C99" w:rsidRPr="00DA1073" w:rsidRDefault="00DA1073" w:rsidP="00C66C99">
      <w:pPr>
        <w:spacing w:line="480" w:lineRule="auto"/>
        <w:rPr>
          <w:b/>
          <w:bCs/>
        </w:rPr>
      </w:pPr>
      <w:r>
        <w:rPr>
          <w:b/>
          <w:bCs/>
        </w:rPr>
        <w:t>Expected Findings</w:t>
      </w:r>
    </w:p>
    <w:p w14:paraId="5C49FAB0" w14:textId="313BBC53" w:rsidR="00E45CB1" w:rsidRDefault="00C66C99" w:rsidP="00C66C99">
      <w:pPr>
        <w:spacing w:line="480" w:lineRule="auto"/>
        <w:ind w:firstLine="720"/>
      </w:pPr>
      <w:r w:rsidRPr="004C1736">
        <w:t>Th</w:t>
      </w:r>
      <w:r w:rsidR="00E45CB1">
        <w:t xml:space="preserve">is study will likely result in the assessment </w:t>
      </w:r>
      <w:r w:rsidRPr="004C1736">
        <w:t xml:space="preserve">that </w:t>
      </w:r>
      <w:r w:rsidR="004C1736">
        <w:t>study abroad</w:t>
      </w:r>
      <w:r w:rsidRPr="004C1736">
        <w:t xml:space="preserve"> programs lead to greater </w:t>
      </w:r>
      <w:r w:rsidR="004C1736">
        <w:t xml:space="preserve">perceptions of </w:t>
      </w:r>
      <w:r w:rsidRPr="004C1736">
        <w:t>global c</w:t>
      </w:r>
      <w:r w:rsidR="004C1736">
        <w:t>itizenship</w:t>
      </w:r>
      <w:r w:rsidRPr="004C1736">
        <w:t xml:space="preserve"> among </w:t>
      </w:r>
      <w:r w:rsidR="00E45CB1">
        <w:t>participants</w:t>
      </w:r>
      <w:r w:rsidRPr="004C1736">
        <w:t>.</w:t>
      </w:r>
      <w:r w:rsidR="00E45CB1">
        <w:t xml:space="preserve">  Further, this study may show a tendency for increased levels of global competency when:</w:t>
      </w:r>
    </w:p>
    <w:p w14:paraId="11A58544" w14:textId="77777777" w:rsidR="00E45CB1" w:rsidRDefault="00E45CB1" w:rsidP="00E45CB1">
      <w:pPr>
        <w:pStyle w:val="ListParagraph"/>
        <w:numPr>
          <w:ilvl w:val="0"/>
          <w:numId w:val="7"/>
        </w:numPr>
        <w:spacing w:line="480" w:lineRule="auto"/>
      </w:pPr>
      <w:r>
        <w:lastRenderedPageBreak/>
        <w:t xml:space="preserve"> The destination of the study abroad program is not Europe or Australia</w:t>
      </w:r>
    </w:p>
    <w:p w14:paraId="08FBB08D" w14:textId="77777777" w:rsidR="00E45CB1" w:rsidRDefault="00E45CB1" w:rsidP="00E45CB1">
      <w:pPr>
        <w:pStyle w:val="ListParagraph"/>
        <w:numPr>
          <w:ilvl w:val="0"/>
          <w:numId w:val="7"/>
        </w:numPr>
        <w:spacing w:line="480" w:lineRule="auto"/>
      </w:pPr>
      <w:r>
        <w:t>Another language was spoken in the dominant country, requiring some language ability on behalf of the participant</w:t>
      </w:r>
    </w:p>
    <w:p w14:paraId="3ECEB37C" w14:textId="64DD16B1" w:rsidR="00C56B2B" w:rsidRDefault="00EF7E9C" w:rsidP="00E45CB1">
      <w:pPr>
        <w:pStyle w:val="ListParagraph"/>
        <w:numPr>
          <w:ilvl w:val="0"/>
          <w:numId w:val="7"/>
        </w:numPr>
        <w:spacing w:line="480" w:lineRule="auto"/>
      </w:pPr>
      <w:r>
        <w:t>Participants live with a host family for m</w:t>
      </w:r>
      <w:r w:rsidR="00E45CB1">
        <w:t xml:space="preserve">ultiple weeks </w:t>
      </w:r>
    </w:p>
    <w:p w14:paraId="6B1C8E61" w14:textId="7075FD54" w:rsidR="00C66C99" w:rsidRPr="004C1736" w:rsidRDefault="00C56B2B" w:rsidP="00C874EC">
      <w:pPr>
        <w:pStyle w:val="ListParagraph"/>
        <w:numPr>
          <w:ilvl w:val="0"/>
          <w:numId w:val="7"/>
        </w:numPr>
        <w:spacing w:line="480" w:lineRule="auto"/>
      </w:pPr>
      <w:r>
        <w:t>Participation in a cross-cultural communication class</w:t>
      </w:r>
      <w:r w:rsidR="00E45CB1">
        <w:t xml:space="preserve"> </w:t>
      </w:r>
    </w:p>
    <w:p w14:paraId="418F01C5" w14:textId="7984602C" w:rsidR="00C66C99" w:rsidRPr="004C1736" w:rsidRDefault="00C66C99" w:rsidP="00C66C99">
      <w:pPr>
        <w:spacing w:line="480" w:lineRule="auto"/>
        <w:ind w:firstLine="720"/>
      </w:pPr>
      <w:r w:rsidRPr="004C1736">
        <w:t xml:space="preserve">As our perceptions, learning and attitudes are most profoundly formed during our school years, the school domain is arguably an optimal place to begin to build a global citizenship mindset among students. </w:t>
      </w:r>
      <w:r w:rsidR="00C56B2B" w:rsidRPr="004C1736">
        <w:t>As the demand for global competency increases (Sadruddin</w:t>
      </w:r>
      <w:r w:rsidR="00BE4D8E">
        <w:t xml:space="preserve"> &amp; Wahab</w:t>
      </w:r>
      <w:r w:rsidR="00C56B2B" w:rsidRPr="004C1736">
        <w:t xml:space="preserve">, 2013), </w:t>
      </w:r>
      <w:r w:rsidR="00C56B2B">
        <w:t>t</w:t>
      </w:r>
      <w:r w:rsidRPr="004C1736">
        <w:t xml:space="preserve">he vision is that improving global competency among a greater percentage of </w:t>
      </w:r>
      <w:r w:rsidR="004C1736">
        <w:t>future teachers</w:t>
      </w:r>
      <w:r w:rsidRPr="004C1736">
        <w:t xml:space="preserve"> will lead to more globally competent students and future adults, and hopefully change the trajectory of the continuing, and now escalating, divisiveness facing our nation and broader global community. </w:t>
      </w:r>
    </w:p>
    <w:p w14:paraId="2643C28D" w14:textId="77777777" w:rsidR="00C66C99" w:rsidRPr="000A7E57" w:rsidRDefault="00C66C99" w:rsidP="00C66C99">
      <w:pPr>
        <w:rPr>
          <w:sz w:val="22"/>
          <w:szCs w:val="22"/>
        </w:rPr>
      </w:pPr>
    </w:p>
    <w:p w14:paraId="0ADE3535" w14:textId="09ABD879" w:rsidR="00232C31" w:rsidRDefault="00232C31" w:rsidP="00C66C99">
      <w:pPr>
        <w:rPr>
          <w:sz w:val="22"/>
          <w:szCs w:val="22"/>
        </w:rPr>
      </w:pPr>
    </w:p>
    <w:p w14:paraId="209C3F80" w14:textId="68C590D3" w:rsidR="00232C31" w:rsidRDefault="00A20F5B" w:rsidP="00C66C99">
      <w:pPr>
        <w:rPr>
          <w:color w:val="FF0000"/>
          <w:sz w:val="22"/>
          <w:szCs w:val="22"/>
        </w:rPr>
      </w:pPr>
      <w:r>
        <w:rPr>
          <w:color w:val="FF0000"/>
          <w:sz w:val="22"/>
          <w:szCs w:val="22"/>
        </w:rPr>
        <w:t>Stephanie-</w:t>
      </w:r>
    </w:p>
    <w:p w14:paraId="7E51DB72" w14:textId="41175137" w:rsidR="00A20F5B" w:rsidRDefault="00A20F5B" w:rsidP="00C66C99">
      <w:pPr>
        <w:rPr>
          <w:color w:val="FF0000"/>
          <w:sz w:val="22"/>
          <w:szCs w:val="22"/>
        </w:rPr>
      </w:pPr>
    </w:p>
    <w:p w14:paraId="36937D54" w14:textId="57F8A72A" w:rsidR="00A20F5B" w:rsidRDefault="00A20F5B" w:rsidP="00C66C99">
      <w:pPr>
        <w:rPr>
          <w:color w:val="FF0000"/>
          <w:sz w:val="22"/>
          <w:szCs w:val="22"/>
        </w:rPr>
      </w:pPr>
      <w:r>
        <w:rPr>
          <w:color w:val="FF0000"/>
          <w:sz w:val="22"/>
          <w:szCs w:val="22"/>
        </w:rPr>
        <w:t>You have added in sufficient detail since the last draft and your study components fit together well!  There are still a couple of places where there is some minor lack of clarity but overall excellent work!</w:t>
      </w:r>
    </w:p>
    <w:p w14:paraId="7931CFCB" w14:textId="77777777" w:rsidR="00A20F5B" w:rsidRPr="00A20F5B" w:rsidRDefault="00A20F5B" w:rsidP="00C66C99">
      <w:pPr>
        <w:rPr>
          <w:color w:val="FF0000"/>
          <w:sz w:val="22"/>
          <w:szCs w:val="22"/>
        </w:rPr>
      </w:pPr>
    </w:p>
    <w:p w14:paraId="27605C5D" w14:textId="36C4310E" w:rsidR="00232C31" w:rsidRDefault="00232C31" w:rsidP="00C66C99">
      <w:pPr>
        <w:rPr>
          <w:sz w:val="22"/>
          <w:szCs w:val="22"/>
        </w:rPr>
      </w:pPr>
    </w:p>
    <w:p w14:paraId="1F9AB4B0" w14:textId="0D128C2C" w:rsidR="00232C31" w:rsidRDefault="00232C31" w:rsidP="00C66C99">
      <w:pPr>
        <w:rPr>
          <w:sz w:val="22"/>
          <w:szCs w:val="22"/>
        </w:rPr>
      </w:pPr>
    </w:p>
    <w:p w14:paraId="1B982B5C" w14:textId="12D656E2" w:rsidR="00A20F5B" w:rsidRDefault="00A20F5B">
      <w:pPr>
        <w:rPr>
          <w:sz w:val="22"/>
          <w:szCs w:val="22"/>
        </w:rPr>
      </w:pPr>
      <w:r>
        <w:rPr>
          <w:sz w:val="22"/>
          <w:szCs w:val="22"/>
        </w:rPr>
        <w:br w:type="page"/>
      </w:r>
    </w:p>
    <w:p w14:paraId="3BB0433E" w14:textId="0F3B2B4D" w:rsidR="00930829" w:rsidRDefault="00930829" w:rsidP="004C1736"/>
    <w:p w14:paraId="38B6AF1F" w14:textId="77777777" w:rsidR="00C66C99" w:rsidRPr="006C428B" w:rsidRDefault="00C66C99" w:rsidP="00C66C99">
      <w:pPr>
        <w:jc w:val="center"/>
        <w:rPr>
          <w:b/>
          <w:bCs/>
          <w:sz w:val="22"/>
          <w:szCs w:val="22"/>
        </w:rPr>
      </w:pPr>
      <w:r w:rsidRPr="006C428B">
        <w:rPr>
          <w:b/>
          <w:bCs/>
          <w:sz w:val="22"/>
          <w:szCs w:val="22"/>
        </w:rPr>
        <w:t>References</w:t>
      </w:r>
    </w:p>
    <w:p w14:paraId="536910AD" w14:textId="77777777" w:rsidR="00C66C99" w:rsidRPr="00A33E06" w:rsidRDefault="00C66C99" w:rsidP="00C66C99"/>
    <w:p w14:paraId="1435A954" w14:textId="53E84995" w:rsidR="006E3CBF" w:rsidRPr="006E3CBF" w:rsidRDefault="00C66C99" w:rsidP="006E3CBF">
      <w:pPr>
        <w:pStyle w:val="NoSpacing"/>
        <w:rPr>
          <w:b/>
          <w:bCs/>
          <w:sz w:val="20"/>
          <w:szCs w:val="20"/>
        </w:rPr>
      </w:pPr>
      <w:r w:rsidRPr="006E3CBF">
        <w:rPr>
          <w:sz w:val="20"/>
          <w:szCs w:val="20"/>
        </w:rPr>
        <w:t>American Council on Education (2002)</w:t>
      </w:r>
      <w:r w:rsidR="00930829" w:rsidRPr="006E3CBF">
        <w:rPr>
          <w:sz w:val="20"/>
          <w:szCs w:val="20"/>
        </w:rPr>
        <w:t>.</w:t>
      </w:r>
      <w:r w:rsidRPr="006E3CBF">
        <w:rPr>
          <w:sz w:val="20"/>
          <w:szCs w:val="20"/>
        </w:rPr>
        <w:t xml:space="preserve"> Beyond September 11: A </w:t>
      </w:r>
      <w:r w:rsidR="009A02F8">
        <w:rPr>
          <w:sz w:val="20"/>
          <w:szCs w:val="20"/>
        </w:rPr>
        <w:t>c</w:t>
      </w:r>
      <w:r w:rsidRPr="006E3CBF">
        <w:rPr>
          <w:sz w:val="20"/>
          <w:szCs w:val="20"/>
        </w:rPr>
        <w:t xml:space="preserve">omprehensive </w:t>
      </w:r>
      <w:r w:rsidR="009A02F8">
        <w:rPr>
          <w:sz w:val="20"/>
          <w:szCs w:val="20"/>
        </w:rPr>
        <w:t>n</w:t>
      </w:r>
      <w:r w:rsidRPr="006E3CBF">
        <w:rPr>
          <w:sz w:val="20"/>
          <w:szCs w:val="20"/>
        </w:rPr>
        <w:t xml:space="preserve">ational </w:t>
      </w:r>
      <w:r w:rsidR="009A02F8">
        <w:rPr>
          <w:sz w:val="20"/>
          <w:szCs w:val="20"/>
        </w:rPr>
        <w:t>p</w:t>
      </w:r>
      <w:r w:rsidRPr="006E3CBF">
        <w:rPr>
          <w:sz w:val="20"/>
          <w:szCs w:val="20"/>
        </w:rPr>
        <w:t xml:space="preserve">olicy on </w:t>
      </w:r>
      <w:commentRangeStart w:id="18"/>
      <w:r w:rsidR="009A02F8">
        <w:rPr>
          <w:sz w:val="20"/>
          <w:szCs w:val="20"/>
        </w:rPr>
        <w:t>i</w:t>
      </w:r>
      <w:r w:rsidRPr="006E3CBF">
        <w:rPr>
          <w:sz w:val="20"/>
          <w:szCs w:val="20"/>
        </w:rPr>
        <w:t>nternational</w:t>
      </w:r>
      <w:commentRangeEnd w:id="18"/>
      <w:r w:rsidR="00A20F5B">
        <w:rPr>
          <w:rStyle w:val="CommentReference"/>
        </w:rPr>
        <w:commentReference w:id="18"/>
      </w:r>
      <w:r w:rsidR="006E3CBF" w:rsidRPr="006E3CBF">
        <w:rPr>
          <w:b/>
          <w:bCs/>
          <w:sz w:val="20"/>
          <w:szCs w:val="20"/>
        </w:rPr>
        <w:t xml:space="preserve"> </w:t>
      </w:r>
    </w:p>
    <w:p w14:paraId="00B1A394" w14:textId="26015245" w:rsidR="00C66C99" w:rsidRDefault="009A02F8" w:rsidP="006E3CBF">
      <w:pPr>
        <w:pStyle w:val="NoSpacing"/>
        <w:ind w:firstLine="720"/>
        <w:rPr>
          <w:sz w:val="20"/>
          <w:szCs w:val="20"/>
        </w:rPr>
      </w:pPr>
      <w:r>
        <w:rPr>
          <w:sz w:val="20"/>
          <w:szCs w:val="20"/>
        </w:rPr>
        <w:t>e</w:t>
      </w:r>
      <w:r w:rsidR="00C66C99" w:rsidRPr="006E3CBF">
        <w:rPr>
          <w:sz w:val="20"/>
          <w:szCs w:val="20"/>
        </w:rPr>
        <w:t>ducation</w:t>
      </w:r>
      <w:r>
        <w:rPr>
          <w:sz w:val="20"/>
          <w:szCs w:val="20"/>
        </w:rPr>
        <w:t xml:space="preserve">. </w:t>
      </w:r>
      <w:r w:rsidR="00C66C99" w:rsidRPr="006E3CBF">
        <w:rPr>
          <w:sz w:val="20"/>
          <w:szCs w:val="20"/>
        </w:rPr>
        <w:t xml:space="preserve">American Council on Education. </w:t>
      </w:r>
    </w:p>
    <w:p w14:paraId="74679986" w14:textId="4579AE74" w:rsidR="00232C31" w:rsidRDefault="00232C31" w:rsidP="00232C31">
      <w:pPr>
        <w:pStyle w:val="NoSpacing"/>
        <w:rPr>
          <w:sz w:val="20"/>
          <w:szCs w:val="20"/>
        </w:rPr>
      </w:pPr>
    </w:p>
    <w:p w14:paraId="6D657655" w14:textId="77777777" w:rsidR="00232C31" w:rsidRDefault="00232C31" w:rsidP="00232C31">
      <w:pPr>
        <w:pStyle w:val="NoSpacing"/>
        <w:rPr>
          <w:sz w:val="20"/>
          <w:szCs w:val="20"/>
        </w:rPr>
      </w:pPr>
      <w:r>
        <w:rPr>
          <w:sz w:val="20"/>
          <w:szCs w:val="20"/>
        </w:rPr>
        <w:t xml:space="preserve">American Council on Education (2020). Comprehensive Internationalization.  Retrieved on July 25, </w:t>
      </w:r>
      <w:proofErr w:type="gramStart"/>
      <w:r>
        <w:rPr>
          <w:sz w:val="20"/>
          <w:szCs w:val="20"/>
        </w:rPr>
        <w:t>2020</w:t>
      </w:r>
      <w:proofErr w:type="gramEnd"/>
      <w:r>
        <w:rPr>
          <w:sz w:val="20"/>
          <w:szCs w:val="20"/>
        </w:rPr>
        <w:t xml:space="preserve"> at</w:t>
      </w:r>
    </w:p>
    <w:p w14:paraId="68266CE2" w14:textId="7E63F5AC" w:rsidR="00232C31" w:rsidRDefault="00232C31" w:rsidP="00C874EC">
      <w:pPr>
        <w:pStyle w:val="NoSpacing"/>
        <w:ind w:left="720"/>
        <w:rPr>
          <w:sz w:val="20"/>
          <w:szCs w:val="20"/>
        </w:rPr>
      </w:pPr>
      <w:r w:rsidRPr="00232C31">
        <w:rPr>
          <w:sz w:val="20"/>
          <w:szCs w:val="20"/>
        </w:rPr>
        <w:t>h</w:t>
      </w:r>
      <w:hyperlink r:id="rId12" w:history="1">
        <w:r w:rsidRPr="003B45E7">
          <w:rPr>
            <w:rStyle w:val="Hyperlink"/>
            <w:sz w:val="20"/>
            <w:szCs w:val="20"/>
          </w:rPr>
          <w:t>ttps://www.acenet.edu/Research-Insights/Pages/Internationalization/Comprehensive-I</w:t>
        </w:r>
      </w:hyperlink>
      <w:r w:rsidRPr="00232C31">
        <w:rPr>
          <w:sz w:val="20"/>
          <w:szCs w:val="20"/>
        </w:rPr>
        <w:t>nternationalization.aspx</w:t>
      </w:r>
    </w:p>
    <w:p w14:paraId="0F2C9D7A" w14:textId="77777777" w:rsidR="006E3CBF" w:rsidRPr="006E3CBF" w:rsidRDefault="006E3CBF" w:rsidP="006E3CBF">
      <w:pPr>
        <w:pStyle w:val="NoSpacing"/>
        <w:rPr>
          <w:b/>
          <w:bCs/>
          <w:sz w:val="20"/>
          <w:szCs w:val="20"/>
        </w:rPr>
      </w:pPr>
    </w:p>
    <w:p w14:paraId="0B3DF4CC" w14:textId="77777777" w:rsidR="006E3CBF" w:rsidRPr="006E3CBF" w:rsidRDefault="00C66C99" w:rsidP="006E3CBF">
      <w:pPr>
        <w:pStyle w:val="NoSpacing"/>
        <w:rPr>
          <w:b/>
          <w:bCs/>
          <w:sz w:val="20"/>
          <w:szCs w:val="20"/>
        </w:rPr>
      </w:pPr>
      <w:r w:rsidRPr="006E3CBF">
        <w:rPr>
          <w:sz w:val="20"/>
          <w:szCs w:val="20"/>
        </w:rPr>
        <w:t>Andreotti, V. (2010)</w:t>
      </w:r>
      <w:r w:rsidR="00930829" w:rsidRPr="006E3CBF">
        <w:rPr>
          <w:sz w:val="20"/>
          <w:szCs w:val="20"/>
        </w:rPr>
        <w:t>.</w:t>
      </w:r>
      <w:r w:rsidRPr="006E3CBF">
        <w:rPr>
          <w:sz w:val="20"/>
          <w:szCs w:val="20"/>
        </w:rPr>
        <w:t xml:space="preserve"> Postcolonial and Postcritical Global Citizenship Education</w:t>
      </w:r>
      <w:r w:rsidR="00930829" w:rsidRPr="006E3CBF">
        <w:rPr>
          <w:sz w:val="20"/>
          <w:szCs w:val="20"/>
        </w:rPr>
        <w:t xml:space="preserve">. Eds </w:t>
      </w:r>
      <w:r w:rsidRPr="006E3CBF">
        <w:rPr>
          <w:sz w:val="20"/>
          <w:szCs w:val="20"/>
        </w:rPr>
        <w:t xml:space="preserve">G. Elliott, C. Fourali </w:t>
      </w:r>
      <w:r w:rsidR="00930829" w:rsidRPr="006E3CBF">
        <w:rPr>
          <w:sz w:val="20"/>
          <w:szCs w:val="20"/>
        </w:rPr>
        <w:t>&amp;</w:t>
      </w:r>
      <w:r w:rsidRPr="006E3CBF">
        <w:rPr>
          <w:sz w:val="20"/>
          <w:szCs w:val="20"/>
        </w:rPr>
        <w:t xml:space="preserve"> S. </w:t>
      </w:r>
    </w:p>
    <w:p w14:paraId="39DD195E" w14:textId="6AA6BB82" w:rsidR="00C66C99" w:rsidRDefault="00C66C99" w:rsidP="006E3CBF">
      <w:pPr>
        <w:pStyle w:val="NoSpacing"/>
        <w:ind w:firstLine="720"/>
        <w:rPr>
          <w:sz w:val="20"/>
          <w:szCs w:val="20"/>
        </w:rPr>
      </w:pPr>
      <w:r w:rsidRPr="006E3CBF">
        <w:rPr>
          <w:sz w:val="20"/>
          <w:szCs w:val="20"/>
        </w:rPr>
        <w:t>Issler</w:t>
      </w:r>
      <w:r w:rsidR="00930829" w:rsidRPr="006E3CBF">
        <w:rPr>
          <w:sz w:val="20"/>
          <w:szCs w:val="20"/>
        </w:rPr>
        <w:t>.</w:t>
      </w:r>
      <w:r w:rsidRPr="006E3CBF">
        <w:rPr>
          <w:sz w:val="20"/>
          <w:szCs w:val="20"/>
        </w:rPr>
        <w:t xml:space="preserve"> </w:t>
      </w:r>
      <w:r w:rsidRPr="006E3CBF">
        <w:rPr>
          <w:i/>
          <w:iCs/>
          <w:sz w:val="20"/>
          <w:szCs w:val="20"/>
        </w:rPr>
        <w:t>Education for Social Change</w:t>
      </w:r>
      <w:r w:rsidR="00930829" w:rsidRPr="006E3CBF">
        <w:rPr>
          <w:sz w:val="20"/>
          <w:szCs w:val="20"/>
        </w:rPr>
        <w:t>.</w:t>
      </w:r>
      <w:r w:rsidRPr="006E3CBF">
        <w:rPr>
          <w:sz w:val="20"/>
          <w:szCs w:val="20"/>
        </w:rPr>
        <w:t xml:space="preserve"> Continuum, 223–245. </w:t>
      </w:r>
    </w:p>
    <w:p w14:paraId="44F67DAB" w14:textId="77777777" w:rsidR="006E3CBF" w:rsidRPr="006E3CBF" w:rsidRDefault="006E3CBF" w:rsidP="006E3CBF">
      <w:pPr>
        <w:pStyle w:val="NoSpacing"/>
        <w:rPr>
          <w:rStyle w:val="authors"/>
          <w:b/>
          <w:bCs/>
          <w:sz w:val="20"/>
          <w:szCs w:val="20"/>
        </w:rPr>
      </w:pPr>
    </w:p>
    <w:p w14:paraId="0549157E" w14:textId="77777777" w:rsidR="006E3CBF" w:rsidRDefault="00C66C99" w:rsidP="00C66C99">
      <w:pPr>
        <w:rPr>
          <w:rStyle w:val="arttitle"/>
          <w:sz w:val="20"/>
          <w:szCs w:val="20"/>
        </w:rPr>
      </w:pPr>
      <w:r w:rsidRPr="004808A4">
        <w:rPr>
          <w:rStyle w:val="authors"/>
          <w:sz w:val="20"/>
          <w:szCs w:val="20"/>
        </w:rPr>
        <w:t>Andreotti, V., Biesta G. &amp; Ahenakew, C.</w:t>
      </w:r>
      <w:r w:rsidRPr="004808A4">
        <w:rPr>
          <w:sz w:val="20"/>
          <w:szCs w:val="20"/>
        </w:rPr>
        <w:t xml:space="preserve"> </w:t>
      </w:r>
      <w:r w:rsidRPr="004808A4">
        <w:rPr>
          <w:rStyle w:val="Date1"/>
          <w:sz w:val="20"/>
          <w:szCs w:val="20"/>
        </w:rPr>
        <w:t>(2015)</w:t>
      </w:r>
      <w:r w:rsidRPr="004808A4">
        <w:rPr>
          <w:sz w:val="20"/>
          <w:szCs w:val="20"/>
        </w:rPr>
        <w:t xml:space="preserve"> </w:t>
      </w:r>
      <w:r w:rsidRPr="004C1736">
        <w:rPr>
          <w:rStyle w:val="arttitle"/>
          <w:sz w:val="20"/>
          <w:szCs w:val="20"/>
        </w:rPr>
        <w:t xml:space="preserve">Between the nation and the globe: education for global mindedness </w:t>
      </w:r>
    </w:p>
    <w:p w14:paraId="14DAD2FF" w14:textId="539C20E8" w:rsidR="00C66C99" w:rsidRDefault="00C66C99" w:rsidP="006E3CBF">
      <w:pPr>
        <w:ind w:firstLine="720"/>
        <w:rPr>
          <w:sz w:val="20"/>
          <w:szCs w:val="20"/>
        </w:rPr>
      </w:pPr>
      <w:r w:rsidRPr="004C1736">
        <w:rPr>
          <w:rStyle w:val="arttitle"/>
          <w:sz w:val="20"/>
          <w:szCs w:val="20"/>
        </w:rPr>
        <w:t>in Finland</w:t>
      </w:r>
      <w:r w:rsidR="004C1736">
        <w:rPr>
          <w:rStyle w:val="arttitle"/>
          <w:sz w:val="20"/>
          <w:szCs w:val="20"/>
        </w:rPr>
        <w:t>.</w:t>
      </w:r>
      <w:r w:rsidRPr="004808A4">
        <w:rPr>
          <w:i/>
          <w:iCs/>
          <w:sz w:val="20"/>
          <w:szCs w:val="20"/>
        </w:rPr>
        <w:t xml:space="preserve"> </w:t>
      </w:r>
      <w:r w:rsidRPr="004808A4">
        <w:rPr>
          <w:rStyle w:val="serialtitle"/>
          <w:i/>
          <w:iCs/>
          <w:sz w:val="20"/>
          <w:szCs w:val="20"/>
        </w:rPr>
        <w:t>Globalisation, Societies and Education</w:t>
      </w:r>
      <w:r w:rsidRPr="004808A4">
        <w:rPr>
          <w:rStyle w:val="serialtitle"/>
          <w:sz w:val="20"/>
          <w:szCs w:val="20"/>
        </w:rPr>
        <w:t>,</w:t>
      </w:r>
      <w:r w:rsidRPr="004808A4">
        <w:rPr>
          <w:sz w:val="20"/>
          <w:szCs w:val="20"/>
        </w:rPr>
        <w:t xml:space="preserve"> </w:t>
      </w:r>
      <w:r w:rsidRPr="004808A4">
        <w:rPr>
          <w:rStyle w:val="volumeissue"/>
          <w:sz w:val="20"/>
          <w:szCs w:val="20"/>
        </w:rPr>
        <w:t>13</w:t>
      </w:r>
      <w:r w:rsidR="00B24400">
        <w:rPr>
          <w:rStyle w:val="volumeissue"/>
          <w:sz w:val="20"/>
          <w:szCs w:val="20"/>
        </w:rPr>
        <w:t>(2)</w:t>
      </w:r>
      <w:r w:rsidRPr="004808A4">
        <w:rPr>
          <w:rStyle w:val="volumeissue"/>
          <w:sz w:val="20"/>
          <w:szCs w:val="20"/>
        </w:rPr>
        <w:t>,</w:t>
      </w:r>
      <w:r w:rsidRPr="004808A4">
        <w:rPr>
          <w:sz w:val="20"/>
          <w:szCs w:val="20"/>
        </w:rPr>
        <w:t xml:space="preserve"> </w:t>
      </w:r>
      <w:r w:rsidRPr="004808A4">
        <w:rPr>
          <w:rStyle w:val="pagerange"/>
          <w:sz w:val="20"/>
          <w:szCs w:val="20"/>
        </w:rPr>
        <w:t>246-259</w:t>
      </w:r>
      <w:r w:rsidR="00B24400">
        <w:rPr>
          <w:rStyle w:val="pagerange"/>
          <w:sz w:val="20"/>
          <w:szCs w:val="20"/>
        </w:rPr>
        <w:t>.</w:t>
      </w:r>
      <w:r w:rsidRPr="004808A4">
        <w:rPr>
          <w:sz w:val="20"/>
          <w:szCs w:val="20"/>
        </w:rPr>
        <w:t xml:space="preserve"> </w:t>
      </w:r>
      <w:r w:rsidRPr="004808A4">
        <w:rPr>
          <w:rStyle w:val="doilink"/>
          <w:sz w:val="20"/>
          <w:szCs w:val="20"/>
        </w:rPr>
        <w:t xml:space="preserve">DOI: </w:t>
      </w:r>
      <w:hyperlink r:id="rId13" w:history="1">
        <w:r w:rsidRPr="004808A4">
          <w:rPr>
            <w:rStyle w:val="Hyperlink"/>
            <w:sz w:val="20"/>
            <w:szCs w:val="20"/>
          </w:rPr>
          <w:t>10.1080/14767724.2014.934073</w:t>
        </w:r>
      </w:hyperlink>
      <w:r w:rsidRPr="004808A4">
        <w:rPr>
          <w:sz w:val="20"/>
          <w:szCs w:val="20"/>
        </w:rPr>
        <w:t xml:space="preserve"> </w:t>
      </w:r>
    </w:p>
    <w:p w14:paraId="12B91526" w14:textId="77777777" w:rsidR="00930829" w:rsidRPr="004808A4" w:rsidRDefault="00930829" w:rsidP="00C66C99">
      <w:pPr>
        <w:rPr>
          <w:sz w:val="20"/>
          <w:szCs w:val="20"/>
        </w:rPr>
      </w:pPr>
    </w:p>
    <w:p w14:paraId="340D9C4B" w14:textId="77777777" w:rsidR="00B24400" w:rsidRDefault="00C874EC" w:rsidP="00B24400">
      <w:pPr>
        <w:pStyle w:val="NoSpacing"/>
        <w:rPr>
          <w:rFonts w:eastAsiaTheme="minorHAnsi"/>
          <w:i/>
          <w:iCs/>
          <w:sz w:val="20"/>
          <w:szCs w:val="20"/>
        </w:rPr>
      </w:pPr>
      <w:r w:rsidRPr="009A02F8">
        <w:rPr>
          <w:sz w:val="20"/>
          <w:szCs w:val="20"/>
        </w:rPr>
        <w:t>Banks, J. (2001</w:t>
      </w:r>
      <w:r w:rsidR="00B24400">
        <w:rPr>
          <w:sz w:val="20"/>
          <w:szCs w:val="20"/>
        </w:rPr>
        <w:t>, January/February</w:t>
      </w:r>
      <w:r w:rsidRPr="009A02F8">
        <w:rPr>
          <w:sz w:val="20"/>
          <w:szCs w:val="20"/>
        </w:rPr>
        <w:t xml:space="preserve">). Citizenship education and diversity: Implications for teacher education. </w:t>
      </w:r>
      <w:r w:rsidRPr="009A02F8">
        <w:rPr>
          <w:rFonts w:eastAsiaTheme="minorHAnsi"/>
          <w:i/>
          <w:iCs/>
          <w:sz w:val="20"/>
          <w:szCs w:val="20"/>
        </w:rPr>
        <w:t xml:space="preserve">Journal </w:t>
      </w:r>
    </w:p>
    <w:p w14:paraId="47C35638" w14:textId="6E9BEE22" w:rsidR="00C874EC" w:rsidRPr="00B24400" w:rsidRDefault="00C874EC" w:rsidP="00B24400">
      <w:pPr>
        <w:pStyle w:val="NoSpacing"/>
        <w:ind w:firstLine="720"/>
        <w:rPr>
          <w:rFonts w:eastAsiaTheme="minorHAnsi"/>
          <w:i/>
          <w:iCs/>
          <w:sz w:val="20"/>
          <w:szCs w:val="20"/>
        </w:rPr>
      </w:pPr>
      <w:r w:rsidRPr="009A02F8">
        <w:rPr>
          <w:rFonts w:eastAsiaTheme="minorHAnsi"/>
          <w:i/>
          <w:iCs/>
          <w:sz w:val="20"/>
          <w:szCs w:val="20"/>
        </w:rPr>
        <w:t>of Teache</w:t>
      </w:r>
      <w:r w:rsidR="009A02F8" w:rsidRPr="009A02F8">
        <w:rPr>
          <w:rFonts w:eastAsiaTheme="minorHAnsi"/>
          <w:i/>
          <w:iCs/>
          <w:sz w:val="20"/>
          <w:szCs w:val="20"/>
        </w:rPr>
        <w:t>r Education</w:t>
      </w:r>
      <w:r w:rsidRPr="009A02F8">
        <w:rPr>
          <w:rFonts w:eastAsiaTheme="minorHAnsi"/>
          <w:sz w:val="20"/>
          <w:szCs w:val="20"/>
        </w:rPr>
        <w:t>, 52</w:t>
      </w:r>
      <w:r w:rsidR="00B24400">
        <w:rPr>
          <w:rFonts w:eastAsiaTheme="minorHAnsi"/>
          <w:sz w:val="20"/>
          <w:szCs w:val="20"/>
        </w:rPr>
        <w:t xml:space="preserve">(1), </w:t>
      </w:r>
      <w:r w:rsidRPr="009A02F8">
        <w:rPr>
          <w:rFonts w:eastAsiaTheme="minorHAnsi"/>
          <w:sz w:val="20"/>
          <w:szCs w:val="20"/>
        </w:rPr>
        <w:t>5-16</w:t>
      </w:r>
      <w:r w:rsidR="00B24400">
        <w:rPr>
          <w:rFonts w:eastAsiaTheme="minorHAnsi"/>
          <w:sz w:val="20"/>
          <w:szCs w:val="20"/>
        </w:rPr>
        <w:t>.</w:t>
      </w:r>
    </w:p>
    <w:p w14:paraId="1A280898" w14:textId="77777777" w:rsidR="009A02F8" w:rsidRPr="009A02F8" w:rsidRDefault="009A02F8" w:rsidP="009A02F8">
      <w:pPr>
        <w:pStyle w:val="NoSpacing"/>
        <w:ind w:firstLine="720"/>
        <w:rPr>
          <w:rFonts w:eastAsiaTheme="minorHAnsi"/>
          <w:i/>
          <w:iCs/>
          <w:sz w:val="20"/>
          <w:szCs w:val="20"/>
        </w:rPr>
      </w:pPr>
    </w:p>
    <w:p w14:paraId="29DD32EA" w14:textId="3493E83E" w:rsidR="00C66C99" w:rsidRDefault="00C66C99" w:rsidP="00C66C99">
      <w:pPr>
        <w:autoSpaceDE w:val="0"/>
        <w:autoSpaceDN w:val="0"/>
        <w:adjustRightInd w:val="0"/>
        <w:spacing w:after="240" w:line="280" w:lineRule="atLeast"/>
        <w:rPr>
          <w:color w:val="000000"/>
          <w:sz w:val="20"/>
          <w:szCs w:val="20"/>
        </w:rPr>
      </w:pPr>
      <w:r w:rsidRPr="004808A4">
        <w:rPr>
          <w:color w:val="000000"/>
          <w:sz w:val="20"/>
          <w:szCs w:val="20"/>
        </w:rPr>
        <w:t xml:space="preserve">Baecher, L. (2019). </w:t>
      </w:r>
      <w:r w:rsidRPr="008D5136">
        <w:rPr>
          <w:i/>
          <w:iCs/>
          <w:color w:val="000000"/>
          <w:sz w:val="20"/>
          <w:szCs w:val="20"/>
        </w:rPr>
        <w:t>Global Education Review: Special Issue on Study Abroad in Teacher Education</w:t>
      </w:r>
      <w:r w:rsidRPr="004808A4">
        <w:rPr>
          <w:color w:val="000000"/>
          <w:sz w:val="20"/>
          <w:szCs w:val="20"/>
        </w:rPr>
        <w:t xml:space="preserve">, 6(3). </w:t>
      </w:r>
    </w:p>
    <w:p w14:paraId="6B9006EB" w14:textId="77777777" w:rsidR="006E3CBF" w:rsidRDefault="00C66C99" w:rsidP="00930829">
      <w:pPr>
        <w:autoSpaceDE w:val="0"/>
        <w:autoSpaceDN w:val="0"/>
        <w:adjustRightInd w:val="0"/>
        <w:rPr>
          <w:rFonts w:eastAsiaTheme="minorHAnsi"/>
          <w:i/>
          <w:iCs/>
          <w:sz w:val="20"/>
          <w:szCs w:val="20"/>
        </w:rPr>
      </w:pPr>
      <w:r w:rsidRPr="004808A4">
        <w:rPr>
          <w:rFonts w:eastAsiaTheme="minorHAnsi"/>
          <w:sz w:val="20"/>
          <w:szCs w:val="20"/>
        </w:rPr>
        <w:t xml:space="preserve">Braskamp, L. A. (2009). </w:t>
      </w:r>
      <w:r w:rsidRPr="004C1736">
        <w:rPr>
          <w:rFonts w:eastAsiaTheme="minorHAnsi"/>
          <w:sz w:val="20"/>
          <w:szCs w:val="20"/>
        </w:rPr>
        <w:t>Internationalization in higher education: Four issues to consider</w:t>
      </w:r>
      <w:r w:rsidRPr="004808A4">
        <w:rPr>
          <w:rFonts w:eastAsiaTheme="minorHAnsi"/>
          <w:sz w:val="20"/>
          <w:szCs w:val="20"/>
        </w:rPr>
        <w:t>.</w:t>
      </w:r>
      <w:r w:rsidR="00930829">
        <w:rPr>
          <w:rFonts w:eastAsiaTheme="minorHAnsi"/>
          <w:sz w:val="20"/>
          <w:szCs w:val="20"/>
        </w:rPr>
        <w:t xml:space="preserve"> </w:t>
      </w:r>
      <w:r w:rsidRPr="004C1736">
        <w:rPr>
          <w:rFonts w:eastAsiaTheme="minorHAnsi"/>
          <w:i/>
          <w:iCs/>
          <w:sz w:val="20"/>
          <w:szCs w:val="20"/>
        </w:rPr>
        <w:t xml:space="preserve">Journal of College and </w:t>
      </w:r>
    </w:p>
    <w:p w14:paraId="12384265" w14:textId="5FCA363F" w:rsidR="00C66C99" w:rsidRDefault="00C66C99" w:rsidP="006E3CBF">
      <w:pPr>
        <w:autoSpaceDE w:val="0"/>
        <w:autoSpaceDN w:val="0"/>
        <w:adjustRightInd w:val="0"/>
        <w:ind w:firstLine="720"/>
        <w:rPr>
          <w:rFonts w:eastAsiaTheme="minorHAnsi"/>
          <w:sz w:val="20"/>
          <w:szCs w:val="20"/>
        </w:rPr>
      </w:pPr>
      <w:r w:rsidRPr="004C1736">
        <w:rPr>
          <w:rFonts w:eastAsiaTheme="minorHAnsi"/>
          <w:i/>
          <w:iCs/>
          <w:sz w:val="20"/>
          <w:szCs w:val="20"/>
        </w:rPr>
        <w:t>Character,</w:t>
      </w:r>
      <w:r w:rsidRPr="004808A4">
        <w:rPr>
          <w:rFonts w:eastAsiaTheme="minorHAnsi"/>
          <w:sz w:val="20"/>
          <w:szCs w:val="20"/>
        </w:rPr>
        <w:t xml:space="preserve"> 10(6), 1-7.</w:t>
      </w:r>
    </w:p>
    <w:p w14:paraId="1B4BAE2D" w14:textId="4165BD2E" w:rsidR="004C1736" w:rsidRDefault="004C1736" w:rsidP="00930829">
      <w:pPr>
        <w:autoSpaceDE w:val="0"/>
        <w:autoSpaceDN w:val="0"/>
        <w:adjustRightInd w:val="0"/>
        <w:rPr>
          <w:rFonts w:eastAsiaTheme="minorHAnsi"/>
          <w:sz w:val="20"/>
          <w:szCs w:val="20"/>
        </w:rPr>
      </w:pPr>
    </w:p>
    <w:p w14:paraId="77175677" w14:textId="26099E38" w:rsidR="004C1736" w:rsidRDefault="004C1736" w:rsidP="00930829">
      <w:pPr>
        <w:autoSpaceDE w:val="0"/>
        <w:autoSpaceDN w:val="0"/>
        <w:adjustRightInd w:val="0"/>
        <w:rPr>
          <w:rFonts w:eastAsiaTheme="minorHAnsi"/>
          <w:sz w:val="20"/>
          <w:szCs w:val="20"/>
        </w:rPr>
      </w:pPr>
      <w:r>
        <w:rPr>
          <w:rFonts w:eastAsiaTheme="minorHAnsi"/>
          <w:sz w:val="20"/>
          <w:szCs w:val="20"/>
        </w:rPr>
        <w:t>College Factual (2020). Retrieved July 10, 2020, from https://www.collegefactual.com.</w:t>
      </w:r>
    </w:p>
    <w:p w14:paraId="73A212E5" w14:textId="77777777" w:rsidR="00930829" w:rsidRPr="00930829" w:rsidRDefault="00930829" w:rsidP="00930829">
      <w:pPr>
        <w:autoSpaceDE w:val="0"/>
        <w:autoSpaceDN w:val="0"/>
        <w:adjustRightInd w:val="0"/>
        <w:rPr>
          <w:rFonts w:eastAsiaTheme="minorHAnsi"/>
          <w:sz w:val="20"/>
          <w:szCs w:val="20"/>
        </w:rPr>
      </w:pPr>
    </w:p>
    <w:p w14:paraId="0532A4B4" w14:textId="77777777" w:rsidR="006E3CBF" w:rsidRDefault="00C66C99" w:rsidP="006E3CBF">
      <w:pPr>
        <w:rPr>
          <w:sz w:val="20"/>
          <w:szCs w:val="20"/>
        </w:rPr>
      </w:pPr>
      <w:r w:rsidRPr="004808A4">
        <w:rPr>
          <w:sz w:val="20"/>
          <w:szCs w:val="20"/>
        </w:rPr>
        <w:t xml:space="preserve">Cunningham, H. (2019). </w:t>
      </w:r>
      <w:r w:rsidRPr="004C1736">
        <w:rPr>
          <w:sz w:val="20"/>
          <w:szCs w:val="20"/>
        </w:rPr>
        <w:t xml:space="preserve">Responding to what we notice: International student teaching as a pathway to cultural </w:t>
      </w:r>
    </w:p>
    <w:p w14:paraId="2DF60F79" w14:textId="192D9826" w:rsidR="00C66C99" w:rsidRPr="004808A4" w:rsidRDefault="00C66C99" w:rsidP="006E3CBF">
      <w:pPr>
        <w:ind w:firstLine="720"/>
        <w:rPr>
          <w:sz w:val="20"/>
          <w:szCs w:val="20"/>
        </w:rPr>
      </w:pPr>
      <w:r w:rsidRPr="004C1736">
        <w:rPr>
          <w:sz w:val="20"/>
          <w:szCs w:val="20"/>
        </w:rPr>
        <w:t>responsiveness</w:t>
      </w:r>
      <w:r w:rsidRPr="00930829">
        <w:rPr>
          <w:i/>
          <w:iCs/>
          <w:sz w:val="20"/>
          <w:szCs w:val="20"/>
        </w:rPr>
        <w:t>.</w:t>
      </w:r>
      <w:r w:rsidRPr="004808A4">
        <w:rPr>
          <w:sz w:val="20"/>
          <w:szCs w:val="20"/>
        </w:rPr>
        <w:t xml:space="preserve"> </w:t>
      </w:r>
      <w:r w:rsidRPr="004C1736">
        <w:rPr>
          <w:i/>
          <w:iCs/>
          <w:sz w:val="20"/>
          <w:szCs w:val="20"/>
        </w:rPr>
        <w:t>Urban Education</w:t>
      </w:r>
      <w:r w:rsidRPr="00930829">
        <w:rPr>
          <w:sz w:val="20"/>
          <w:szCs w:val="20"/>
        </w:rPr>
        <w:t>,</w:t>
      </w:r>
      <w:r w:rsidRPr="004808A4">
        <w:rPr>
          <w:sz w:val="20"/>
          <w:szCs w:val="20"/>
        </w:rPr>
        <w:t xml:space="preserve"> 54(9), 1262–1289. DOI: 10.1177/0042085919860569 </w:t>
      </w:r>
    </w:p>
    <w:p w14:paraId="53BC5159" w14:textId="77777777" w:rsidR="00C66C99" w:rsidRPr="004808A4" w:rsidRDefault="00C66C99" w:rsidP="00C66C99">
      <w:pPr>
        <w:rPr>
          <w:sz w:val="20"/>
          <w:szCs w:val="20"/>
        </w:rPr>
      </w:pPr>
    </w:p>
    <w:p w14:paraId="7FBDA748" w14:textId="77777777" w:rsidR="009A02F8" w:rsidRDefault="00C66C99" w:rsidP="009A02F8">
      <w:pPr>
        <w:rPr>
          <w:sz w:val="20"/>
          <w:szCs w:val="20"/>
        </w:rPr>
      </w:pPr>
      <w:r w:rsidRPr="004808A4">
        <w:rPr>
          <w:sz w:val="20"/>
          <w:szCs w:val="20"/>
        </w:rPr>
        <w:t xml:space="preserve">da Costa, M., Stein, S., &amp; Andreotti, V. </w:t>
      </w:r>
      <w:r w:rsidR="009A02F8">
        <w:rPr>
          <w:sz w:val="20"/>
          <w:szCs w:val="20"/>
        </w:rPr>
        <w:t xml:space="preserve">(2020). </w:t>
      </w:r>
      <w:r w:rsidRPr="004C1736">
        <w:rPr>
          <w:sz w:val="20"/>
          <w:szCs w:val="20"/>
        </w:rPr>
        <w:t>A meta-review of typologies of global citizenship education</w:t>
      </w:r>
      <w:r w:rsidRPr="004808A4">
        <w:rPr>
          <w:sz w:val="20"/>
          <w:szCs w:val="20"/>
        </w:rPr>
        <w:t xml:space="preserve">. </w:t>
      </w:r>
    </w:p>
    <w:p w14:paraId="7A89AC9A" w14:textId="76358F0C" w:rsidR="00C66C99" w:rsidRPr="009A02F8" w:rsidRDefault="00C66C99" w:rsidP="009A02F8">
      <w:pPr>
        <w:ind w:firstLine="720"/>
        <w:rPr>
          <w:i/>
          <w:iCs/>
          <w:sz w:val="20"/>
          <w:szCs w:val="20"/>
        </w:rPr>
      </w:pPr>
      <w:r w:rsidRPr="004C1736">
        <w:rPr>
          <w:i/>
          <w:iCs/>
          <w:sz w:val="20"/>
          <w:szCs w:val="20"/>
        </w:rPr>
        <w:t>Comparative Education,</w:t>
      </w:r>
      <w:r w:rsidRPr="004808A4">
        <w:rPr>
          <w:sz w:val="20"/>
          <w:szCs w:val="20"/>
        </w:rPr>
        <w:t xml:space="preserve"> 56(2), 144-164. DOI: 10.1080/03050068.2020.1723352</w:t>
      </w:r>
    </w:p>
    <w:p w14:paraId="0EAF9805" w14:textId="77777777" w:rsidR="00C66C99" w:rsidRPr="004808A4" w:rsidRDefault="00C66C99" w:rsidP="00C66C99">
      <w:pPr>
        <w:rPr>
          <w:sz w:val="20"/>
          <w:szCs w:val="20"/>
        </w:rPr>
      </w:pPr>
    </w:p>
    <w:p w14:paraId="59220F03" w14:textId="77777777" w:rsidR="006E3CBF" w:rsidRDefault="00C66C99" w:rsidP="00C66C99">
      <w:pPr>
        <w:rPr>
          <w:i/>
          <w:iCs/>
          <w:sz w:val="20"/>
          <w:szCs w:val="20"/>
        </w:rPr>
      </w:pPr>
      <w:r w:rsidRPr="00AE6A20">
        <w:rPr>
          <w:sz w:val="20"/>
          <w:szCs w:val="20"/>
        </w:rPr>
        <w:t xml:space="preserve">Davies, I., &amp; Pike, G. (2009). </w:t>
      </w:r>
      <w:r w:rsidRPr="004C1736">
        <w:rPr>
          <w:sz w:val="20"/>
          <w:szCs w:val="20"/>
        </w:rPr>
        <w:t>Global citizenship education: Challenges and possibilities</w:t>
      </w:r>
      <w:r w:rsidRPr="00AE6A20">
        <w:rPr>
          <w:sz w:val="20"/>
          <w:szCs w:val="20"/>
        </w:rPr>
        <w:t xml:space="preserve">. </w:t>
      </w:r>
      <w:r>
        <w:rPr>
          <w:sz w:val="20"/>
          <w:szCs w:val="20"/>
        </w:rPr>
        <w:t>Ed.</w:t>
      </w:r>
      <w:r w:rsidRPr="00AE6A20">
        <w:rPr>
          <w:sz w:val="20"/>
          <w:szCs w:val="20"/>
        </w:rPr>
        <w:t xml:space="preserve"> R.</w:t>
      </w:r>
      <w:r>
        <w:rPr>
          <w:sz w:val="20"/>
          <w:szCs w:val="20"/>
        </w:rPr>
        <w:t xml:space="preserve"> </w:t>
      </w:r>
      <w:r w:rsidRPr="00AE6A20">
        <w:rPr>
          <w:sz w:val="20"/>
          <w:szCs w:val="20"/>
        </w:rPr>
        <w:t>Lewin</w:t>
      </w:r>
      <w:r>
        <w:rPr>
          <w:sz w:val="20"/>
          <w:szCs w:val="20"/>
        </w:rPr>
        <w:t>.</w:t>
      </w:r>
      <w:r w:rsidRPr="00AE6A20">
        <w:rPr>
          <w:sz w:val="20"/>
          <w:szCs w:val="20"/>
        </w:rPr>
        <w:t xml:space="preserve"> </w:t>
      </w:r>
      <w:r w:rsidRPr="004C1736">
        <w:rPr>
          <w:i/>
          <w:iCs/>
          <w:sz w:val="20"/>
          <w:szCs w:val="20"/>
        </w:rPr>
        <w:t xml:space="preserve">The </w:t>
      </w:r>
    </w:p>
    <w:p w14:paraId="3B6E3001" w14:textId="77777777" w:rsidR="006E3CBF" w:rsidRDefault="00C66C99" w:rsidP="006E3CBF">
      <w:pPr>
        <w:ind w:firstLine="720"/>
        <w:rPr>
          <w:sz w:val="20"/>
          <w:szCs w:val="20"/>
        </w:rPr>
      </w:pPr>
      <w:r w:rsidRPr="004C1736">
        <w:rPr>
          <w:i/>
          <w:iCs/>
          <w:sz w:val="20"/>
          <w:szCs w:val="20"/>
        </w:rPr>
        <w:t>handbook of practice and research in study abroad: Higher education and the quest for global citizenship.</w:t>
      </w:r>
      <w:r>
        <w:rPr>
          <w:sz w:val="20"/>
          <w:szCs w:val="20"/>
        </w:rPr>
        <w:t xml:space="preserve"> </w:t>
      </w:r>
    </w:p>
    <w:p w14:paraId="0167A5E7" w14:textId="0AA6C8B3" w:rsidR="00C66C99" w:rsidRDefault="00C66C99" w:rsidP="006E3CBF">
      <w:pPr>
        <w:ind w:firstLine="720"/>
        <w:rPr>
          <w:sz w:val="20"/>
          <w:szCs w:val="20"/>
        </w:rPr>
      </w:pPr>
      <w:r>
        <w:rPr>
          <w:sz w:val="20"/>
          <w:szCs w:val="20"/>
        </w:rPr>
        <w:t>Routledge. 61-77.</w:t>
      </w:r>
    </w:p>
    <w:p w14:paraId="0054373C" w14:textId="77777777" w:rsidR="00C66C99" w:rsidRDefault="00C66C99" w:rsidP="00C66C99">
      <w:pPr>
        <w:rPr>
          <w:sz w:val="20"/>
          <w:szCs w:val="20"/>
        </w:rPr>
      </w:pPr>
    </w:p>
    <w:p w14:paraId="39D7A1A2" w14:textId="6CC027F1" w:rsidR="00C66C99" w:rsidRDefault="00C66C99" w:rsidP="00C66C99">
      <w:pPr>
        <w:rPr>
          <w:sz w:val="20"/>
          <w:szCs w:val="20"/>
        </w:rPr>
      </w:pPr>
      <w:r>
        <w:rPr>
          <w:sz w:val="20"/>
          <w:szCs w:val="20"/>
        </w:rPr>
        <w:t xml:space="preserve">Diaz, C.F., Massialas, B. &amp; Zanthopoulos, J. (1999). </w:t>
      </w:r>
      <w:r w:rsidRPr="00746A95">
        <w:rPr>
          <w:i/>
          <w:iCs/>
          <w:sz w:val="20"/>
          <w:szCs w:val="20"/>
        </w:rPr>
        <w:t>Global Perspectives for Educators</w:t>
      </w:r>
      <w:r>
        <w:rPr>
          <w:sz w:val="20"/>
          <w:szCs w:val="20"/>
        </w:rPr>
        <w:t>. Allyn and Bacon.</w:t>
      </w:r>
    </w:p>
    <w:p w14:paraId="22C948FB" w14:textId="1F01858D" w:rsidR="0095441A" w:rsidRDefault="0095441A" w:rsidP="00C66C99">
      <w:pPr>
        <w:rPr>
          <w:sz w:val="20"/>
          <w:szCs w:val="20"/>
        </w:rPr>
      </w:pPr>
    </w:p>
    <w:p w14:paraId="24B0B6C4" w14:textId="77777777" w:rsidR="0095441A" w:rsidRDefault="0095441A" w:rsidP="0095441A">
      <w:pPr>
        <w:rPr>
          <w:sz w:val="20"/>
          <w:szCs w:val="20"/>
        </w:rPr>
      </w:pPr>
      <w:r w:rsidRPr="0095441A">
        <w:rPr>
          <w:sz w:val="20"/>
          <w:szCs w:val="20"/>
        </w:rPr>
        <w:t xml:space="preserve">Engle, L., &amp; Engle, J. (2004). Assessing Language Acquisition and Intercultural Sensitivity Development in </w:t>
      </w:r>
    </w:p>
    <w:p w14:paraId="2D53690B" w14:textId="5A47BC62" w:rsidR="0095441A" w:rsidRPr="0095441A" w:rsidRDefault="0095441A" w:rsidP="00C874EC">
      <w:pPr>
        <w:ind w:left="720"/>
        <w:rPr>
          <w:sz w:val="20"/>
          <w:szCs w:val="20"/>
        </w:rPr>
      </w:pPr>
      <w:r w:rsidRPr="0095441A">
        <w:rPr>
          <w:sz w:val="20"/>
          <w:szCs w:val="20"/>
        </w:rPr>
        <w:t xml:space="preserve">Relation to Study Abroad Program Design. </w:t>
      </w:r>
      <w:r w:rsidRPr="0095441A">
        <w:rPr>
          <w:i/>
          <w:iCs/>
          <w:sz w:val="20"/>
          <w:szCs w:val="20"/>
        </w:rPr>
        <w:t>Frontiers</w:t>
      </w:r>
      <w:r w:rsidR="00B24400">
        <w:rPr>
          <w:i/>
          <w:iCs/>
          <w:sz w:val="20"/>
          <w:szCs w:val="20"/>
        </w:rPr>
        <w:t>,</w:t>
      </w:r>
      <w:r>
        <w:rPr>
          <w:i/>
          <w:iCs/>
          <w:sz w:val="20"/>
          <w:szCs w:val="20"/>
        </w:rPr>
        <w:t xml:space="preserve"> </w:t>
      </w:r>
      <w:r>
        <w:rPr>
          <w:sz w:val="20"/>
          <w:szCs w:val="20"/>
        </w:rPr>
        <w:t xml:space="preserve">10(1), </w:t>
      </w:r>
      <w:r w:rsidRPr="0095441A">
        <w:rPr>
          <w:sz w:val="20"/>
          <w:szCs w:val="20"/>
        </w:rPr>
        <w:t>219–236. https://doi.org/10.36366/frontiers.v10i1.142</w:t>
      </w:r>
    </w:p>
    <w:p w14:paraId="186D26D3" w14:textId="77777777" w:rsidR="0095441A" w:rsidRPr="004808A4" w:rsidRDefault="0095441A" w:rsidP="00C66C99">
      <w:pPr>
        <w:rPr>
          <w:sz w:val="20"/>
          <w:szCs w:val="20"/>
        </w:rPr>
      </w:pPr>
    </w:p>
    <w:p w14:paraId="2C6B92F9" w14:textId="16CF9D8A" w:rsidR="006E3CBF" w:rsidRPr="00B24400" w:rsidRDefault="00C66C99" w:rsidP="00C66C99">
      <w:pPr>
        <w:rPr>
          <w:rFonts w:eastAsiaTheme="minorHAnsi"/>
          <w:i/>
          <w:iCs/>
          <w:sz w:val="20"/>
          <w:szCs w:val="20"/>
        </w:rPr>
      </w:pPr>
      <w:r w:rsidRPr="004808A4">
        <w:rPr>
          <w:sz w:val="20"/>
          <w:szCs w:val="20"/>
        </w:rPr>
        <w:t>Flinders, D. (2009)</w:t>
      </w:r>
      <w:r w:rsidR="00B24400">
        <w:rPr>
          <w:sz w:val="20"/>
          <w:szCs w:val="20"/>
        </w:rPr>
        <w:t xml:space="preserve">. </w:t>
      </w:r>
      <w:r w:rsidRPr="00B24400">
        <w:rPr>
          <w:sz w:val="20"/>
          <w:szCs w:val="20"/>
        </w:rPr>
        <w:t>Globalization and Teacher Education.</w:t>
      </w:r>
      <w:r w:rsidRPr="004808A4">
        <w:rPr>
          <w:sz w:val="20"/>
          <w:szCs w:val="20"/>
        </w:rPr>
        <w:t xml:space="preserve"> Keynote Address, Indiana University. </w:t>
      </w:r>
      <w:r w:rsidRPr="00B24400">
        <w:rPr>
          <w:rFonts w:eastAsiaTheme="minorHAnsi"/>
          <w:i/>
          <w:iCs/>
          <w:sz w:val="20"/>
          <w:szCs w:val="20"/>
        </w:rPr>
        <w:t xml:space="preserve">Mid- Western </w:t>
      </w:r>
    </w:p>
    <w:p w14:paraId="373EE964" w14:textId="0D3459F4" w:rsidR="00C66C99" w:rsidRPr="004808A4" w:rsidRDefault="00C66C99" w:rsidP="006E3CBF">
      <w:pPr>
        <w:ind w:firstLine="720"/>
        <w:rPr>
          <w:rFonts w:eastAsiaTheme="minorHAnsi"/>
          <w:sz w:val="20"/>
          <w:szCs w:val="20"/>
        </w:rPr>
      </w:pPr>
      <w:r w:rsidRPr="00B24400">
        <w:rPr>
          <w:rFonts w:eastAsiaTheme="minorHAnsi"/>
          <w:i/>
          <w:iCs/>
          <w:sz w:val="20"/>
          <w:szCs w:val="20"/>
        </w:rPr>
        <w:t>Educational Researcher</w:t>
      </w:r>
      <w:r w:rsidRPr="004808A4">
        <w:rPr>
          <w:rFonts w:eastAsiaTheme="minorHAnsi"/>
          <w:sz w:val="20"/>
          <w:szCs w:val="20"/>
        </w:rPr>
        <w:t>, 22</w:t>
      </w:r>
      <w:r w:rsidR="00930829">
        <w:rPr>
          <w:rFonts w:eastAsiaTheme="minorHAnsi"/>
          <w:sz w:val="20"/>
          <w:szCs w:val="20"/>
        </w:rPr>
        <w:t>(</w:t>
      </w:r>
      <w:r w:rsidRPr="004808A4">
        <w:rPr>
          <w:rFonts w:eastAsiaTheme="minorHAnsi"/>
          <w:sz w:val="20"/>
          <w:szCs w:val="20"/>
        </w:rPr>
        <w:t>1</w:t>
      </w:r>
      <w:r w:rsidR="00930829">
        <w:rPr>
          <w:rFonts w:eastAsiaTheme="minorHAnsi"/>
          <w:sz w:val="20"/>
          <w:szCs w:val="20"/>
        </w:rPr>
        <w:t>)</w:t>
      </w:r>
      <w:r w:rsidRPr="004808A4">
        <w:rPr>
          <w:rFonts w:eastAsiaTheme="minorHAnsi"/>
          <w:sz w:val="20"/>
          <w:szCs w:val="20"/>
        </w:rPr>
        <w:t>, Winter.</w:t>
      </w:r>
    </w:p>
    <w:p w14:paraId="038C7D1F" w14:textId="77777777" w:rsidR="00C66C99" w:rsidRPr="004808A4" w:rsidRDefault="00C66C99" w:rsidP="00C66C99">
      <w:pPr>
        <w:rPr>
          <w:rFonts w:eastAsiaTheme="minorHAnsi"/>
          <w:sz w:val="20"/>
          <w:szCs w:val="20"/>
        </w:rPr>
      </w:pPr>
    </w:p>
    <w:p w14:paraId="272F0065" w14:textId="77777777" w:rsidR="006E3CBF" w:rsidRDefault="00C66C99" w:rsidP="00C66C99">
      <w:pPr>
        <w:rPr>
          <w:rFonts w:eastAsiaTheme="minorHAnsi"/>
          <w:sz w:val="20"/>
          <w:szCs w:val="20"/>
        </w:rPr>
      </w:pPr>
      <w:r w:rsidRPr="004808A4">
        <w:rPr>
          <w:rFonts w:eastAsiaTheme="minorHAnsi"/>
          <w:sz w:val="20"/>
          <w:szCs w:val="20"/>
        </w:rPr>
        <w:t xml:space="preserve">Gallavan, N. (2008). </w:t>
      </w:r>
      <w:r w:rsidRPr="004C1736">
        <w:rPr>
          <w:rFonts w:eastAsiaTheme="minorHAnsi"/>
          <w:sz w:val="20"/>
          <w:szCs w:val="20"/>
        </w:rPr>
        <w:t>Examining Teacher Candidates’ Views on Teaching World Citizenship</w:t>
      </w:r>
      <w:r w:rsidRPr="004808A4">
        <w:rPr>
          <w:rFonts w:eastAsiaTheme="minorHAnsi"/>
          <w:sz w:val="20"/>
          <w:szCs w:val="20"/>
        </w:rPr>
        <w:t xml:space="preserve">. Heldref Publications. </w:t>
      </w:r>
    </w:p>
    <w:p w14:paraId="3FA8AEEE" w14:textId="35F2302D" w:rsidR="00C66C99" w:rsidRDefault="00C66C99" w:rsidP="006E3CBF">
      <w:pPr>
        <w:ind w:firstLine="720"/>
        <w:rPr>
          <w:rFonts w:eastAsiaTheme="minorHAnsi"/>
          <w:sz w:val="20"/>
          <w:szCs w:val="20"/>
        </w:rPr>
      </w:pPr>
      <w:r w:rsidRPr="004C1736">
        <w:rPr>
          <w:rFonts w:eastAsiaTheme="minorHAnsi"/>
          <w:i/>
          <w:iCs/>
          <w:sz w:val="20"/>
          <w:szCs w:val="20"/>
        </w:rPr>
        <w:t>The Social Studies.</w:t>
      </w:r>
      <w:r w:rsidRPr="004808A4">
        <w:rPr>
          <w:rFonts w:eastAsiaTheme="minorHAnsi"/>
          <w:sz w:val="20"/>
          <w:szCs w:val="20"/>
        </w:rPr>
        <w:t xml:space="preserve"> 249-254.</w:t>
      </w:r>
    </w:p>
    <w:p w14:paraId="454BC1CB" w14:textId="77777777" w:rsidR="00C66C99" w:rsidRDefault="00C66C99" w:rsidP="00C66C99">
      <w:pPr>
        <w:rPr>
          <w:rFonts w:eastAsiaTheme="minorHAnsi"/>
          <w:sz w:val="20"/>
          <w:szCs w:val="20"/>
        </w:rPr>
      </w:pPr>
    </w:p>
    <w:p w14:paraId="120265EF" w14:textId="77777777" w:rsidR="006E3CBF" w:rsidRDefault="00C66C99" w:rsidP="00C66C99">
      <w:pPr>
        <w:autoSpaceDE w:val="0"/>
        <w:autoSpaceDN w:val="0"/>
        <w:adjustRightInd w:val="0"/>
        <w:rPr>
          <w:rFonts w:eastAsiaTheme="minorHAnsi"/>
          <w:i/>
          <w:iCs/>
          <w:sz w:val="20"/>
          <w:szCs w:val="20"/>
        </w:rPr>
      </w:pPr>
      <w:r w:rsidRPr="00BE2169">
        <w:rPr>
          <w:rFonts w:eastAsiaTheme="minorHAnsi"/>
          <w:sz w:val="20"/>
          <w:szCs w:val="20"/>
        </w:rPr>
        <w:t xml:space="preserve">Gilliom, M. E. (1993). </w:t>
      </w:r>
      <w:r w:rsidRPr="004C1736">
        <w:rPr>
          <w:rFonts w:eastAsiaTheme="minorHAnsi"/>
          <w:sz w:val="20"/>
          <w:szCs w:val="20"/>
        </w:rPr>
        <w:t>Mobilizing teacher educators to support global education in preservice programs</w:t>
      </w:r>
      <w:r w:rsidRPr="00BE2169">
        <w:rPr>
          <w:rFonts w:eastAsiaTheme="minorHAnsi"/>
          <w:sz w:val="20"/>
          <w:szCs w:val="20"/>
        </w:rPr>
        <w:t xml:space="preserve">. </w:t>
      </w:r>
      <w:r w:rsidRPr="004C1736">
        <w:rPr>
          <w:rFonts w:eastAsiaTheme="minorHAnsi"/>
          <w:i/>
          <w:iCs/>
          <w:sz w:val="20"/>
          <w:szCs w:val="20"/>
        </w:rPr>
        <w:t xml:space="preserve">Theory into </w:t>
      </w:r>
    </w:p>
    <w:p w14:paraId="065660B7" w14:textId="41026CE6" w:rsidR="00C66C99" w:rsidRPr="00BE2169" w:rsidRDefault="00C66C99" w:rsidP="006E3CBF">
      <w:pPr>
        <w:autoSpaceDE w:val="0"/>
        <w:autoSpaceDN w:val="0"/>
        <w:adjustRightInd w:val="0"/>
        <w:ind w:firstLine="720"/>
        <w:rPr>
          <w:rFonts w:eastAsiaTheme="minorHAnsi"/>
          <w:sz w:val="20"/>
          <w:szCs w:val="20"/>
        </w:rPr>
      </w:pPr>
      <w:r w:rsidRPr="004C1736">
        <w:rPr>
          <w:rFonts w:eastAsiaTheme="minorHAnsi"/>
          <w:i/>
          <w:iCs/>
          <w:sz w:val="20"/>
          <w:szCs w:val="20"/>
        </w:rPr>
        <w:t>Practice</w:t>
      </w:r>
      <w:r w:rsidRPr="00BE2169">
        <w:rPr>
          <w:rFonts w:eastAsiaTheme="minorHAnsi"/>
          <w:sz w:val="20"/>
          <w:szCs w:val="20"/>
        </w:rPr>
        <w:t>. 32(1)</w:t>
      </w:r>
      <w:r w:rsidR="00B24400">
        <w:rPr>
          <w:rFonts w:eastAsiaTheme="minorHAnsi"/>
          <w:sz w:val="20"/>
          <w:szCs w:val="20"/>
        </w:rPr>
        <w:t>,</w:t>
      </w:r>
      <w:r w:rsidRPr="00BE2169">
        <w:rPr>
          <w:rFonts w:eastAsiaTheme="minorHAnsi"/>
          <w:sz w:val="20"/>
          <w:szCs w:val="20"/>
        </w:rPr>
        <w:t xml:space="preserve"> 40–46.</w:t>
      </w:r>
    </w:p>
    <w:p w14:paraId="3AC90966" w14:textId="77777777" w:rsidR="00C66C99" w:rsidRPr="00BE2169" w:rsidRDefault="00C66C99" w:rsidP="00C66C99">
      <w:pPr>
        <w:rPr>
          <w:sz w:val="20"/>
          <w:szCs w:val="20"/>
        </w:rPr>
      </w:pPr>
    </w:p>
    <w:p w14:paraId="76ADCF82" w14:textId="77777777" w:rsidR="006E3CBF" w:rsidRDefault="00C66C99" w:rsidP="00C66C99">
      <w:pPr>
        <w:rPr>
          <w:sz w:val="20"/>
          <w:szCs w:val="20"/>
        </w:rPr>
      </w:pPr>
      <w:r w:rsidRPr="00FA1542">
        <w:rPr>
          <w:sz w:val="20"/>
          <w:szCs w:val="20"/>
        </w:rPr>
        <w:t>Howard, G. (1999).</w:t>
      </w:r>
      <w:r>
        <w:rPr>
          <w:sz w:val="20"/>
          <w:szCs w:val="20"/>
        </w:rPr>
        <w:t xml:space="preserve"> </w:t>
      </w:r>
      <w:r w:rsidRPr="00FA1542">
        <w:rPr>
          <w:i/>
          <w:iCs/>
          <w:sz w:val="20"/>
          <w:szCs w:val="20"/>
        </w:rPr>
        <w:t>We can’t teach what we don’t know: White</w:t>
      </w:r>
      <w:r w:rsidRPr="00BE2169">
        <w:rPr>
          <w:i/>
          <w:iCs/>
          <w:sz w:val="20"/>
          <w:szCs w:val="20"/>
        </w:rPr>
        <w:t xml:space="preserve"> </w:t>
      </w:r>
      <w:r w:rsidRPr="00FA1542">
        <w:rPr>
          <w:i/>
          <w:iCs/>
          <w:sz w:val="20"/>
          <w:szCs w:val="20"/>
        </w:rPr>
        <w:t>teachers, multiracial schools.</w:t>
      </w:r>
      <w:r w:rsidRPr="00FA1542">
        <w:rPr>
          <w:sz w:val="20"/>
          <w:szCs w:val="20"/>
        </w:rPr>
        <w:t xml:space="preserve"> New York: Teachers </w:t>
      </w:r>
    </w:p>
    <w:p w14:paraId="4D7A5B61" w14:textId="399678C0" w:rsidR="00C66C99" w:rsidRDefault="00C66C99" w:rsidP="006E3CBF">
      <w:pPr>
        <w:ind w:firstLine="720"/>
        <w:rPr>
          <w:sz w:val="20"/>
          <w:szCs w:val="20"/>
        </w:rPr>
      </w:pPr>
      <w:r w:rsidRPr="00FA1542">
        <w:rPr>
          <w:sz w:val="20"/>
          <w:szCs w:val="20"/>
        </w:rPr>
        <w:t>CollegePress.</w:t>
      </w:r>
    </w:p>
    <w:p w14:paraId="5CA32BAD" w14:textId="7ACF6216" w:rsidR="00FD4B21" w:rsidRDefault="00FD4B21" w:rsidP="00FD4B21">
      <w:pPr>
        <w:rPr>
          <w:sz w:val="20"/>
          <w:szCs w:val="20"/>
        </w:rPr>
      </w:pPr>
    </w:p>
    <w:p w14:paraId="5E0B61EC" w14:textId="6B79BBDE" w:rsidR="00520ED3" w:rsidRDefault="00FD4B21" w:rsidP="00FD4B21">
      <w:pPr>
        <w:rPr>
          <w:sz w:val="20"/>
          <w:szCs w:val="20"/>
        </w:rPr>
      </w:pPr>
      <w:r>
        <w:rPr>
          <w:sz w:val="20"/>
          <w:szCs w:val="20"/>
        </w:rPr>
        <w:t xml:space="preserve">Inside Higher Ed (2020).  Retrieved on July 25, </w:t>
      </w:r>
      <w:proofErr w:type="gramStart"/>
      <w:r>
        <w:rPr>
          <w:sz w:val="20"/>
          <w:szCs w:val="20"/>
        </w:rPr>
        <w:t>2020</w:t>
      </w:r>
      <w:proofErr w:type="gramEnd"/>
      <w:r>
        <w:rPr>
          <w:sz w:val="20"/>
          <w:szCs w:val="20"/>
        </w:rPr>
        <w:t xml:space="preserve"> at </w:t>
      </w:r>
      <w:hyperlink r:id="rId14" w:history="1">
        <w:r w:rsidR="00520ED3" w:rsidRPr="003B45E7">
          <w:rPr>
            <w:rStyle w:val="Hyperlink"/>
            <w:sz w:val="20"/>
            <w:szCs w:val="20"/>
          </w:rPr>
          <w:t>https://www.insidehighered.com/news/2019/11/18/open-</w:t>
        </w:r>
      </w:hyperlink>
    </w:p>
    <w:p w14:paraId="00F2E8D2" w14:textId="3FA2A7C7" w:rsidR="00FD4B21" w:rsidRPr="00FA1542" w:rsidRDefault="00FD4B21" w:rsidP="00840754">
      <w:pPr>
        <w:ind w:firstLine="720"/>
        <w:rPr>
          <w:sz w:val="20"/>
          <w:szCs w:val="20"/>
        </w:rPr>
      </w:pPr>
      <w:r w:rsidRPr="00FD4B21">
        <w:rPr>
          <w:sz w:val="20"/>
          <w:szCs w:val="20"/>
        </w:rPr>
        <w:lastRenderedPageBreak/>
        <w:t>doors-data-show-continued-increase-numbers-americans-studying-abroad</w:t>
      </w:r>
    </w:p>
    <w:p w14:paraId="6A108375" w14:textId="77777777" w:rsidR="00C66C99" w:rsidRPr="004808A4" w:rsidRDefault="00C66C99" w:rsidP="00C66C99">
      <w:pPr>
        <w:rPr>
          <w:sz w:val="20"/>
          <w:szCs w:val="20"/>
        </w:rPr>
      </w:pPr>
    </w:p>
    <w:p w14:paraId="14F523F9" w14:textId="77777777" w:rsidR="00B24400" w:rsidRDefault="00C66C99" w:rsidP="00B24400">
      <w:pPr>
        <w:rPr>
          <w:i/>
          <w:iCs/>
          <w:sz w:val="20"/>
          <w:szCs w:val="20"/>
        </w:rPr>
      </w:pPr>
      <w:r w:rsidRPr="008D5136">
        <w:rPr>
          <w:sz w:val="20"/>
          <w:szCs w:val="20"/>
        </w:rPr>
        <w:t xml:space="preserve">Kishino H, Takahashi T. </w:t>
      </w:r>
      <w:r w:rsidR="00B24400">
        <w:rPr>
          <w:sz w:val="20"/>
          <w:szCs w:val="20"/>
        </w:rPr>
        <w:t xml:space="preserve">(2019). </w:t>
      </w:r>
      <w:r w:rsidRPr="008D5136">
        <w:rPr>
          <w:sz w:val="20"/>
          <w:szCs w:val="20"/>
        </w:rPr>
        <w:t xml:space="preserve">Global citizenship development: Effects of study abroad and other factors. </w:t>
      </w:r>
      <w:r w:rsidRPr="008D5136">
        <w:rPr>
          <w:i/>
          <w:iCs/>
          <w:sz w:val="20"/>
          <w:szCs w:val="20"/>
        </w:rPr>
        <w:t xml:space="preserve">Journal </w:t>
      </w:r>
    </w:p>
    <w:p w14:paraId="16901CF0" w14:textId="44813206" w:rsidR="00C66C99" w:rsidRPr="00B24400" w:rsidRDefault="00C66C99" w:rsidP="00B24400">
      <w:pPr>
        <w:ind w:firstLine="720"/>
        <w:rPr>
          <w:i/>
          <w:iCs/>
          <w:sz w:val="20"/>
          <w:szCs w:val="20"/>
        </w:rPr>
      </w:pPr>
      <w:r w:rsidRPr="008D5136">
        <w:rPr>
          <w:i/>
          <w:iCs/>
          <w:sz w:val="20"/>
          <w:szCs w:val="20"/>
        </w:rPr>
        <w:t>of International Students</w:t>
      </w:r>
      <w:r w:rsidRPr="008D5136">
        <w:rPr>
          <w:sz w:val="20"/>
          <w:szCs w:val="20"/>
        </w:rPr>
        <w:t>. 9(2)</w:t>
      </w:r>
      <w:r w:rsidR="00B24400">
        <w:rPr>
          <w:sz w:val="20"/>
          <w:szCs w:val="20"/>
        </w:rPr>
        <w:t xml:space="preserve">, </w:t>
      </w:r>
      <w:r w:rsidRPr="008D5136">
        <w:rPr>
          <w:sz w:val="20"/>
          <w:szCs w:val="20"/>
        </w:rPr>
        <w:t xml:space="preserve">535-559. </w:t>
      </w:r>
      <w:r w:rsidR="00B24400">
        <w:rPr>
          <w:sz w:val="20"/>
          <w:szCs w:val="20"/>
        </w:rPr>
        <w:t>DOI</w:t>
      </w:r>
      <w:r w:rsidRPr="008D5136">
        <w:rPr>
          <w:sz w:val="20"/>
          <w:szCs w:val="20"/>
        </w:rPr>
        <w:t xml:space="preserve">: http://dx.doi.org.mutex.gmu.edu/10.32674/jis.v9i2.390. </w:t>
      </w:r>
    </w:p>
    <w:p w14:paraId="31B2D936" w14:textId="3FEEA3D0" w:rsidR="00C66C99" w:rsidRPr="008D5136" w:rsidRDefault="009D3078" w:rsidP="006E3CBF">
      <w:pPr>
        <w:ind w:firstLine="720"/>
        <w:rPr>
          <w:sz w:val="20"/>
          <w:szCs w:val="20"/>
        </w:rPr>
      </w:pPr>
      <w:hyperlink r:id="rId15" w:history="1">
        <w:r w:rsidR="006E3CBF" w:rsidRPr="00755EB4">
          <w:rPr>
            <w:rStyle w:val="Hyperlink"/>
            <w:sz w:val="20"/>
            <w:szCs w:val="20"/>
          </w:rPr>
          <w:t>https://search-proquest</w:t>
        </w:r>
      </w:hyperlink>
      <w:r w:rsidR="00C66C99">
        <w:rPr>
          <w:sz w:val="20"/>
          <w:szCs w:val="20"/>
        </w:rPr>
        <w:t>-</w:t>
      </w:r>
      <w:r w:rsidR="00C66C99" w:rsidRPr="008D5136">
        <w:rPr>
          <w:sz w:val="20"/>
          <w:szCs w:val="20"/>
        </w:rPr>
        <w:t xml:space="preserve">com.mutex.gmu.edu/docview/2255274760?accountid=14541. </w:t>
      </w:r>
    </w:p>
    <w:p w14:paraId="3543C509" w14:textId="77777777" w:rsidR="00C66C99" w:rsidRPr="008D5136" w:rsidRDefault="00C66C99" w:rsidP="00C66C99">
      <w:pPr>
        <w:autoSpaceDE w:val="0"/>
        <w:autoSpaceDN w:val="0"/>
        <w:adjustRightInd w:val="0"/>
        <w:rPr>
          <w:sz w:val="20"/>
          <w:szCs w:val="20"/>
        </w:rPr>
      </w:pPr>
    </w:p>
    <w:p w14:paraId="0119E6C2" w14:textId="77777777" w:rsidR="006E3CBF" w:rsidRDefault="00C66C99" w:rsidP="00C66C99">
      <w:pPr>
        <w:autoSpaceDE w:val="0"/>
        <w:autoSpaceDN w:val="0"/>
        <w:adjustRightInd w:val="0"/>
        <w:rPr>
          <w:i/>
          <w:iCs/>
          <w:sz w:val="20"/>
          <w:szCs w:val="20"/>
        </w:rPr>
      </w:pPr>
      <w:r w:rsidRPr="004808A4">
        <w:rPr>
          <w:sz w:val="20"/>
          <w:szCs w:val="20"/>
        </w:rPr>
        <w:t>Klein, J.D. (2013)</w:t>
      </w:r>
      <w:r>
        <w:rPr>
          <w:sz w:val="20"/>
          <w:szCs w:val="20"/>
        </w:rPr>
        <w:t>.</w:t>
      </w:r>
      <w:r w:rsidRPr="004808A4">
        <w:rPr>
          <w:sz w:val="20"/>
          <w:szCs w:val="20"/>
        </w:rPr>
        <w:t xml:space="preserve"> </w:t>
      </w:r>
      <w:r w:rsidRPr="004C1736">
        <w:rPr>
          <w:sz w:val="20"/>
          <w:szCs w:val="20"/>
        </w:rPr>
        <w:t>Making Meaning in a Standards-Based World: Negotiating Tensions in Global Education</w:t>
      </w:r>
      <w:r w:rsidRPr="004808A4">
        <w:rPr>
          <w:sz w:val="20"/>
          <w:szCs w:val="20"/>
        </w:rPr>
        <w:t xml:space="preserve">. </w:t>
      </w:r>
      <w:r w:rsidRPr="004C1736">
        <w:rPr>
          <w:i/>
          <w:iCs/>
          <w:sz w:val="20"/>
          <w:szCs w:val="20"/>
        </w:rPr>
        <w:t xml:space="preserve">The </w:t>
      </w:r>
    </w:p>
    <w:p w14:paraId="03EAAAA3" w14:textId="010C7E90" w:rsidR="00C66C99" w:rsidRPr="004808A4" w:rsidRDefault="00C66C99" w:rsidP="006E3CBF">
      <w:pPr>
        <w:autoSpaceDE w:val="0"/>
        <w:autoSpaceDN w:val="0"/>
        <w:adjustRightInd w:val="0"/>
        <w:ind w:firstLine="720"/>
        <w:rPr>
          <w:sz w:val="20"/>
          <w:szCs w:val="20"/>
        </w:rPr>
      </w:pPr>
      <w:r w:rsidRPr="004C1736">
        <w:rPr>
          <w:i/>
          <w:iCs/>
          <w:sz w:val="20"/>
          <w:szCs w:val="20"/>
        </w:rPr>
        <w:t>Educational Forum</w:t>
      </w:r>
      <w:r w:rsidRPr="004808A4">
        <w:rPr>
          <w:sz w:val="20"/>
          <w:szCs w:val="20"/>
        </w:rPr>
        <w:t>, 77</w:t>
      </w:r>
      <w:r w:rsidR="00B24400">
        <w:rPr>
          <w:sz w:val="20"/>
          <w:szCs w:val="20"/>
        </w:rPr>
        <w:t>(4),</w:t>
      </w:r>
      <w:r w:rsidR="00930829">
        <w:rPr>
          <w:sz w:val="20"/>
          <w:szCs w:val="20"/>
        </w:rPr>
        <w:t xml:space="preserve"> </w:t>
      </w:r>
      <w:r w:rsidRPr="004808A4">
        <w:rPr>
          <w:sz w:val="20"/>
          <w:szCs w:val="20"/>
        </w:rPr>
        <w:t>481-490</w:t>
      </w:r>
      <w:r w:rsidR="00B24400">
        <w:rPr>
          <w:sz w:val="20"/>
          <w:szCs w:val="20"/>
        </w:rPr>
        <w:t xml:space="preserve">. </w:t>
      </w:r>
      <w:r w:rsidRPr="004808A4">
        <w:rPr>
          <w:sz w:val="20"/>
          <w:szCs w:val="20"/>
        </w:rPr>
        <w:t xml:space="preserve"> DOI:10.1080/00131725.2013.822044</w:t>
      </w:r>
    </w:p>
    <w:p w14:paraId="5CA0E3D0" w14:textId="77777777" w:rsidR="00C66C99" w:rsidRPr="004808A4" w:rsidRDefault="00C66C99" w:rsidP="00C66C99">
      <w:pPr>
        <w:autoSpaceDE w:val="0"/>
        <w:autoSpaceDN w:val="0"/>
        <w:adjustRightInd w:val="0"/>
        <w:rPr>
          <w:sz w:val="20"/>
          <w:szCs w:val="20"/>
        </w:rPr>
      </w:pPr>
    </w:p>
    <w:p w14:paraId="412A3B8D" w14:textId="73D9A62D" w:rsidR="00B24400" w:rsidRPr="004808A4" w:rsidRDefault="00C66C99" w:rsidP="00B24400">
      <w:pPr>
        <w:autoSpaceDE w:val="0"/>
        <w:autoSpaceDN w:val="0"/>
        <w:adjustRightInd w:val="0"/>
        <w:rPr>
          <w:sz w:val="20"/>
          <w:szCs w:val="20"/>
        </w:rPr>
      </w:pPr>
      <w:r w:rsidRPr="004808A4">
        <w:rPr>
          <w:sz w:val="20"/>
          <w:szCs w:val="20"/>
        </w:rPr>
        <w:t xml:space="preserve">Longview Foundation (2008). </w:t>
      </w:r>
      <w:r w:rsidRPr="00BE2169">
        <w:rPr>
          <w:i/>
          <w:iCs/>
          <w:sz w:val="20"/>
          <w:szCs w:val="20"/>
        </w:rPr>
        <w:t>Teacher preparation for the global age: The imperative for change</w:t>
      </w:r>
      <w:r w:rsidRPr="004808A4">
        <w:rPr>
          <w:sz w:val="20"/>
          <w:szCs w:val="20"/>
        </w:rPr>
        <w:t xml:space="preserve">. </w:t>
      </w:r>
    </w:p>
    <w:p w14:paraId="23509009" w14:textId="57600193" w:rsidR="00C66C99" w:rsidRDefault="00C66C99" w:rsidP="006E3CBF">
      <w:pPr>
        <w:autoSpaceDE w:val="0"/>
        <w:autoSpaceDN w:val="0"/>
        <w:adjustRightInd w:val="0"/>
        <w:ind w:firstLine="720"/>
        <w:rPr>
          <w:sz w:val="20"/>
          <w:szCs w:val="20"/>
        </w:rPr>
      </w:pPr>
      <w:r w:rsidRPr="004808A4">
        <w:rPr>
          <w:sz w:val="20"/>
          <w:szCs w:val="20"/>
        </w:rPr>
        <w:t>Longview Foundation.</w:t>
      </w:r>
    </w:p>
    <w:p w14:paraId="550C08C9" w14:textId="49B9D851" w:rsidR="001C2C24" w:rsidRDefault="001C2C24" w:rsidP="00C66C99">
      <w:pPr>
        <w:autoSpaceDE w:val="0"/>
        <w:autoSpaceDN w:val="0"/>
        <w:adjustRightInd w:val="0"/>
        <w:rPr>
          <w:sz w:val="20"/>
          <w:szCs w:val="20"/>
        </w:rPr>
      </w:pPr>
    </w:p>
    <w:p w14:paraId="283474E5" w14:textId="77777777" w:rsidR="006E3CBF" w:rsidRDefault="004C1736" w:rsidP="00C66C99">
      <w:pPr>
        <w:autoSpaceDE w:val="0"/>
        <w:autoSpaceDN w:val="0"/>
        <w:adjustRightInd w:val="0"/>
        <w:rPr>
          <w:rFonts w:eastAsiaTheme="minorHAnsi"/>
          <w:i/>
          <w:iCs/>
          <w:sz w:val="20"/>
          <w:szCs w:val="20"/>
        </w:rPr>
      </w:pPr>
      <w:r w:rsidRPr="004C1736">
        <w:rPr>
          <w:rFonts w:eastAsiaTheme="minorHAnsi"/>
          <w:sz w:val="20"/>
          <w:szCs w:val="20"/>
        </w:rPr>
        <w:t xml:space="preserve">Morais, D. &amp; Ogden, A. (2011). Initial Development and Validation of the Global Citizenship Scale. </w:t>
      </w:r>
      <w:r w:rsidRPr="004C1736">
        <w:rPr>
          <w:rFonts w:eastAsiaTheme="minorHAnsi"/>
          <w:i/>
          <w:iCs/>
          <w:sz w:val="20"/>
          <w:szCs w:val="20"/>
        </w:rPr>
        <w:t xml:space="preserve">Journal of </w:t>
      </w:r>
    </w:p>
    <w:p w14:paraId="64B26B34" w14:textId="7FC8FBB0" w:rsidR="00C66C99" w:rsidRPr="004C1736" w:rsidRDefault="004C1736" w:rsidP="006E3CBF">
      <w:pPr>
        <w:autoSpaceDE w:val="0"/>
        <w:autoSpaceDN w:val="0"/>
        <w:adjustRightInd w:val="0"/>
        <w:ind w:firstLine="720"/>
        <w:rPr>
          <w:rFonts w:eastAsiaTheme="minorHAnsi"/>
          <w:sz w:val="20"/>
          <w:szCs w:val="20"/>
        </w:rPr>
      </w:pPr>
      <w:r w:rsidRPr="004C1736">
        <w:rPr>
          <w:rFonts w:eastAsiaTheme="minorHAnsi"/>
          <w:i/>
          <w:iCs/>
          <w:sz w:val="20"/>
          <w:szCs w:val="20"/>
        </w:rPr>
        <w:t>Studies in International Education</w:t>
      </w:r>
      <w:r w:rsidRPr="004C1736">
        <w:rPr>
          <w:rFonts w:eastAsiaTheme="minorHAnsi"/>
          <w:sz w:val="20"/>
          <w:szCs w:val="20"/>
        </w:rPr>
        <w:t>, 15(5)</w:t>
      </w:r>
      <w:r w:rsidR="00B24400">
        <w:rPr>
          <w:rFonts w:eastAsiaTheme="minorHAnsi"/>
          <w:sz w:val="20"/>
          <w:szCs w:val="20"/>
        </w:rPr>
        <w:t>,</w:t>
      </w:r>
      <w:r w:rsidRPr="004C1736">
        <w:rPr>
          <w:rFonts w:eastAsiaTheme="minorHAnsi"/>
          <w:sz w:val="20"/>
          <w:szCs w:val="20"/>
        </w:rPr>
        <w:t xml:space="preserve"> 445-466. DOI: 10.1177/1028315310375308</w:t>
      </w:r>
    </w:p>
    <w:p w14:paraId="4A123F39" w14:textId="18613B1C" w:rsidR="004C1736" w:rsidRDefault="004C1736" w:rsidP="00C66C99">
      <w:pPr>
        <w:autoSpaceDE w:val="0"/>
        <w:autoSpaceDN w:val="0"/>
        <w:adjustRightInd w:val="0"/>
        <w:rPr>
          <w:rFonts w:eastAsiaTheme="minorHAnsi"/>
          <w:sz w:val="32"/>
          <w:szCs w:val="32"/>
        </w:rPr>
      </w:pPr>
    </w:p>
    <w:p w14:paraId="55FEC953" w14:textId="77777777" w:rsidR="00C17BCE" w:rsidRDefault="00C17BCE" w:rsidP="00C66C99">
      <w:pPr>
        <w:autoSpaceDE w:val="0"/>
        <w:autoSpaceDN w:val="0"/>
        <w:adjustRightInd w:val="0"/>
        <w:rPr>
          <w:rFonts w:eastAsiaTheme="minorHAnsi"/>
          <w:i/>
          <w:iCs/>
          <w:sz w:val="20"/>
          <w:szCs w:val="20"/>
        </w:rPr>
      </w:pPr>
      <w:r>
        <w:rPr>
          <w:rFonts w:eastAsiaTheme="minorHAnsi"/>
          <w:sz w:val="20"/>
          <w:szCs w:val="20"/>
        </w:rPr>
        <w:t xml:space="preserve">Mutch, C. (2004). Teacher education for global citizenship: An example from New Zealand. </w:t>
      </w:r>
      <w:r w:rsidRPr="00C874EC">
        <w:rPr>
          <w:rFonts w:eastAsiaTheme="minorHAnsi"/>
          <w:i/>
          <w:iCs/>
          <w:sz w:val="20"/>
          <w:szCs w:val="20"/>
        </w:rPr>
        <w:t xml:space="preserve">Pacific Asian </w:t>
      </w:r>
    </w:p>
    <w:p w14:paraId="65256BCC" w14:textId="43348A8E" w:rsidR="00C17BCE" w:rsidRDefault="00C17BCE" w:rsidP="00C874EC">
      <w:pPr>
        <w:autoSpaceDE w:val="0"/>
        <w:autoSpaceDN w:val="0"/>
        <w:adjustRightInd w:val="0"/>
        <w:ind w:firstLine="720"/>
        <w:rPr>
          <w:rFonts w:eastAsiaTheme="minorHAnsi"/>
          <w:sz w:val="20"/>
          <w:szCs w:val="20"/>
        </w:rPr>
      </w:pPr>
      <w:r w:rsidRPr="00C874EC">
        <w:rPr>
          <w:rFonts w:eastAsiaTheme="minorHAnsi"/>
          <w:i/>
          <w:iCs/>
          <w:sz w:val="20"/>
          <w:szCs w:val="20"/>
        </w:rPr>
        <w:t>Education</w:t>
      </w:r>
      <w:r w:rsidR="00B24400">
        <w:rPr>
          <w:rFonts w:eastAsiaTheme="minorHAnsi"/>
          <w:sz w:val="20"/>
          <w:szCs w:val="20"/>
        </w:rPr>
        <w:t xml:space="preserve">, </w:t>
      </w:r>
      <w:r>
        <w:rPr>
          <w:rFonts w:eastAsiaTheme="minorHAnsi"/>
          <w:sz w:val="20"/>
          <w:szCs w:val="20"/>
        </w:rPr>
        <w:t>16(1), 42-55.</w:t>
      </w:r>
    </w:p>
    <w:p w14:paraId="5FC096E8" w14:textId="77777777" w:rsidR="00C17BCE" w:rsidRPr="00C874EC" w:rsidRDefault="00C17BCE" w:rsidP="00C66C99">
      <w:pPr>
        <w:autoSpaceDE w:val="0"/>
        <w:autoSpaceDN w:val="0"/>
        <w:adjustRightInd w:val="0"/>
        <w:rPr>
          <w:rFonts w:eastAsiaTheme="minorHAnsi"/>
          <w:sz w:val="20"/>
          <w:szCs w:val="20"/>
        </w:rPr>
      </w:pPr>
    </w:p>
    <w:p w14:paraId="345E19D6" w14:textId="77777777" w:rsidR="00B24400" w:rsidRDefault="00C66C99" w:rsidP="00C66C99">
      <w:pPr>
        <w:rPr>
          <w:color w:val="000000" w:themeColor="text1"/>
          <w:sz w:val="20"/>
          <w:szCs w:val="20"/>
        </w:rPr>
      </w:pPr>
      <w:r w:rsidRPr="004808A4">
        <w:rPr>
          <w:color w:val="000000" w:themeColor="text1"/>
          <w:sz w:val="20"/>
          <w:szCs w:val="20"/>
        </w:rPr>
        <w:t xml:space="preserve">OECD/Asia Society (2018). </w:t>
      </w:r>
      <w:r w:rsidRPr="00930829">
        <w:rPr>
          <w:i/>
          <w:iCs/>
          <w:color w:val="000000" w:themeColor="text1"/>
          <w:sz w:val="20"/>
          <w:szCs w:val="20"/>
        </w:rPr>
        <w:t>Teaching for Global Competence in a Rapidly Changing World</w:t>
      </w:r>
      <w:r w:rsidRPr="004808A4">
        <w:rPr>
          <w:color w:val="000000" w:themeColor="text1"/>
          <w:sz w:val="20"/>
          <w:szCs w:val="20"/>
        </w:rPr>
        <w:t>.</w:t>
      </w:r>
      <w:r w:rsidR="00B24400">
        <w:rPr>
          <w:color w:val="000000" w:themeColor="text1"/>
          <w:sz w:val="20"/>
          <w:szCs w:val="20"/>
        </w:rPr>
        <w:t xml:space="preserve"> Retrieved on July 20, </w:t>
      </w:r>
    </w:p>
    <w:p w14:paraId="24EF36BD" w14:textId="6FC49012" w:rsidR="00C66C99" w:rsidRPr="00B24400" w:rsidRDefault="00B24400" w:rsidP="00B24400">
      <w:pPr>
        <w:ind w:left="720"/>
        <w:rPr>
          <w:color w:val="000000" w:themeColor="text1"/>
          <w:sz w:val="20"/>
          <w:szCs w:val="20"/>
        </w:rPr>
      </w:pPr>
      <w:r>
        <w:rPr>
          <w:color w:val="000000" w:themeColor="text1"/>
          <w:sz w:val="20"/>
          <w:szCs w:val="20"/>
        </w:rPr>
        <w:t xml:space="preserve">2020 at </w:t>
      </w:r>
      <w:hyperlink r:id="rId16" w:anchor=":~:text=A%20new%20publication%20from%20both,guidance%20and%20examples%20of%20how" w:history="1">
        <w:r w:rsidRPr="003B45E7">
          <w:rPr>
            <w:rStyle w:val="Hyperlink"/>
            <w:sz w:val="20"/>
            <w:szCs w:val="20"/>
          </w:rPr>
          <w:t>https://asiasociety.org/education/teaching-global-competence-rapidly-changing-world#:~:text=A%20new%20publication%20from%20both,guidance%20and%20examples%20of%20how</w:t>
        </w:r>
      </w:hyperlink>
    </w:p>
    <w:p w14:paraId="308286C6" w14:textId="77777777" w:rsidR="00C66C99" w:rsidRPr="004808A4" w:rsidRDefault="00C66C99" w:rsidP="00C66C99">
      <w:pPr>
        <w:autoSpaceDE w:val="0"/>
        <w:autoSpaceDN w:val="0"/>
        <w:adjustRightInd w:val="0"/>
        <w:rPr>
          <w:sz w:val="20"/>
          <w:szCs w:val="20"/>
        </w:rPr>
      </w:pPr>
    </w:p>
    <w:p w14:paraId="7D15CFF9" w14:textId="77777777" w:rsidR="00B24400" w:rsidRDefault="00C66C99" w:rsidP="00B24400">
      <w:pPr>
        <w:rPr>
          <w:rStyle w:val="authors"/>
          <w:color w:val="000000" w:themeColor="text1"/>
          <w:sz w:val="20"/>
          <w:szCs w:val="20"/>
          <w:shd w:val="clear" w:color="auto" w:fill="FFFFFF"/>
        </w:rPr>
      </w:pPr>
      <w:r w:rsidRPr="00930829">
        <w:rPr>
          <w:rStyle w:val="authors"/>
          <w:color w:val="000000" w:themeColor="text1"/>
          <w:sz w:val="20"/>
          <w:szCs w:val="20"/>
          <w:shd w:val="clear" w:color="auto" w:fill="FFFFFF"/>
        </w:rPr>
        <w:t>Paige, R.</w:t>
      </w:r>
      <w:r w:rsidR="00B24400">
        <w:rPr>
          <w:rStyle w:val="authors"/>
          <w:color w:val="000000" w:themeColor="text1"/>
          <w:sz w:val="20"/>
          <w:szCs w:val="20"/>
          <w:shd w:val="clear" w:color="auto" w:fill="FFFFFF"/>
        </w:rPr>
        <w:t xml:space="preserve">, </w:t>
      </w:r>
      <w:r w:rsidRPr="00930829">
        <w:rPr>
          <w:rStyle w:val="authors"/>
          <w:color w:val="000000" w:themeColor="text1"/>
          <w:sz w:val="20"/>
          <w:szCs w:val="20"/>
          <w:shd w:val="clear" w:color="auto" w:fill="FFFFFF"/>
        </w:rPr>
        <w:t>Fry, G</w:t>
      </w:r>
      <w:r w:rsidR="00B24400">
        <w:rPr>
          <w:rStyle w:val="authors"/>
          <w:color w:val="000000" w:themeColor="text1"/>
          <w:sz w:val="20"/>
          <w:szCs w:val="20"/>
          <w:shd w:val="clear" w:color="auto" w:fill="FFFFFF"/>
        </w:rPr>
        <w:t xml:space="preserve">., </w:t>
      </w:r>
      <w:r w:rsidRPr="00930829">
        <w:rPr>
          <w:rStyle w:val="authors"/>
          <w:color w:val="000000" w:themeColor="text1"/>
          <w:sz w:val="20"/>
          <w:szCs w:val="20"/>
          <w:shd w:val="clear" w:color="auto" w:fill="FFFFFF"/>
        </w:rPr>
        <w:t xml:space="preserve">Stallman, </w:t>
      </w:r>
      <w:r w:rsidR="00B24400">
        <w:rPr>
          <w:rStyle w:val="authors"/>
          <w:color w:val="000000" w:themeColor="text1"/>
          <w:sz w:val="20"/>
          <w:szCs w:val="20"/>
          <w:shd w:val="clear" w:color="auto" w:fill="FFFFFF"/>
        </w:rPr>
        <w:t xml:space="preserve">E., </w:t>
      </w:r>
      <w:r w:rsidRPr="00930829">
        <w:rPr>
          <w:rStyle w:val="authors"/>
          <w:color w:val="000000" w:themeColor="text1"/>
          <w:sz w:val="20"/>
          <w:szCs w:val="20"/>
          <w:shd w:val="clear" w:color="auto" w:fill="FFFFFF"/>
        </w:rPr>
        <w:t xml:space="preserve">Josić, </w:t>
      </w:r>
      <w:r w:rsidR="00B24400">
        <w:rPr>
          <w:rStyle w:val="authors"/>
          <w:color w:val="000000" w:themeColor="text1"/>
          <w:sz w:val="20"/>
          <w:szCs w:val="20"/>
          <w:shd w:val="clear" w:color="auto" w:fill="FFFFFF"/>
        </w:rPr>
        <w:t>J.</w:t>
      </w:r>
      <w:r w:rsidRPr="00930829">
        <w:rPr>
          <w:rStyle w:val="authors"/>
          <w:color w:val="000000" w:themeColor="text1"/>
          <w:sz w:val="20"/>
          <w:szCs w:val="20"/>
          <w:shd w:val="clear" w:color="auto" w:fill="FFFFFF"/>
        </w:rPr>
        <w:t xml:space="preserve"> &amp; Jon, Jae-Eun. (2009). </w:t>
      </w:r>
      <w:r w:rsidRPr="004C1736">
        <w:rPr>
          <w:rStyle w:val="authors"/>
          <w:color w:val="000000" w:themeColor="text1"/>
          <w:sz w:val="20"/>
          <w:szCs w:val="20"/>
          <w:shd w:val="clear" w:color="auto" w:fill="FFFFFF"/>
        </w:rPr>
        <w:t>Study abroad for global engagement: The long-</w:t>
      </w:r>
    </w:p>
    <w:p w14:paraId="33B38FF4" w14:textId="35903885" w:rsidR="006E3CBF" w:rsidRDefault="00C66C99" w:rsidP="00B24400">
      <w:pPr>
        <w:ind w:firstLine="720"/>
        <w:rPr>
          <w:rStyle w:val="authors"/>
          <w:color w:val="000000" w:themeColor="text1"/>
          <w:sz w:val="20"/>
          <w:szCs w:val="20"/>
          <w:shd w:val="clear" w:color="auto" w:fill="FFFFFF"/>
        </w:rPr>
      </w:pPr>
      <w:r w:rsidRPr="004C1736">
        <w:rPr>
          <w:rStyle w:val="authors"/>
          <w:color w:val="000000" w:themeColor="text1"/>
          <w:sz w:val="20"/>
          <w:szCs w:val="20"/>
          <w:shd w:val="clear" w:color="auto" w:fill="FFFFFF"/>
        </w:rPr>
        <w:t>term impact of mobility experiences</w:t>
      </w:r>
      <w:r w:rsidRPr="00930829">
        <w:rPr>
          <w:rStyle w:val="authors"/>
          <w:i/>
          <w:iCs/>
          <w:color w:val="000000" w:themeColor="text1"/>
          <w:sz w:val="20"/>
          <w:szCs w:val="20"/>
          <w:shd w:val="clear" w:color="auto" w:fill="FFFFFF"/>
        </w:rPr>
        <w:t>.</w:t>
      </w:r>
      <w:r w:rsidRPr="00930829">
        <w:rPr>
          <w:rStyle w:val="authors"/>
          <w:color w:val="000000" w:themeColor="text1"/>
          <w:sz w:val="20"/>
          <w:szCs w:val="20"/>
          <w:shd w:val="clear" w:color="auto" w:fill="FFFFFF"/>
        </w:rPr>
        <w:t xml:space="preserve"> </w:t>
      </w:r>
      <w:r w:rsidRPr="004C1736">
        <w:rPr>
          <w:rStyle w:val="authors"/>
          <w:i/>
          <w:iCs/>
          <w:color w:val="000000" w:themeColor="text1"/>
          <w:sz w:val="20"/>
          <w:szCs w:val="20"/>
          <w:shd w:val="clear" w:color="auto" w:fill="FFFFFF"/>
        </w:rPr>
        <w:t>Intercultural Education</w:t>
      </w:r>
      <w:r w:rsidRPr="00930829">
        <w:rPr>
          <w:rStyle w:val="authors"/>
          <w:color w:val="000000" w:themeColor="text1"/>
          <w:sz w:val="20"/>
          <w:szCs w:val="20"/>
          <w:shd w:val="clear" w:color="auto" w:fill="FFFFFF"/>
        </w:rPr>
        <w:t>. 20</w:t>
      </w:r>
      <w:r w:rsidR="00B24400">
        <w:rPr>
          <w:rStyle w:val="authors"/>
          <w:color w:val="000000" w:themeColor="text1"/>
          <w:sz w:val="20"/>
          <w:szCs w:val="20"/>
          <w:shd w:val="clear" w:color="auto" w:fill="FFFFFF"/>
        </w:rPr>
        <w:t>,</w:t>
      </w:r>
      <w:r w:rsidRPr="00930829">
        <w:rPr>
          <w:rStyle w:val="authors"/>
          <w:color w:val="000000" w:themeColor="text1"/>
          <w:sz w:val="20"/>
          <w:szCs w:val="20"/>
          <w:shd w:val="clear" w:color="auto" w:fill="FFFFFF"/>
        </w:rPr>
        <w:t xml:space="preserve"> S29-S44. DOI: </w:t>
      </w:r>
    </w:p>
    <w:p w14:paraId="1A7924C9" w14:textId="1F08E7DB" w:rsidR="00C66C99" w:rsidRPr="00930829" w:rsidRDefault="00C66C99" w:rsidP="006E3CBF">
      <w:pPr>
        <w:ind w:firstLine="720"/>
        <w:rPr>
          <w:rStyle w:val="authors"/>
          <w:color w:val="000000" w:themeColor="text1"/>
          <w:sz w:val="20"/>
          <w:szCs w:val="20"/>
          <w:shd w:val="clear" w:color="auto" w:fill="FFFFFF"/>
        </w:rPr>
      </w:pPr>
      <w:r w:rsidRPr="00930829">
        <w:rPr>
          <w:rStyle w:val="authors"/>
          <w:color w:val="000000" w:themeColor="text1"/>
          <w:sz w:val="20"/>
          <w:szCs w:val="20"/>
          <w:shd w:val="clear" w:color="auto" w:fill="FFFFFF"/>
        </w:rPr>
        <w:t>10.1080/14675980903370847.</w:t>
      </w:r>
    </w:p>
    <w:p w14:paraId="3484F81B" w14:textId="77777777" w:rsidR="00C66C99" w:rsidRPr="00930829" w:rsidRDefault="00C66C99" w:rsidP="00C66C99">
      <w:pPr>
        <w:rPr>
          <w:rStyle w:val="authors"/>
          <w:color w:val="000000" w:themeColor="text1"/>
          <w:sz w:val="20"/>
          <w:szCs w:val="20"/>
          <w:shd w:val="clear" w:color="auto" w:fill="FFFFFF"/>
        </w:rPr>
      </w:pPr>
    </w:p>
    <w:p w14:paraId="2C515E5D" w14:textId="1494A948" w:rsidR="006E3CBF" w:rsidRDefault="00C66C99" w:rsidP="00C66C99">
      <w:pPr>
        <w:rPr>
          <w:rStyle w:val="arttitle"/>
          <w:color w:val="000000" w:themeColor="text1"/>
          <w:sz w:val="20"/>
          <w:szCs w:val="20"/>
          <w:shd w:val="clear" w:color="auto" w:fill="FFFFFF"/>
        </w:rPr>
      </w:pPr>
      <w:r w:rsidRPr="00930829">
        <w:rPr>
          <w:rStyle w:val="authors"/>
          <w:color w:val="000000" w:themeColor="text1"/>
          <w:sz w:val="20"/>
          <w:szCs w:val="20"/>
          <w:shd w:val="clear" w:color="auto" w:fill="FFFFFF"/>
        </w:rPr>
        <w:t xml:space="preserve">Pashby, K., da Costa, M., Stein, S. &amp; Andreotti, V. </w:t>
      </w:r>
      <w:r w:rsidRPr="00930829">
        <w:rPr>
          <w:rStyle w:val="Date1"/>
          <w:color w:val="000000" w:themeColor="text1"/>
          <w:sz w:val="20"/>
          <w:szCs w:val="20"/>
          <w:shd w:val="clear" w:color="auto" w:fill="FFFFFF"/>
        </w:rPr>
        <w:t>(2020)</w:t>
      </w:r>
      <w:r w:rsidR="00B24400">
        <w:rPr>
          <w:color w:val="000000" w:themeColor="text1"/>
          <w:sz w:val="20"/>
          <w:szCs w:val="20"/>
          <w:shd w:val="clear" w:color="auto" w:fill="FFFFFF"/>
        </w:rPr>
        <w:t xml:space="preserve">. </w:t>
      </w:r>
      <w:r w:rsidRPr="00930829">
        <w:rPr>
          <w:rStyle w:val="arttitle"/>
          <w:color w:val="000000" w:themeColor="text1"/>
          <w:sz w:val="20"/>
          <w:szCs w:val="20"/>
          <w:shd w:val="clear" w:color="auto" w:fill="FFFFFF"/>
        </w:rPr>
        <w:t xml:space="preserve">A meta-review of typologies of global citizenship </w:t>
      </w:r>
    </w:p>
    <w:p w14:paraId="6C2EE96A" w14:textId="22D93BF4" w:rsidR="00C66C99" w:rsidRPr="00930829" w:rsidRDefault="00C66C99" w:rsidP="006E3CBF">
      <w:pPr>
        <w:ind w:firstLine="720"/>
        <w:rPr>
          <w:color w:val="000000" w:themeColor="text1"/>
          <w:sz w:val="20"/>
          <w:szCs w:val="20"/>
        </w:rPr>
      </w:pPr>
      <w:r w:rsidRPr="00930829">
        <w:rPr>
          <w:rStyle w:val="arttitle"/>
          <w:color w:val="000000" w:themeColor="text1"/>
          <w:sz w:val="20"/>
          <w:szCs w:val="20"/>
          <w:shd w:val="clear" w:color="auto" w:fill="FFFFFF"/>
        </w:rPr>
        <w:t>education,</w:t>
      </w:r>
      <w:r w:rsidRPr="00930829">
        <w:rPr>
          <w:color w:val="000000" w:themeColor="text1"/>
          <w:sz w:val="20"/>
          <w:szCs w:val="20"/>
          <w:shd w:val="clear" w:color="auto" w:fill="FFFFFF"/>
        </w:rPr>
        <w:t> </w:t>
      </w:r>
      <w:r w:rsidRPr="004C1736">
        <w:rPr>
          <w:rStyle w:val="serialtitle"/>
          <w:i/>
          <w:iCs/>
          <w:color w:val="000000" w:themeColor="text1"/>
          <w:sz w:val="20"/>
          <w:szCs w:val="20"/>
          <w:shd w:val="clear" w:color="auto" w:fill="FFFFFF"/>
        </w:rPr>
        <w:t>Comparative Education</w:t>
      </w:r>
      <w:r w:rsidRPr="00930829">
        <w:rPr>
          <w:rStyle w:val="serialtitle"/>
          <w:color w:val="000000" w:themeColor="text1"/>
          <w:sz w:val="20"/>
          <w:szCs w:val="20"/>
          <w:shd w:val="clear" w:color="auto" w:fill="FFFFFF"/>
        </w:rPr>
        <w:t>,</w:t>
      </w:r>
      <w:r w:rsidRPr="00930829">
        <w:rPr>
          <w:color w:val="000000" w:themeColor="text1"/>
          <w:sz w:val="20"/>
          <w:szCs w:val="20"/>
          <w:shd w:val="clear" w:color="auto" w:fill="FFFFFF"/>
        </w:rPr>
        <w:t> </w:t>
      </w:r>
      <w:r w:rsidRPr="00930829">
        <w:rPr>
          <w:rStyle w:val="volumeissue"/>
          <w:color w:val="000000" w:themeColor="text1"/>
          <w:sz w:val="20"/>
          <w:szCs w:val="20"/>
          <w:shd w:val="clear" w:color="auto" w:fill="FFFFFF"/>
        </w:rPr>
        <w:t>56</w:t>
      </w:r>
      <w:r w:rsidR="00B24400">
        <w:rPr>
          <w:rStyle w:val="volumeissue"/>
          <w:color w:val="000000" w:themeColor="text1"/>
          <w:sz w:val="20"/>
          <w:szCs w:val="20"/>
          <w:shd w:val="clear" w:color="auto" w:fill="FFFFFF"/>
        </w:rPr>
        <w:t>(</w:t>
      </w:r>
      <w:r w:rsidRPr="00930829">
        <w:rPr>
          <w:rStyle w:val="volumeissue"/>
          <w:color w:val="000000" w:themeColor="text1"/>
          <w:sz w:val="20"/>
          <w:szCs w:val="20"/>
          <w:shd w:val="clear" w:color="auto" w:fill="FFFFFF"/>
        </w:rPr>
        <w:t>2</w:t>
      </w:r>
      <w:r w:rsidR="00B24400">
        <w:rPr>
          <w:rStyle w:val="volumeissue"/>
          <w:color w:val="000000" w:themeColor="text1"/>
          <w:sz w:val="20"/>
          <w:szCs w:val="20"/>
          <w:shd w:val="clear" w:color="auto" w:fill="FFFFFF"/>
        </w:rPr>
        <w:t>)</w:t>
      </w:r>
      <w:r w:rsidRPr="00930829">
        <w:rPr>
          <w:rStyle w:val="volumeissue"/>
          <w:color w:val="000000" w:themeColor="text1"/>
          <w:sz w:val="20"/>
          <w:szCs w:val="20"/>
          <w:shd w:val="clear" w:color="auto" w:fill="FFFFFF"/>
        </w:rPr>
        <w:t>,</w:t>
      </w:r>
      <w:r w:rsidRPr="00930829">
        <w:rPr>
          <w:color w:val="000000" w:themeColor="text1"/>
          <w:sz w:val="20"/>
          <w:szCs w:val="20"/>
          <w:shd w:val="clear" w:color="auto" w:fill="FFFFFF"/>
        </w:rPr>
        <w:t> </w:t>
      </w:r>
      <w:r w:rsidRPr="00930829">
        <w:rPr>
          <w:rStyle w:val="pagerange"/>
          <w:color w:val="000000" w:themeColor="text1"/>
          <w:sz w:val="20"/>
          <w:szCs w:val="20"/>
          <w:shd w:val="clear" w:color="auto" w:fill="FFFFFF"/>
        </w:rPr>
        <w:t>144-164</w:t>
      </w:r>
      <w:r w:rsidR="00B24400">
        <w:rPr>
          <w:rStyle w:val="pagerange"/>
          <w:color w:val="000000" w:themeColor="text1"/>
          <w:sz w:val="20"/>
          <w:szCs w:val="20"/>
          <w:shd w:val="clear" w:color="auto" w:fill="FFFFFF"/>
        </w:rPr>
        <w:t>.</w:t>
      </w:r>
      <w:r w:rsidRPr="00930829">
        <w:rPr>
          <w:color w:val="000000" w:themeColor="text1"/>
          <w:sz w:val="20"/>
          <w:szCs w:val="20"/>
          <w:shd w:val="clear" w:color="auto" w:fill="FFFFFF"/>
        </w:rPr>
        <w:t> </w:t>
      </w:r>
      <w:r w:rsidRPr="00930829">
        <w:rPr>
          <w:rStyle w:val="doilink"/>
          <w:color w:val="000000" w:themeColor="text1"/>
          <w:sz w:val="20"/>
          <w:szCs w:val="20"/>
          <w:shd w:val="clear" w:color="auto" w:fill="FFFFFF"/>
        </w:rPr>
        <w:t>DOI: </w:t>
      </w:r>
      <w:hyperlink r:id="rId17" w:history="1">
        <w:r w:rsidRPr="00930829">
          <w:rPr>
            <w:rStyle w:val="Hyperlink"/>
            <w:color w:val="000000" w:themeColor="text1"/>
            <w:sz w:val="20"/>
            <w:szCs w:val="20"/>
          </w:rPr>
          <w:t>10.1080/03050068.2020.1723352</w:t>
        </w:r>
      </w:hyperlink>
    </w:p>
    <w:p w14:paraId="5EBD7DE5" w14:textId="77777777" w:rsidR="00C66C99" w:rsidRPr="00930829" w:rsidRDefault="00C66C99" w:rsidP="00C66C99">
      <w:pPr>
        <w:autoSpaceDE w:val="0"/>
        <w:autoSpaceDN w:val="0"/>
        <w:adjustRightInd w:val="0"/>
        <w:rPr>
          <w:color w:val="000000" w:themeColor="text1"/>
          <w:sz w:val="20"/>
          <w:szCs w:val="20"/>
        </w:rPr>
      </w:pPr>
    </w:p>
    <w:p w14:paraId="6D2CC83C" w14:textId="77777777" w:rsidR="006E3CBF" w:rsidRDefault="00C66C99" w:rsidP="00C66C99">
      <w:pPr>
        <w:rPr>
          <w:color w:val="000000" w:themeColor="text1"/>
          <w:sz w:val="20"/>
          <w:szCs w:val="20"/>
        </w:rPr>
      </w:pPr>
      <w:r w:rsidRPr="00930829">
        <w:rPr>
          <w:color w:val="000000" w:themeColor="text1"/>
          <w:sz w:val="20"/>
          <w:szCs w:val="20"/>
        </w:rPr>
        <w:t xml:space="preserve">Pais, A., &amp; Costa, M. (2020). </w:t>
      </w:r>
      <w:r w:rsidRPr="004C1736">
        <w:rPr>
          <w:color w:val="000000" w:themeColor="text1"/>
          <w:sz w:val="20"/>
          <w:szCs w:val="20"/>
        </w:rPr>
        <w:t xml:space="preserve">An ideology critique of </w:t>
      </w:r>
      <w:r w:rsidRPr="004C1736">
        <w:rPr>
          <w:rStyle w:val="hithilite"/>
          <w:color w:val="000000" w:themeColor="text1"/>
          <w:sz w:val="20"/>
          <w:szCs w:val="20"/>
        </w:rPr>
        <w:t>global citizenship</w:t>
      </w:r>
      <w:r w:rsidRPr="004C1736">
        <w:rPr>
          <w:color w:val="000000" w:themeColor="text1"/>
          <w:sz w:val="20"/>
          <w:szCs w:val="20"/>
        </w:rPr>
        <w:t xml:space="preserve"> education.</w:t>
      </w:r>
      <w:r w:rsidRPr="00930829">
        <w:rPr>
          <w:color w:val="000000" w:themeColor="text1"/>
          <w:sz w:val="20"/>
          <w:szCs w:val="20"/>
        </w:rPr>
        <w:t xml:space="preserve"> </w:t>
      </w:r>
      <w:r w:rsidRPr="004C1736">
        <w:rPr>
          <w:i/>
          <w:iCs/>
          <w:color w:val="000000" w:themeColor="text1"/>
          <w:sz w:val="20"/>
          <w:szCs w:val="20"/>
        </w:rPr>
        <w:t>Critical Studies in Education</w:t>
      </w:r>
      <w:r w:rsidRPr="00930829">
        <w:rPr>
          <w:color w:val="000000" w:themeColor="text1"/>
          <w:sz w:val="20"/>
          <w:szCs w:val="20"/>
        </w:rPr>
        <w:t xml:space="preserve">, </w:t>
      </w:r>
    </w:p>
    <w:p w14:paraId="269393BC" w14:textId="12EA60FF" w:rsidR="00C66C99" w:rsidRPr="00930829" w:rsidRDefault="00C66C99" w:rsidP="006E3CBF">
      <w:pPr>
        <w:ind w:firstLine="720"/>
        <w:rPr>
          <w:color w:val="000000" w:themeColor="text1"/>
          <w:sz w:val="20"/>
          <w:szCs w:val="20"/>
        </w:rPr>
      </w:pPr>
      <w:r w:rsidRPr="00930829">
        <w:rPr>
          <w:color w:val="000000" w:themeColor="text1"/>
          <w:sz w:val="20"/>
          <w:szCs w:val="20"/>
        </w:rPr>
        <w:t>61</w:t>
      </w:r>
      <w:r w:rsidR="00930829">
        <w:rPr>
          <w:color w:val="000000" w:themeColor="text1"/>
          <w:sz w:val="20"/>
          <w:szCs w:val="20"/>
        </w:rPr>
        <w:t>(1)</w:t>
      </w:r>
      <w:r w:rsidR="00B24400">
        <w:rPr>
          <w:color w:val="000000" w:themeColor="text1"/>
          <w:sz w:val="20"/>
          <w:szCs w:val="20"/>
        </w:rPr>
        <w:t>,</w:t>
      </w:r>
      <w:r w:rsidRPr="00930829">
        <w:rPr>
          <w:color w:val="000000" w:themeColor="text1"/>
          <w:sz w:val="20"/>
          <w:szCs w:val="20"/>
        </w:rPr>
        <w:t xml:space="preserve"> 1-16.  </w:t>
      </w:r>
      <w:r w:rsidRPr="00930829">
        <w:rPr>
          <w:rStyle w:val="frlabel"/>
          <w:color w:val="000000" w:themeColor="text1"/>
          <w:sz w:val="20"/>
          <w:szCs w:val="20"/>
        </w:rPr>
        <w:t>DOI:</w:t>
      </w:r>
      <w:r w:rsidRPr="00930829">
        <w:rPr>
          <w:color w:val="000000" w:themeColor="text1"/>
          <w:sz w:val="20"/>
          <w:szCs w:val="20"/>
        </w:rPr>
        <w:t xml:space="preserve"> 10.1080/17508487.2017.1318772 </w:t>
      </w:r>
    </w:p>
    <w:p w14:paraId="06974919" w14:textId="77777777" w:rsidR="00C66C99" w:rsidRPr="00930829" w:rsidRDefault="00C66C99" w:rsidP="00C66C99">
      <w:pPr>
        <w:rPr>
          <w:color w:val="000000" w:themeColor="text1"/>
          <w:sz w:val="20"/>
          <w:szCs w:val="20"/>
        </w:rPr>
      </w:pPr>
    </w:p>
    <w:p w14:paraId="74DC0797" w14:textId="77777777" w:rsidR="00C66C99" w:rsidRPr="004808A4" w:rsidRDefault="00C66C99" w:rsidP="00C66C99">
      <w:pPr>
        <w:rPr>
          <w:sz w:val="20"/>
          <w:szCs w:val="20"/>
        </w:rPr>
      </w:pPr>
      <w:r w:rsidRPr="00930829">
        <w:rPr>
          <w:color w:val="000000" w:themeColor="text1"/>
          <w:sz w:val="20"/>
          <w:szCs w:val="20"/>
        </w:rPr>
        <w:t xml:space="preserve">Ramos, C. (2020). In-person interview </w:t>
      </w:r>
      <w:r w:rsidRPr="004808A4">
        <w:rPr>
          <w:sz w:val="20"/>
          <w:szCs w:val="20"/>
        </w:rPr>
        <w:t>June 17, 2020.</w:t>
      </w:r>
    </w:p>
    <w:p w14:paraId="381C1EF2" w14:textId="77777777" w:rsidR="00C66C99" w:rsidRPr="004808A4" w:rsidRDefault="00C66C99" w:rsidP="00C66C99">
      <w:pPr>
        <w:rPr>
          <w:sz w:val="20"/>
          <w:szCs w:val="20"/>
        </w:rPr>
      </w:pPr>
    </w:p>
    <w:p w14:paraId="34950AED" w14:textId="7C08F189" w:rsidR="006E3CBF" w:rsidRDefault="00C66C99" w:rsidP="00C66C99">
      <w:pPr>
        <w:rPr>
          <w:sz w:val="20"/>
          <w:szCs w:val="20"/>
        </w:rPr>
      </w:pPr>
      <w:r w:rsidRPr="006E0CB3">
        <w:rPr>
          <w:sz w:val="20"/>
          <w:szCs w:val="20"/>
        </w:rPr>
        <w:t xml:space="preserve">Ramirez, G. B. (2013). </w:t>
      </w:r>
      <w:r w:rsidRPr="004C1736">
        <w:rPr>
          <w:sz w:val="20"/>
          <w:szCs w:val="20"/>
        </w:rPr>
        <w:t xml:space="preserve">Learning </w:t>
      </w:r>
      <w:r w:rsidR="00B24400">
        <w:rPr>
          <w:sz w:val="20"/>
          <w:szCs w:val="20"/>
        </w:rPr>
        <w:t>a</w:t>
      </w:r>
      <w:r w:rsidRPr="004C1736">
        <w:rPr>
          <w:sz w:val="20"/>
          <w:szCs w:val="20"/>
        </w:rPr>
        <w:t xml:space="preserve">broad or </w:t>
      </w:r>
      <w:r w:rsidR="00B24400">
        <w:rPr>
          <w:sz w:val="20"/>
          <w:szCs w:val="20"/>
        </w:rPr>
        <w:t>j</w:t>
      </w:r>
      <w:r w:rsidRPr="004C1736">
        <w:rPr>
          <w:sz w:val="20"/>
          <w:szCs w:val="20"/>
        </w:rPr>
        <w:t xml:space="preserve">ust </w:t>
      </w:r>
      <w:r w:rsidR="00B24400">
        <w:rPr>
          <w:sz w:val="20"/>
          <w:szCs w:val="20"/>
        </w:rPr>
        <w:t>g</w:t>
      </w:r>
      <w:r w:rsidRPr="004C1736">
        <w:rPr>
          <w:sz w:val="20"/>
          <w:szCs w:val="20"/>
        </w:rPr>
        <w:t xml:space="preserve">oing </w:t>
      </w:r>
      <w:r w:rsidR="00B24400">
        <w:rPr>
          <w:sz w:val="20"/>
          <w:szCs w:val="20"/>
        </w:rPr>
        <w:t>a</w:t>
      </w:r>
      <w:r w:rsidRPr="004C1736">
        <w:rPr>
          <w:sz w:val="20"/>
          <w:szCs w:val="20"/>
        </w:rPr>
        <w:t xml:space="preserve">broad? International </w:t>
      </w:r>
      <w:r w:rsidR="00B24400">
        <w:rPr>
          <w:sz w:val="20"/>
          <w:szCs w:val="20"/>
        </w:rPr>
        <w:t>e</w:t>
      </w:r>
      <w:r w:rsidRPr="004C1736">
        <w:rPr>
          <w:sz w:val="20"/>
          <w:szCs w:val="20"/>
        </w:rPr>
        <w:t xml:space="preserve">ducation </w:t>
      </w:r>
      <w:r w:rsidR="00B24400">
        <w:rPr>
          <w:sz w:val="20"/>
          <w:szCs w:val="20"/>
        </w:rPr>
        <w:t>i</w:t>
      </w:r>
      <w:r w:rsidRPr="004C1736">
        <w:rPr>
          <w:sz w:val="20"/>
          <w:szCs w:val="20"/>
        </w:rPr>
        <w:t xml:space="preserve">n </w:t>
      </w:r>
      <w:r w:rsidR="00B24400">
        <w:rPr>
          <w:sz w:val="20"/>
          <w:szCs w:val="20"/>
        </w:rPr>
        <w:t>o</w:t>
      </w:r>
      <w:r w:rsidRPr="004C1736">
        <w:rPr>
          <w:sz w:val="20"/>
          <w:szCs w:val="20"/>
        </w:rPr>
        <w:t xml:space="preserve">pposite </w:t>
      </w:r>
      <w:r w:rsidR="00B24400">
        <w:rPr>
          <w:sz w:val="20"/>
          <w:szCs w:val="20"/>
        </w:rPr>
        <w:t>s</w:t>
      </w:r>
      <w:r w:rsidRPr="004C1736">
        <w:rPr>
          <w:sz w:val="20"/>
          <w:szCs w:val="20"/>
        </w:rPr>
        <w:t xml:space="preserve">ides of the </w:t>
      </w:r>
    </w:p>
    <w:p w14:paraId="29DC03C1" w14:textId="6BEFDA57" w:rsidR="00C66C99" w:rsidRPr="006E0CB3" w:rsidRDefault="00B24400" w:rsidP="006E3CBF">
      <w:pPr>
        <w:ind w:firstLine="720"/>
        <w:rPr>
          <w:sz w:val="20"/>
          <w:szCs w:val="20"/>
        </w:rPr>
      </w:pPr>
      <w:proofErr w:type="gramStart"/>
      <w:r>
        <w:rPr>
          <w:sz w:val="20"/>
          <w:szCs w:val="20"/>
        </w:rPr>
        <w:t>b</w:t>
      </w:r>
      <w:r w:rsidR="00C66C99" w:rsidRPr="004C1736">
        <w:rPr>
          <w:sz w:val="20"/>
          <w:szCs w:val="20"/>
        </w:rPr>
        <w:t>order</w:t>
      </w:r>
      <w:r>
        <w:rPr>
          <w:sz w:val="20"/>
          <w:szCs w:val="20"/>
        </w:rPr>
        <w:t>.</w:t>
      </w:r>
      <w:r w:rsidR="00C66C99" w:rsidRPr="006E0CB3">
        <w:rPr>
          <w:sz w:val="20"/>
          <w:szCs w:val="20"/>
        </w:rPr>
        <w:t>.</w:t>
      </w:r>
      <w:proofErr w:type="gramEnd"/>
      <w:r w:rsidR="00C66C99" w:rsidRPr="004C1736">
        <w:rPr>
          <w:i/>
          <w:iCs/>
          <w:sz w:val="20"/>
          <w:szCs w:val="20"/>
        </w:rPr>
        <w:t>The Qualitative Report</w:t>
      </w:r>
      <w:r w:rsidR="00C66C99" w:rsidRPr="006E0CB3">
        <w:rPr>
          <w:sz w:val="20"/>
          <w:szCs w:val="20"/>
        </w:rPr>
        <w:t>,18(31)</w:t>
      </w:r>
      <w:r>
        <w:rPr>
          <w:sz w:val="20"/>
          <w:szCs w:val="20"/>
        </w:rPr>
        <w:t>,</w:t>
      </w:r>
      <w:r w:rsidR="00930829">
        <w:rPr>
          <w:sz w:val="20"/>
          <w:szCs w:val="20"/>
        </w:rPr>
        <w:t xml:space="preserve"> </w:t>
      </w:r>
      <w:r w:rsidR="00C66C99" w:rsidRPr="006E0CB3">
        <w:rPr>
          <w:sz w:val="20"/>
          <w:szCs w:val="20"/>
        </w:rPr>
        <w:t>1-11. https://nsuworks.nova.edu/tqr/vol18/iss31</w:t>
      </w:r>
      <w:r w:rsidR="00C66C99" w:rsidRPr="004808A4">
        <w:rPr>
          <w:sz w:val="20"/>
          <w:szCs w:val="20"/>
        </w:rPr>
        <w:t>/2</w:t>
      </w:r>
    </w:p>
    <w:p w14:paraId="7888D4C8" w14:textId="77777777" w:rsidR="00C66C99" w:rsidRPr="004808A4" w:rsidRDefault="00C66C99" w:rsidP="00C66C99">
      <w:pPr>
        <w:autoSpaceDE w:val="0"/>
        <w:autoSpaceDN w:val="0"/>
        <w:adjustRightInd w:val="0"/>
        <w:rPr>
          <w:sz w:val="20"/>
          <w:szCs w:val="20"/>
        </w:rPr>
      </w:pPr>
    </w:p>
    <w:p w14:paraId="583DCB0F" w14:textId="77777777" w:rsidR="006E3CBF" w:rsidRDefault="00C66C99" w:rsidP="006E3CBF">
      <w:pPr>
        <w:rPr>
          <w:sz w:val="20"/>
          <w:szCs w:val="20"/>
        </w:rPr>
      </w:pPr>
      <w:r w:rsidRPr="004808A4">
        <w:rPr>
          <w:sz w:val="20"/>
          <w:szCs w:val="20"/>
        </w:rPr>
        <w:t xml:space="preserve">Reimers, F. M. (2009). </w:t>
      </w:r>
      <w:r w:rsidRPr="004808A4">
        <w:rPr>
          <w:i/>
          <w:iCs/>
          <w:sz w:val="20"/>
          <w:szCs w:val="20"/>
        </w:rPr>
        <w:t>Educating for Global Competency</w:t>
      </w:r>
      <w:r w:rsidRPr="004808A4">
        <w:rPr>
          <w:sz w:val="20"/>
          <w:szCs w:val="20"/>
        </w:rPr>
        <w:t xml:space="preserve">. The NEA Foundation. </w:t>
      </w:r>
    </w:p>
    <w:p w14:paraId="3457FC69" w14:textId="376413A2" w:rsidR="00C66C99" w:rsidRPr="004808A4" w:rsidRDefault="009D3078" w:rsidP="006E3CBF">
      <w:pPr>
        <w:ind w:left="720"/>
        <w:rPr>
          <w:sz w:val="20"/>
          <w:szCs w:val="20"/>
        </w:rPr>
      </w:pPr>
      <w:hyperlink r:id="rId18" w:history="1">
        <w:r w:rsidR="006E3CBF" w:rsidRPr="00755EB4">
          <w:rPr>
            <w:rStyle w:val="Hyperlink"/>
            <w:sz w:val="20"/>
            <w:szCs w:val="20"/>
          </w:rPr>
          <w:t>https://www.neafoundation.org/content/assets/2012/11/Educating%20for%20Global%20Competence%20by%20Fernando%20Reimers.pdf</w:t>
        </w:r>
      </w:hyperlink>
    </w:p>
    <w:p w14:paraId="2E7B1672" w14:textId="77777777" w:rsidR="00C66C99" w:rsidRPr="004808A4" w:rsidRDefault="00C66C99" w:rsidP="00C66C99">
      <w:pPr>
        <w:rPr>
          <w:sz w:val="20"/>
          <w:szCs w:val="20"/>
        </w:rPr>
      </w:pPr>
    </w:p>
    <w:p w14:paraId="4318E623" w14:textId="77777777" w:rsidR="00C66C99" w:rsidRPr="004808A4" w:rsidRDefault="00C66C99" w:rsidP="00C66C99">
      <w:pPr>
        <w:rPr>
          <w:sz w:val="20"/>
          <w:szCs w:val="20"/>
        </w:rPr>
      </w:pPr>
      <w:r w:rsidRPr="00AE6A20">
        <w:rPr>
          <w:sz w:val="20"/>
          <w:szCs w:val="20"/>
        </w:rPr>
        <w:t>Reimers, F. M. (2009</w:t>
      </w:r>
      <w:r w:rsidRPr="004808A4">
        <w:rPr>
          <w:sz w:val="20"/>
          <w:szCs w:val="20"/>
        </w:rPr>
        <w:t>a</w:t>
      </w:r>
      <w:r w:rsidRPr="00AE6A20">
        <w:rPr>
          <w:sz w:val="20"/>
          <w:szCs w:val="20"/>
        </w:rPr>
        <w:t xml:space="preserve">). </w:t>
      </w:r>
      <w:r w:rsidRPr="004C1736">
        <w:rPr>
          <w:sz w:val="20"/>
          <w:szCs w:val="20"/>
        </w:rPr>
        <w:t>Global competency: Educating the world</w:t>
      </w:r>
      <w:r w:rsidRPr="00AE6A20">
        <w:rPr>
          <w:i/>
          <w:iCs/>
          <w:sz w:val="20"/>
          <w:szCs w:val="20"/>
        </w:rPr>
        <w:t>.</w:t>
      </w:r>
      <w:r w:rsidRPr="00AE6A20">
        <w:rPr>
          <w:sz w:val="20"/>
          <w:szCs w:val="20"/>
        </w:rPr>
        <w:t xml:space="preserve"> </w:t>
      </w:r>
      <w:r w:rsidRPr="004C1736">
        <w:rPr>
          <w:i/>
          <w:iCs/>
          <w:sz w:val="20"/>
          <w:szCs w:val="20"/>
        </w:rPr>
        <w:t>Harvard International Review</w:t>
      </w:r>
      <w:r w:rsidRPr="004808A4">
        <w:rPr>
          <w:sz w:val="20"/>
          <w:szCs w:val="20"/>
        </w:rPr>
        <w:t>, 30(4).</w:t>
      </w:r>
    </w:p>
    <w:p w14:paraId="2D419493" w14:textId="77777777" w:rsidR="00C66C99" w:rsidRPr="004808A4" w:rsidRDefault="00C66C99" w:rsidP="00C66C99">
      <w:pPr>
        <w:autoSpaceDE w:val="0"/>
        <w:autoSpaceDN w:val="0"/>
        <w:adjustRightInd w:val="0"/>
        <w:rPr>
          <w:sz w:val="20"/>
          <w:szCs w:val="20"/>
        </w:rPr>
      </w:pPr>
    </w:p>
    <w:p w14:paraId="072EC0C7" w14:textId="77777777" w:rsidR="006E3CBF" w:rsidRDefault="00C66C99" w:rsidP="00C66C99">
      <w:pPr>
        <w:autoSpaceDE w:val="0"/>
        <w:autoSpaceDN w:val="0"/>
        <w:adjustRightInd w:val="0"/>
        <w:rPr>
          <w:rFonts w:eastAsiaTheme="minorHAnsi"/>
          <w:sz w:val="20"/>
          <w:szCs w:val="20"/>
        </w:rPr>
      </w:pPr>
      <w:r w:rsidRPr="001A52E3">
        <w:rPr>
          <w:rFonts w:eastAsiaTheme="minorHAnsi"/>
          <w:sz w:val="20"/>
          <w:szCs w:val="20"/>
        </w:rPr>
        <w:t>Robbins, M., L. J. Francis, and E. Elliott</w:t>
      </w:r>
      <w:r>
        <w:rPr>
          <w:rFonts w:eastAsiaTheme="minorHAnsi"/>
          <w:sz w:val="20"/>
          <w:szCs w:val="20"/>
        </w:rPr>
        <w:t xml:space="preserve"> </w:t>
      </w:r>
      <w:r w:rsidRPr="001A52E3">
        <w:rPr>
          <w:rFonts w:eastAsiaTheme="minorHAnsi"/>
          <w:sz w:val="20"/>
          <w:szCs w:val="20"/>
        </w:rPr>
        <w:t xml:space="preserve">(2003). </w:t>
      </w:r>
      <w:r w:rsidRPr="004C1736">
        <w:rPr>
          <w:rFonts w:eastAsiaTheme="minorHAnsi"/>
          <w:sz w:val="20"/>
          <w:szCs w:val="20"/>
        </w:rPr>
        <w:t xml:space="preserve">Attitudes toward education for global citizenship among </w:t>
      </w:r>
      <w:proofErr w:type="gramStart"/>
      <w:r w:rsidRPr="004C1736">
        <w:rPr>
          <w:rFonts w:eastAsiaTheme="minorHAnsi"/>
          <w:sz w:val="20"/>
          <w:szCs w:val="20"/>
        </w:rPr>
        <w:t>trainee</w:t>
      </w:r>
      <w:proofErr w:type="gramEnd"/>
      <w:r w:rsidRPr="004C1736">
        <w:rPr>
          <w:rFonts w:eastAsiaTheme="minorHAnsi"/>
          <w:sz w:val="20"/>
          <w:szCs w:val="20"/>
        </w:rPr>
        <w:t xml:space="preserve"> </w:t>
      </w:r>
    </w:p>
    <w:p w14:paraId="47ED864C" w14:textId="0D302BB5" w:rsidR="00C66C99" w:rsidRPr="001A52E3" w:rsidRDefault="00C66C99" w:rsidP="006E3CBF">
      <w:pPr>
        <w:autoSpaceDE w:val="0"/>
        <w:autoSpaceDN w:val="0"/>
        <w:adjustRightInd w:val="0"/>
        <w:ind w:firstLine="720"/>
        <w:rPr>
          <w:rFonts w:eastAsiaTheme="minorHAnsi"/>
          <w:sz w:val="20"/>
          <w:szCs w:val="20"/>
        </w:rPr>
      </w:pPr>
      <w:r w:rsidRPr="004C1736">
        <w:rPr>
          <w:rFonts w:eastAsiaTheme="minorHAnsi"/>
          <w:sz w:val="20"/>
          <w:szCs w:val="20"/>
        </w:rPr>
        <w:t>teachers.</w:t>
      </w:r>
      <w:r w:rsidRPr="001A52E3">
        <w:rPr>
          <w:rFonts w:eastAsiaTheme="minorHAnsi"/>
          <w:i/>
          <w:iCs/>
          <w:sz w:val="20"/>
          <w:szCs w:val="20"/>
        </w:rPr>
        <w:t xml:space="preserve"> </w:t>
      </w:r>
      <w:r w:rsidRPr="004C1736">
        <w:rPr>
          <w:rFonts w:eastAsiaTheme="minorHAnsi"/>
          <w:i/>
          <w:iCs/>
          <w:sz w:val="20"/>
          <w:szCs w:val="20"/>
        </w:rPr>
        <w:t>Research in Education</w:t>
      </w:r>
      <w:r w:rsidRPr="001A52E3">
        <w:rPr>
          <w:rFonts w:eastAsiaTheme="minorHAnsi"/>
          <w:sz w:val="20"/>
          <w:szCs w:val="20"/>
        </w:rPr>
        <w:t xml:space="preserve"> 69</w:t>
      </w:r>
      <w:r w:rsidR="002744EB">
        <w:rPr>
          <w:rFonts w:eastAsiaTheme="minorHAnsi"/>
          <w:sz w:val="20"/>
          <w:szCs w:val="20"/>
        </w:rPr>
        <w:t>,</w:t>
      </w:r>
      <w:r w:rsidR="00930829">
        <w:rPr>
          <w:rFonts w:eastAsiaTheme="minorHAnsi"/>
          <w:sz w:val="20"/>
          <w:szCs w:val="20"/>
        </w:rPr>
        <w:t xml:space="preserve"> </w:t>
      </w:r>
      <w:r w:rsidRPr="001A52E3">
        <w:rPr>
          <w:rFonts w:eastAsiaTheme="minorHAnsi"/>
          <w:sz w:val="20"/>
          <w:szCs w:val="20"/>
        </w:rPr>
        <w:t>93–98.</w:t>
      </w:r>
    </w:p>
    <w:p w14:paraId="7E45E29A" w14:textId="77777777" w:rsidR="00C66C99" w:rsidRPr="001A52E3" w:rsidRDefault="00C66C99" w:rsidP="00C66C99">
      <w:pPr>
        <w:autoSpaceDE w:val="0"/>
        <w:autoSpaceDN w:val="0"/>
        <w:adjustRightInd w:val="0"/>
        <w:rPr>
          <w:rFonts w:eastAsiaTheme="minorHAnsi"/>
          <w:i/>
          <w:iCs/>
          <w:sz w:val="20"/>
          <w:szCs w:val="20"/>
        </w:rPr>
      </w:pPr>
    </w:p>
    <w:p w14:paraId="4ECA830D" w14:textId="2C33FE2B" w:rsidR="009A02F8" w:rsidRDefault="009A02F8" w:rsidP="009A02F8">
      <w:pPr>
        <w:pStyle w:val="Default"/>
        <w:rPr>
          <w:sz w:val="20"/>
          <w:szCs w:val="20"/>
        </w:rPr>
      </w:pPr>
      <w:r w:rsidRPr="004808A4">
        <w:rPr>
          <w:sz w:val="20"/>
          <w:szCs w:val="20"/>
        </w:rPr>
        <w:t xml:space="preserve">Sadruddin, M. &amp; Wahab, Z. (2013). </w:t>
      </w:r>
      <w:r w:rsidRPr="004C1736">
        <w:rPr>
          <w:sz w:val="20"/>
          <w:szCs w:val="20"/>
        </w:rPr>
        <w:t xml:space="preserve">Are </w:t>
      </w:r>
      <w:r w:rsidR="002744EB">
        <w:rPr>
          <w:sz w:val="20"/>
          <w:szCs w:val="20"/>
        </w:rPr>
        <w:t>w</w:t>
      </w:r>
      <w:r w:rsidRPr="004C1736">
        <w:rPr>
          <w:sz w:val="20"/>
          <w:szCs w:val="20"/>
        </w:rPr>
        <w:t xml:space="preserve">e </w:t>
      </w:r>
      <w:r w:rsidR="002744EB">
        <w:rPr>
          <w:sz w:val="20"/>
          <w:szCs w:val="20"/>
        </w:rPr>
        <w:t>p</w:t>
      </w:r>
      <w:r w:rsidRPr="004C1736">
        <w:rPr>
          <w:sz w:val="20"/>
          <w:szCs w:val="20"/>
        </w:rPr>
        <w:t xml:space="preserve">reparing </w:t>
      </w:r>
      <w:r w:rsidR="002744EB">
        <w:rPr>
          <w:sz w:val="20"/>
          <w:szCs w:val="20"/>
        </w:rPr>
        <w:t>g</w:t>
      </w:r>
      <w:r w:rsidRPr="004C1736">
        <w:rPr>
          <w:sz w:val="20"/>
          <w:szCs w:val="20"/>
        </w:rPr>
        <w:t xml:space="preserve">lobal </w:t>
      </w:r>
      <w:r w:rsidR="002744EB">
        <w:rPr>
          <w:sz w:val="20"/>
          <w:szCs w:val="20"/>
        </w:rPr>
        <w:t>c</w:t>
      </w:r>
      <w:r w:rsidRPr="004C1736">
        <w:rPr>
          <w:sz w:val="20"/>
          <w:szCs w:val="20"/>
        </w:rPr>
        <w:t xml:space="preserve">ompetent </w:t>
      </w:r>
      <w:r w:rsidR="002744EB">
        <w:rPr>
          <w:sz w:val="20"/>
          <w:szCs w:val="20"/>
        </w:rPr>
        <w:t>t</w:t>
      </w:r>
      <w:r w:rsidRPr="004C1736">
        <w:rPr>
          <w:sz w:val="20"/>
          <w:szCs w:val="20"/>
        </w:rPr>
        <w:t xml:space="preserve">eachers? - Evaluation of the </w:t>
      </w:r>
    </w:p>
    <w:p w14:paraId="4A126DC0" w14:textId="6EE60FDB" w:rsidR="009A02F8" w:rsidRDefault="002744EB" w:rsidP="009A02F8">
      <w:pPr>
        <w:pStyle w:val="Default"/>
        <w:ind w:firstLine="720"/>
        <w:rPr>
          <w:i/>
          <w:iCs/>
          <w:sz w:val="20"/>
          <w:szCs w:val="20"/>
        </w:rPr>
      </w:pPr>
      <w:r>
        <w:rPr>
          <w:sz w:val="20"/>
          <w:szCs w:val="20"/>
        </w:rPr>
        <w:t>i</w:t>
      </w:r>
      <w:r w:rsidR="009A02F8" w:rsidRPr="004C1736">
        <w:rPr>
          <w:sz w:val="20"/>
          <w:szCs w:val="20"/>
        </w:rPr>
        <w:t xml:space="preserve">ncorporation of </w:t>
      </w:r>
      <w:r>
        <w:rPr>
          <w:sz w:val="20"/>
          <w:szCs w:val="20"/>
        </w:rPr>
        <w:t>g</w:t>
      </w:r>
      <w:r w:rsidR="009A02F8" w:rsidRPr="004C1736">
        <w:rPr>
          <w:sz w:val="20"/>
          <w:szCs w:val="20"/>
        </w:rPr>
        <w:t xml:space="preserve">lobal </w:t>
      </w:r>
      <w:r>
        <w:rPr>
          <w:sz w:val="20"/>
          <w:szCs w:val="20"/>
        </w:rPr>
        <w:t>e</w:t>
      </w:r>
      <w:r w:rsidR="009A02F8" w:rsidRPr="004C1736">
        <w:rPr>
          <w:sz w:val="20"/>
          <w:szCs w:val="20"/>
        </w:rPr>
        <w:t xml:space="preserve">ducation </w:t>
      </w:r>
      <w:r>
        <w:rPr>
          <w:sz w:val="20"/>
          <w:szCs w:val="20"/>
        </w:rPr>
        <w:t>p</w:t>
      </w:r>
      <w:r w:rsidR="009A02F8" w:rsidRPr="004C1736">
        <w:rPr>
          <w:sz w:val="20"/>
          <w:szCs w:val="20"/>
        </w:rPr>
        <w:t xml:space="preserve">erspectives in </w:t>
      </w:r>
      <w:r>
        <w:rPr>
          <w:sz w:val="20"/>
          <w:szCs w:val="20"/>
        </w:rPr>
        <w:t>t</w:t>
      </w:r>
      <w:r w:rsidR="009A02F8" w:rsidRPr="004C1736">
        <w:rPr>
          <w:sz w:val="20"/>
          <w:szCs w:val="20"/>
        </w:rPr>
        <w:t xml:space="preserve">eacher </w:t>
      </w:r>
      <w:r>
        <w:rPr>
          <w:sz w:val="20"/>
          <w:szCs w:val="20"/>
        </w:rPr>
        <w:t>e</w:t>
      </w:r>
      <w:r w:rsidR="009A02F8" w:rsidRPr="004C1736">
        <w:rPr>
          <w:sz w:val="20"/>
          <w:szCs w:val="20"/>
        </w:rPr>
        <w:t xml:space="preserve">ducation </w:t>
      </w:r>
      <w:r>
        <w:rPr>
          <w:sz w:val="20"/>
          <w:szCs w:val="20"/>
        </w:rPr>
        <w:t>c</w:t>
      </w:r>
      <w:r w:rsidR="009A02F8" w:rsidRPr="004C1736">
        <w:rPr>
          <w:sz w:val="20"/>
          <w:szCs w:val="20"/>
        </w:rPr>
        <w:t>urriculum in Pakistan</w:t>
      </w:r>
      <w:r w:rsidR="009A02F8" w:rsidRPr="004808A4">
        <w:rPr>
          <w:sz w:val="20"/>
          <w:szCs w:val="20"/>
        </w:rPr>
        <w:t>.</w:t>
      </w:r>
      <w:r w:rsidR="009A02F8" w:rsidRPr="004808A4">
        <w:rPr>
          <w:b/>
          <w:bCs/>
          <w:sz w:val="20"/>
          <w:szCs w:val="20"/>
        </w:rPr>
        <w:t xml:space="preserve"> </w:t>
      </w:r>
      <w:r w:rsidR="009A02F8" w:rsidRPr="004C1736">
        <w:rPr>
          <w:i/>
          <w:iCs/>
          <w:sz w:val="20"/>
          <w:szCs w:val="20"/>
        </w:rPr>
        <w:t xml:space="preserve">Bulletin of </w:t>
      </w:r>
    </w:p>
    <w:p w14:paraId="40094B65" w14:textId="5FF4F35A" w:rsidR="009A02F8" w:rsidRDefault="009A02F8" w:rsidP="009A02F8">
      <w:pPr>
        <w:pStyle w:val="Default"/>
        <w:ind w:firstLine="720"/>
        <w:rPr>
          <w:sz w:val="20"/>
          <w:szCs w:val="20"/>
        </w:rPr>
      </w:pPr>
      <w:r w:rsidRPr="004C1736">
        <w:rPr>
          <w:i/>
          <w:iCs/>
          <w:sz w:val="20"/>
          <w:szCs w:val="20"/>
        </w:rPr>
        <w:t>Education and Research.</w:t>
      </w:r>
      <w:r w:rsidRPr="00930829">
        <w:rPr>
          <w:sz w:val="20"/>
          <w:szCs w:val="20"/>
        </w:rPr>
        <w:t xml:space="preserve"> </w:t>
      </w:r>
      <w:r>
        <w:rPr>
          <w:sz w:val="20"/>
          <w:szCs w:val="20"/>
        </w:rPr>
        <w:t>35(1)</w:t>
      </w:r>
      <w:r w:rsidR="002744EB">
        <w:rPr>
          <w:sz w:val="20"/>
          <w:szCs w:val="20"/>
        </w:rPr>
        <w:t>,</w:t>
      </w:r>
      <w:r>
        <w:rPr>
          <w:sz w:val="20"/>
          <w:szCs w:val="20"/>
        </w:rPr>
        <w:t xml:space="preserve"> </w:t>
      </w:r>
      <w:r w:rsidRPr="00930829">
        <w:rPr>
          <w:sz w:val="20"/>
          <w:szCs w:val="20"/>
        </w:rPr>
        <w:t>75-94</w:t>
      </w:r>
      <w:r>
        <w:rPr>
          <w:sz w:val="20"/>
          <w:szCs w:val="20"/>
        </w:rPr>
        <w:t>.</w:t>
      </w:r>
    </w:p>
    <w:p w14:paraId="23B36C98" w14:textId="77777777" w:rsidR="009A02F8" w:rsidRPr="00930829" w:rsidRDefault="009A02F8" w:rsidP="009A02F8">
      <w:pPr>
        <w:pStyle w:val="Default"/>
        <w:ind w:firstLine="720"/>
        <w:rPr>
          <w:sz w:val="20"/>
          <w:szCs w:val="20"/>
        </w:rPr>
      </w:pPr>
    </w:p>
    <w:p w14:paraId="527FA5C2" w14:textId="77777777" w:rsidR="009A02F8" w:rsidRPr="009A02F8" w:rsidRDefault="00C66C99" w:rsidP="009A02F8">
      <w:pPr>
        <w:pStyle w:val="NoSpacing"/>
        <w:rPr>
          <w:sz w:val="20"/>
          <w:szCs w:val="20"/>
        </w:rPr>
      </w:pPr>
      <w:r w:rsidRPr="009A02F8">
        <w:rPr>
          <w:sz w:val="20"/>
          <w:szCs w:val="20"/>
        </w:rPr>
        <w:t xml:space="preserve">Santoro, N., &amp; Major, J. (2012). Learning to be a culturally responsive teacher through international study trips: </w:t>
      </w:r>
    </w:p>
    <w:p w14:paraId="5A133BB5" w14:textId="415E2615" w:rsidR="00C66C99" w:rsidRPr="009A02F8" w:rsidRDefault="00C66C99" w:rsidP="009A02F8">
      <w:pPr>
        <w:pStyle w:val="NoSpacing"/>
        <w:ind w:firstLine="720"/>
        <w:rPr>
          <w:sz w:val="20"/>
          <w:szCs w:val="20"/>
        </w:rPr>
      </w:pPr>
      <w:r w:rsidRPr="009A02F8">
        <w:rPr>
          <w:sz w:val="20"/>
          <w:szCs w:val="20"/>
        </w:rPr>
        <w:t>transformation or tourism</w:t>
      </w:r>
      <w:r w:rsidRPr="009A02F8">
        <w:rPr>
          <w:i/>
          <w:iCs/>
          <w:sz w:val="20"/>
          <w:szCs w:val="20"/>
        </w:rPr>
        <w:t>?</w:t>
      </w:r>
      <w:r w:rsidR="00930829" w:rsidRPr="009A02F8">
        <w:rPr>
          <w:i/>
          <w:iCs/>
          <w:sz w:val="20"/>
          <w:szCs w:val="20"/>
        </w:rPr>
        <w:t xml:space="preserve"> </w:t>
      </w:r>
      <w:r w:rsidRPr="009A02F8">
        <w:rPr>
          <w:i/>
          <w:iCs/>
          <w:sz w:val="20"/>
          <w:szCs w:val="20"/>
        </w:rPr>
        <w:t>Teaching Education</w:t>
      </w:r>
      <w:r w:rsidRPr="009A02F8">
        <w:rPr>
          <w:sz w:val="20"/>
          <w:szCs w:val="20"/>
        </w:rPr>
        <w:t>, 23(3)</w:t>
      </w:r>
      <w:r w:rsidR="002744EB">
        <w:rPr>
          <w:sz w:val="20"/>
          <w:szCs w:val="20"/>
        </w:rPr>
        <w:t xml:space="preserve">, </w:t>
      </w:r>
      <w:r w:rsidRPr="009A02F8">
        <w:rPr>
          <w:sz w:val="20"/>
          <w:szCs w:val="20"/>
        </w:rPr>
        <w:t>309-322.</w:t>
      </w:r>
    </w:p>
    <w:p w14:paraId="2029FEC5" w14:textId="77777777" w:rsidR="00520ED3" w:rsidRDefault="00520ED3" w:rsidP="00C66C99">
      <w:pPr>
        <w:pStyle w:val="Default"/>
        <w:rPr>
          <w:sz w:val="20"/>
          <w:szCs w:val="20"/>
        </w:rPr>
      </w:pPr>
    </w:p>
    <w:p w14:paraId="026BD715" w14:textId="3C857AD5" w:rsidR="006E3CBF" w:rsidRPr="00A267A9" w:rsidRDefault="00C66C99" w:rsidP="00C66C99">
      <w:pPr>
        <w:autoSpaceDE w:val="0"/>
        <w:autoSpaceDN w:val="0"/>
        <w:adjustRightInd w:val="0"/>
        <w:rPr>
          <w:rFonts w:eastAsiaTheme="minorHAnsi"/>
          <w:i/>
          <w:iCs/>
          <w:sz w:val="20"/>
          <w:szCs w:val="20"/>
        </w:rPr>
      </w:pPr>
      <w:r w:rsidRPr="004808A4">
        <w:rPr>
          <w:rFonts w:eastAsiaTheme="minorHAnsi"/>
          <w:sz w:val="20"/>
          <w:szCs w:val="20"/>
        </w:rPr>
        <w:t xml:space="preserve">Schattle, H. (2009). </w:t>
      </w:r>
      <w:r w:rsidRPr="00A267A9">
        <w:rPr>
          <w:rFonts w:eastAsiaTheme="minorHAnsi"/>
          <w:sz w:val="20"/>
          <w:szCs w:val="20"/>
        </w:rPr>
        <w:t>Global citizenship in theory and practice.</w:t>
      </w:r>
      <w:r w:rsidRPr="004808A4">
        <w:rPr>
          <w:rFonts w:eastAsiaTheme="minorHAnsi"/>
          <w:sz w:val="20"/>
          <w:szCs w:val="20"/>
        </w:rPr>
        <w:t xml:space="preserve"> </w:t>
      </w:r>
      <w:r>
        <w:rPr>
          <w:rFonts w:eastAsiaTheme="minorHAnsi"/>
          <w:sz w:val="20"/>
          <w:szCs w:val="20"/>
        </w:rPr>
        <w:t>Ed.</w:t>
      </w:r>
      <w:r w:rsidRPr="004808A4">
        <w:rPr>
          <w:rFonts w:eastAsiaTheme="minorHAnsi"/>
          <w:sz w:val="20"/>
          <w:szCs w:val="20"/>
        </w:rPr>
        <w:t xml:space="preserve"> R. Lewin</w:t>
      </w:r>
      <w:r>
        <w:rPr>
          <w:rFonts w:eastAsiaTheme="minorHAnsi"/>
          <w:sz w:val="20"/>
          <w:szCs w:val="20"/>
        </w:rPr>
        <w:t xml:space="preserve">. </w:t>
      </w:r>
      <w:r w:rsidRPr="00A267A9">
        <w:rPr>
          <w:rFonts w:eastAsiaTheme="minorHAnsi"/>
          <w:i/>
          <w:iCs/>
          <w:sz w:val="20"/>
          <w:szCs w:val="20"/>
        </w:rPr>
        <w:t xml:space="preserve">The </w:t>
      </w:r>
      <w:r w:rsidR="002744EB" w:rsidRPr="00A267A9">
        <w:rPr>
          <w:rFonts w:eastAsiaTheme="minorHAnsi"/>
          <w:i/>
          <w:iCs/>
          <w:sz w:val="20"/>
          <w:szCs w:val="20"/>
        </w:rPr>
        <w:t>h</w:t>
      </w:r>
      <w:r w:rsidRPr="00A267A9">
        <w:rPr>
          <w:rFonts w:eastAsiaTheme="minorHAnsi"/>
          <w:i/>
          <w:iCs/>
          <w:sz w:val="20"/>
          <w:szCs w:val="20"/>
        </w:rPr>
        <w:t xml:space="preserve">andbook of </w:t>
      </w:r>
      <w:r w:rsidR="002744EB" w:rsidRPr="00A267A9">
        <w:rPr>
          <w:rFonts w:eastAsiaTheme="minorHAnsi"/>
          <w:i/>
          <w:iCs/>
          <w:sz w:val="20"/>
          <w:szCs w:val="20"/>
        </w:rPr>
        <w:t>p</w:t>
      </w:r>
      <w:r w:rsidRPr="00A267A9">
        <w:rPr>
          <w:rFonts w:eastAsiaTheme="minorHAnsi"/>
          <w:i/>
          <w:iCs/>
          <w:sz w:val="20"/>
          <w:szCs w:val="20"/>
        </w:rPr>
        <w:t xml:space="preserve">ractice and </w:t>
      </w:r>
    </w:p>
    <w:p w14:paraId="3AE1870B" w14:textId="6ECCA216" w:rsidR="00C66C99" w:rsidRDefault="002744EB" w:rsidP="006E3CBF">
      <w:pPr>
        <w:autoSpaceDE w:val="0"/>
        <w:autoSpaceDN w:val="0"/>
        <w:adjustRightInd w:val="0"/>
        <w:ind w:firstLine="720"/>
        <w:rPr>
          <w:rFonts w:eastAsiaTheme="minorHAnsi"/>
          <w:sz w:val="20"/>
          <w:szCs w:val="20"/>
        </w:rPr>
      </w:pPr>
      <w:r w:rsidRPr="00A267A9">
        <w:rPr>
          <w:rFonts w:eastAsiaTheme="minorHAnsi"/>
          <w:i/>
          <w:iCs/>
          <w:sz w:val="20"/>
          <w:szCs w:val="20"/>
        </w:rPr>
        <w:t>r</w:t>
      </w:r>
      <w:r w:rsidR="00930829" w:rsidRPr="00A267A9">
        <w:rPr>
          <w:rFonts w:eastAsiaTheme="minorHAnsi"/>
          <w:i/>
          <w:iCs/>
          <w:sz w:val="20"/>
          <w:szCs w:val="20"/>
        </w:rPr>
        <w:t>e</w:t>
      </w:r>
      <w:r w:rsidR="00C66C99" w:rsidRPr="00A267A9">
        <w:rPr>
          <w:rFonts w:eastAsiaTheme="minorHAnsi"/>
          <w:i/>
          <w:iCs/>
          <w:sz w:val="20"/>
          <w:szCs w:val="20"/>
        </w:rPr>
        <w:t xml:space="preserve">search in </w:t>
      </w:r>
      <w:r w:rsidRPr="00A267A9">
        <w:rPr>
          <w:rFonts w:eastAsiaTheme="minorHAnsi"/>
          <w:i/>
          <w:iCs/>
          <w:sz w:val="20"/>
          <w:szCs w:val="20"/>
        </w:rPr>
        <w:t>s</w:t>
      </w:r>
      <w:r w:rsidR="00C66C99" w:rsidRPr="00A267A9">
        <w:rPr>
          <w:rFonts w:eastAsiaTheme="minorHAnsi"/>
          <w:i/>
          <w:iCs/>
          <w:sz w:val="20"/>
          <w:szCs w:val="20"/>
        </w:rPr>
        <w:t xml:space="preserve">tudy </w:t>
      </w:r>
      <w:r w:rsidRPr="00A267A9">
        <w:rPr>
          <w:rFonts w:eastAsiaTheme="minorHAnsi"/>
          <w:i/>
          <w:iCs/>
          <w:sz w:val="20"/>
          <w:szCs w:val="20"/>
        </w:rPr>
        <w:t>a</w:t>
      </w:r>
      <w:r w:rsidR="00C66C99" w:rsidRPr="00A267A9">
        <w:rPr>
          <w:rFonts w:eastAsiaTheme="minorHAnsi"/>
          <w:i/>
          <w:iCs/>
          <w:sz w:val="20"/>
          <w:szCs w:val="20"/>
        </w:rPr>
        <w:t>broad: Higher education and the quest for global citizenship.</w:t>
      </w:r>
      <w:r w:rsidR="00C66C99">
        <w:rPr>
          <w:rFonts w:eastAsiaTheme="minorHAnsi"/>
          <w:sz w:val="20"/>
          <w:szCs w:val="20"/>
        </w:rPr>
        <w:t xml:space="preserve"> </w:t>
      </w:r>
      <w:r w:rsidR="00C66C99" w:rsidRPr="004808A4">
        <w:rPr>
          <w:rFonts w:eastAsiaTheme="minorHAnsi"/>
          <w:sz w:val="20"/>
          <w:szCs w:val="20"/>
        </w:rPr>
        <w:t>Routledge</w:t>
      </w:r>
      <w:r w:rsidR="00C66C99">
        <w:rPr>
          <w:rFonts w:eastAsiaTheme="minorHAnsi"/>
          <w:sz w:val="20"/>
          <w:szCs w:val="20"/>
        </w:rPr>
        <w:t>, 3-20.</w:t>
      </w:r>
    </w:p>
    <w:p w14:paraId="79068B82" w14:textId="77777777" w:rsidR="00C66C99" w:rsidRPr="00134958" w:rsidRDefault="00C66C99" w:rsidP="00C66C99">
      <w:pPr>
        <w:autoSpaceDE w:val="0"/>
        <w:autoSpaceDN w:val="0"/>
        <w:adjustRightInd w:val="0"/>
        <w:rPr>
          <w:rFonts w:eastAsiaTheme="minorHAnsi"/>
          <w:sz w:val="20"/>
          <w:szCs w:val="20"/>
        </w:rPr>
      </w:pPr>
    </w:p>
    <w:p w14:paraId="357B57FD" w14:textId="77777777" w:rsidR="006E3CBF" w:rsidRDefault="00C66C99" w:rsidP="00C66C99">
      <w:pPr>
        <w:autoSpaceDE w:val="0"/>
        <w:autoSpaceDN w:val="0"/>
        <w:adjustRightInd w:val="0"/>
        <w:rPr>
          <w:sz w:val="20"/>
          <w:szCs w:val="20"/>
        </w:rPr>
      </w:pPr>
      <w:r w:rsidRPr="004808A4">
        <w:rPr>
          <w:sz w:val="20"/>
          <w:szCs w:val="20"/>
        </w:rPr>
        <w:t xml:space="preserve">Schneider, A.M. (2003). </w:t>
      </w:r>
      <w:r w:rsidRPr="00930829">
        <w:rPr>
          <w:i/>
          <w:iCs/>
          <w:sz w:val="20"/>
          <w:szCs w:val="20"/>
        </w:rPr>
        <w:t>Internationalizing teacher education: What can be done?</w:t>
      </w:r>
      <w:r w:rsidRPr="004808A4">
        <w:rPr>
          <w:sz w:val="20"/>
          <w:szCs w:val="20"/>
        </w:rPr>
        <w:t xml:space="preserve"> Washington, DC: US Department </w:t>
      </w:r>
    </w:p>
    <w:p w14:paraId="0B22E441" w14:textId="7E26E710" w:rsidR="00C66C99" w:rsidRDefault="00C66C99" w:rsidP="006E3CBF">
      <w:pPr>
        <w:autoSpaceDE w:val="0"/>
        <w:autoSpaceDN w:val="0"/>
        <w:adjustRightInd w:val="0"/>
        <w:ind w:firstLine="720"/>
        <w:rPr>
          <w:sz w:val="20"/>
          <w:szCs w:val="20"/>
        </w:rPr>
      </w:pPr>
      <w:r w:rsidRPr="004808A4">
        <w:rPr>
          <w:sz w:val="20"/>
          <w:szCs w:val="20"/>
        </w:rPr>
        <w:t>of Education. (ERIC no. ED480869).</w:t>
      </w:r>
    </w:p>
    <w:p w14:paraId="549B45FD" w14:textId="77777777" w:rsidR="00C66C99" w:rsidRDefault="00C66C99" w:rsidP="00C66C99">
      <w:pPr>
        <w:autoSpaceDE w:val="0"/>
        <w:autoSpaceDN w:val="0"/>
        <w:adjustRightInd w:val="0"/>
        <w:rPr>
          <w:sz w:val="20"/>
          <w:szCs w:val="20"/>
        </w:rPr>
      </w:pPr>
    </w:p>
    <w:p w14:paraId="777CED03" w14:textId="08900EF4" w:rsidR="006E3CBF" w:rsidRDefault="00C66C99" w:rsidP="00C66C99">
      <w:pPr>
        <w:rPr>
          <w:sz w:val="20"/>
          <w:szCs w:val="20"/>
        </w:rPr>
      </w:pPr>
      <w:r>
        <w:rPr>
          <w:sz w:val="20"/>
          <w:szCs w:val="20"/>
        </w:rPr>
        <w:t xml:space="preserve">Seeburg, V. &amp; Minick, T. (2012). </w:t>
      </w:r>
      <w:r w:rsidRPr="004C1736">
        <w:rPr>
          <w:sz w:val="20"/>
          <w:szCs w:val="20"/>
        </w:rPr>
        <w:t xml:space="preserve">Enhancing </w:t>
      </w:r>
      <w:r w:rsidR="002744EB">
        <w:rPr>
          <w:sz w:val="20"/>
          <w:szCs w:val="20"/>
        </w:rPr>
        <w:t>c</w:t>
      </w:r>
      <w:r w:rsidRPr="004C1736">
        <w:rPr>
          <w:sz w:val="20"/>
          <w:szCs w:val="20"/>
        </w:rPr>
        <w:t xml:space="preserve">ross-cultural </w:t>
      </w:r>
      <w:r w:rsidR="002744EB">
        <w:rPr>
          <w:sz w:val="20"/>
          <w:szCs w:val="20"/>
        </w:rPr>
        <w:t>c</w:t>
      </w:r>
      <w:r w:rsidRPr="004C1736">
        <w:rPr>
          <w:sz w:val="20"/>
          <w:szCs w:val="20"/>
        </w:rPr>
        <w:t xml:space="preserve">ompetence in </w:t>
      </w:r>
      <w:r w:rsidR="002744EB">
        <w:rPr>
          <w:sz w:val="20"/>
          <w:szCs w:val="20"/>
        </w:rPr>
        <w:t>m</w:t>
      </w:r>
      <w:r w:rsidRPr="004C1736">
        <w:rPr>
          <w:sz w:val="20"/>
          <w:szCs w:val="20"/>
        </w:rPr>
        <w:t xml:space="preserve">ulticultural </w:t>
      </w:r>
      <w:r w:rsidR="002744EB">
        <w:rPr>
          <w:sz w:val="20"/>
          <w:szCs w:val="20"/>
        </w:rPr>
        <w:t>t</w:t>
      </w:r>
      <w:r w:rsidRPr="004C1736">
        <w:rPr>
          <w:sz w:val="20"/>
          <w:szCs w:val="20"/>
        </w:rPr>
        <w:t xml:space="preserve">eacher </w:t>
      </w:r>
    </w:p>
    <w:p w14:paraId="63D8D379" w14:textId="4AC16B0B" w:rsidR="00C66C99" w:rsidRPr="007B1CE9" w:rsidRDefault="002744EB" w:rsidP="006E3CBF">
      <w:pPr>
        <w:ind w:firstLine="720"/>
        <w:rPr>
          <w:sz w:val="20"/>
          <w:szCs w:val="20"/>
        </w:rPr>
      </w:pPr>
      <w:r>
        <w:rPr>
          <w:sz w:val="20"/>
          <w:szCs w:val="20"/>
        </w:rPr>
        <w:t>e</w:t>
      </w:r>
      <w:r w:rsidR="00C66C99" w:rsidRPr="004C1736">
        <w:rPr>
          <w:sz w:val="20"/>
          <w:szCs w:val="20"/>
        </w:rPr>
        <w:t>ducation:</w:t>
      </w:r>
      <w:r>
        <w:rPr>
          <w:sz w:val="20"/>
          <w:szCs w:val="20"/>
        </w:rPr>
        <w:t xml:space="preserve"> </w:t>
      </w:r>
      <w:r w:rsidR="00C66C99" w:rsidRPr="004C1736">
        <w:rPr>
          <w:sz w:val="20"/>
          <w:szCs w:val="20"/>
        </w:rPr>
        <w:t xml:space="preserve">Transformation in </w:t>
      </w:r>
      <w:r>
        <w:rPr>
          <w:sz w:val="20"/>
          <w:szCs w:val="20"/>
        </w:rPr>
        <w:t>g</w:t>
      </w:r>
      <w:r w:rsidR="00C66C99" w:rsidRPr="004C1736">
        <w:rPr>
          <w:sz w:val="20"/>
          <w:szCs w:val="20"/>
        </w:rPr>
        <w:t xml:space="preserve">lobal </w:t>
      </w:r>
      <w:r>
        <w:rPr>
          <w:sz w:val="20"/>
          <w:szCs w:val="20"/>
        </w:rPr>
        <w:t>l</w:t>
      </w:r>
      <w:r w:rsidR="00C66C99" w:rsidRPr="004C1736">
        <w:rPr>
          <w:sz w:val="20"/>
          <w:szCs w:val="20"/>
        </w:rPr>
        <w:t>earning</w:t>
      </w:r>
      <w:r w:rsidR="00C66C99">
        <w:rPr>
          <w:sz w:val="20"/>
          <w:szCs w:val="20"/>
        </w:rPr>
        <w:t xml:space="preserve">. </w:t>
      </w:r>
      <w:r w:rsidR="00C66C99" w:rsidRPr="004C1736">
        <w:rPr>
          <w:i/>
          <w:iCs/>
          <w:sz w:val="20"/>
          <w:szCs w:val="20"/>
        </w:rPr>
        <w:t>International Journal of Multicultural Education</w:t>
      </w:r>
      <w:r w:rsidR="00C66C99">
        <w:rPr>
          <w:sz w:val="20"/>
          <w:szCs w:val="20"/>
        </w:rPr>
        <w:t>. 14</w:t>
      </w:r>
      <w:r>
        <w:rPr>
          <w:sz w:val="20"/>
          <w:szCs w:val="20"/>
        </w:rPr>
        <w:t>(</w:t>
      </w:r>
      <w:r w:rsidR="00C66C99">
        <w:rPr>
          <w:sz w:val="20"/>
          <w:szCs w:val="20"/>
        </w:rPr>
        <w:t>3</w:t>
      </w:r>
      <w:r>
        <w:rPr>
          <w:sz w:val="20"/>
          <w:szCs w:val="20"/>
        </w:rPr>
        <w:t>)</w:t>
      </w:r>
      <w:r w:rsidR="00C66C99">
        <w:rPr>
          <w:sz w:val="20"/>
          <w:szCs w:val="20"/>
        </w:rPr>
        <w:t>.</w:t>
      </w:r>
    </w:p>
    <w:p w14:paraId="1035BDA0" w14:textId="355A3850" w:rsidR="00C66C99" w:rsidRDefault="00C66C99" w:rsidP="00C66C99"/>
    <w:p w14:paraId="582ACD34" w14:textId="77777777" w:rsidR="004F3BEF" w:rsidRDefault="004F3BEF" w:rsidP="004F3BEF">
      <w:pPr>
        <w:rPr>
          <w:sz w:val="20"/>
          <w:szCs w:val="20"/>
        </w:rPr>
      </w:pPr>
      <w:r w:rsidRPr="00C874EC">
        <w:rPr>
          <w:sz w:val="20"/>
          <w:szCs w:val="20"/>
        </w:rPr>
        <w:t>Sleeter, C.</w:t>
      </w:r>
      <w:r>
        <w:rPr>
          <w:sz w:val="20"/>
          <w:szCs w:val="20"/>
        </w:rPr>
        <w:t xml:space="preserve"> </w:t>
      </w:r>
      <w:r w:rsidRPr="00C874EC">
        <w:rPr>
          <w:sz w:val="20"/>
          <w:szCs w:val="20"/>
        </w:rPr>
        <w:t>E. (2000). Epistemological diversity in research on preservice teacher preparation</w:t>
      </w:r>
      <w:r>
        <w:rPr>
          <w:sz w:val="20"/>
          <w:szCs w:val="20"/>
        </w:rPr>
        <w:t xml:space="preserve"> </w:t>
      </w:r>
      <w:r w:rsidRPr="00C874EC">
        <w:rPr>
          <w:sz w:val="20"/>
          <w:szCs w:val="20"/>
        </w:rPr>
        <w:t>for historically</w:t>
      </w:r>
    </w:p>
    <w:p w14:paraId="612F20E4" w14:textId="1E22C2BF" w:rsidR="004F3BEF" w:rsidRPr="00C874EC" w:rsidRDefault="004F3BEF" w:rsidP="00C874EC">
      <w:pPr>
        <w:ind w:firstLine="720"/>
        <w:rPr>
          <w:sz w:val="20"/>
          <w:szCs w:val="20"/>
        </w:rPr>
      </w:pPr>
      <w:r w:rsidRPr="00C874EC">
        <w:rPr>
          <w:sz w:val="20"/>
          <w:szCs w:val="20"/>
        </w:rPr>
        <w:t xml:space="preserve">underserved children. </w:t>
      </w:r>
      <w:r w:rsidRPr="002744EB">
        <w:rPr>
          <w:i/>
          <w:iCs/>
          <w:sz w:val="20"/>
          <w:szCs w:val="20"/>
        </w:rPr>
        <w:t>Review of Research in Education</w:t>
      </w:r>
      <w:r w:rsidRPr="00C874EC">
        <w:rPr>
          <w:sz w:val="20"/>
          <w:szCs w:val="20"/>
        </w:rPr>
        <w:t>,</w:t>
      </w:r>
      <w:r>
        <w:rPr>
          <w:sz w:val="20"/>
          <w:szCs w:val="20"/>
        </w:rPr>
        <w:t xml:space="preserve"> </w:t>
      </w:r>
      <w:r w:rsidRPr="00C874EC">
        <w:rPr>
          <w:sz w:val="20"/>
          <w:szCs w:val="20"/>
        </w:rPr>
        <w:t>25, 209-250.</w:t>
      </w:r>
    </w:p>
    <w:p w14:paraId="70DD09FC" w14:textId="77777777" w:rsidR="004F3BEF" w:rsidRDefault="004F3BEF" w:rsidP="00C66C99"/>
    <w:p w14:paraId="4A58CACF" w14:textId="77777777" w:rsidR="006E3CBF" w:rsidRDefault="00C66C99" w:rsidP="00C66C99">
      <w:pPr>
        <w:autoSpaceDE w:val="0"/>
        <w:autoSpaceDN w:val="0"/>
        <w:adjustRightInd w:val="0"/>
        <w:rPr>
          <w:i/>
          <w:iCs/>
          <w:sz w:val="20"/>
          <w:szCs w:val="20"/>
        </w:rPr>
      </w:pPr>
      <w:r w:rsidRPr="004808A4">
        <w:rPr>
          <w:sz w:val="20"/>
          <w:szCs w:val="20"/>
        </w:rPr>
        <w:t xml:space="preserve">Sutton, M. (1998). </w:t>
      </w:r>
      <w:r w:rsidRPr="004C1736">
        <w:rPr>
          <w:sz w:val="20"/>
          <w:szCs w:val="20"/>
        </w:rPr>
        <w:t>Global education and national interest: The last fifty years</w:t>
      </w:r>
      <w:r w:rsidRPr="004808A4">
        <w:rPr>
          <w:sz w:val="20"/>
          <w:szCs w:val="20"/>
        </w:rPr>
        <w:t xml:space="preserve">. </w:t>
      </w:r>
      <w:r w:rsidRPr="004C1736">
        <w:rPr>
          <w:i/>
          <w:iCs/>
          <w:sz w:val="20"/>
          <w:szCs w:val="20"/>
        </w:rPr>
        <w:t xml:space="preserve">International Journal of Social </w:t>
      </w:r>
    </w:p>
    <w:p w14:paraId="78B84F7B" w14:textId="6AE1B57F" w:rsidR="00C66C99" w:rsidRDefault="00C66C99" w:rsidP="006E3CBF">
      <w:pPr>
        <w:autoSpaceDE w:val="0"/>
        <w:autoSpaceDN w:val="0"/>
        <w:adjustRightInd w:val="0"/>
        <w:ind w:firstLine="720"/>
        <w:rPr>
          <w:sz w:val="20"/>
          <w:szCs w:val="20"/>
        </w:rPr>
      </w:pPr>
      <w:r w:rsidRPr="004C1736">
        <w:rPr>
          <w:i/>
          <w:iCs/>
          <w:sz w:val="20"/>
          <w:szCs w:val="20"/>
        </w:rPr>
        <w:t>Education</w:t>
      </w:r>
      <w:r w:rsidR="004C1736">
        <w:rPr>
          <w:i/>
          <w:iCs/>
          <w:sz w:val="20"/>
          <w:szCs w:val="20"/>
        </w:rPr>
        <w:t>,</w:t>
      </w:r>
      <w:r w:rsidRPr="00930829">
        <w:rPr>
          <w:sz w:val="20"/>
          <w:szCs w:val="20"/>
        </w:rPr>
        <w:t xml:space="preserve"> </w:t>
      </w:r>
      <w:r w:rsidRPr="004808A4">
        <w:rPr>
          <w:sz w:val="20"/>
          <w:szCs w:val="20"/>
        </w:rPr>
        <w:t>13</w:t>
      </w:r>
      <w:r w:rsidR="00930829">
        <w:rPr>
          <w:sz w:val="20"/>
          <w:szCs w:val="20"/>
        </w:rPr>
        <w:t>(2)</w:t>
      </w:r>
      <w:r w:rsidR="002744EB">
        <w:rPr>
          <w:sz w:val="20"/>
          <w:szCs w:val="20"/>
        </w:rPr>
        <w:t>,</w:t>
      </w:r>
      <w:r w:rsidR="00930829">
        <w:rPr>
          <w:sz w:val="20"/>
          <w:szCs w:val="20"/>
        </w:rPr>
        <w:t xml:space="preserve"> </w:t>
      </w:r>
      <w:r w:rsidRPr="004808A4">
        <w:rPr>
          <w:sz w:val="20"/>
          <w:szCs w:val="20"/>
        </w:rPr>
        <w:t>6-28.</w:t>
      </w:r>
    </w:p>
    <w:p w14:paraId="51CE0FE7" w14:textId="3CB564E3" w:rsidR="00C66C99" w:rsidRDefault="00C66C99" w:rsidP="00C66C99">
      <w:pPr>
        <w:autoSpaceDE w:val="0"/>
        <w:autoSpaceDN w:val="0"/>
        <w:adjustRightInd w:val="0"/>
        <w:rPr>
          <w:sz w:val="20"/>
          <w:szCs w:val="20"/>
        </w:rPr>
      </w:pPr>
    </w:p>
    <w:p w14:paraId="75E5D26B" w14:textId="77777777" w:rsidR="00A267A9" w:rsidRDefault="00432452" w:rsidP="00C66C99">
      <w:pPr>
        <w:autoSpaceDE w:val="0"/>
        <w:autoSpaceDN w:val="0"/>
        <w:adjustRightInd w:val="0"/>
        <w:rPr>
          <w:i/>
          <w:iCs/>
          <w:sz w:val="20"/>
          <w:szCs w:val="20"/>
        </w:rPr>
      </w:pPr>
      <w:r w:rsidRPr="00840754">
        <w:rPr>
          <w:sz w:val="20"/>
          <w:szCs w:val="20"/>
        </w:rPr>
        <w:t>Twombly, S. (2015</w:t>
      </w:r>
      <w:r w:rsidR="002744EB">
        <w:rPr>
          <w:sz w:val="20"/>
          <w:szCs w:val="20"/>
        </w:rPr>
        <w:t>, Fall</w:t>
      </w:r>
      <w:r w:rsidRPr="00840754">
        <w:rPr>
          <w:sz w:val="20"/>
          <w:szCs w:val="20"/>
        </w:rPr>
        <w:t xml:space="preserve">). Piropos and friendships: Gender and culture clash in Study Abroad. </w:t>
      </w:r>
      <w:r w:rsidRPr="00C874EC">
        <w:rPr>
          <w:i/>
          <w:iCs/>
          <w:sz w:val="20"/>
          <w:szCs w:val="20"/>
        </w:rPr>
        <w:t>Frontiers:</w:t>
      </w:r>
      <w:r w:rsidRPr="00C874EC">
        <w:rPr>
          <w:b/>
          <w:bCs/>
          <w:i/>
          <w:iCs/>
          <w:sz w:val="20"/>
          <w:szCs w:val="20"/>
        </w:rPr>
        <w:t xml:space="preserve"> </w:t>
      </w:r>
      <w:r w:rsidRPr="00C874EC">
        <w:rPr>
          <w:i/>
          <w:iCs/>
          <w:sz w:val="20"/>
          <w:szCs w:val="20"/>
        </w:rPr>
        <w:t xml:space="preserve">The </w:t>
      </w:r>
    </w:p>
    <w:p w14:paraId="15EC2CE9" w14:textId="6720F1B6" w:rsidR="00432452" w:rsidRPr="00840754" w:rsidRDefault="00432452" w:rsidP="00A267A9">
      <w:pPr>
        <w:autoSpaceDE w:val="0"/>
        <w:autoSpaceDN w:val="0"/>
        <w:adjustRightInd w:val="0"/>
        <w:ind w:firstLine="720"/>
        <w:rPr>
          <w:sz w:val="20"/>
          <w:szCs w:val="20"/>
        </w:rPr>
      </w:pPr>
      <w:r w:rsidRPr="00C874EC">
        <w:rPr>
          <w:i/>
          <w:iCs/>
          <w:sz w:val="20"/>
          <w:szCs w:val="20"/>
        </w:rPr>
        <w:t>Interdisciplinary Journal of Study Abroad</w:t>
      </w:r>
      <w:r w:rsidR="002744EB">
        <w:rPr>
          <w:sz w:val="20"/>
          <w:szCs w:val="20"/>
        </w:rPr>
        <w:t xml:space="preserve">, </w:t>
      </w:r>
      <w:r w:rsidRPr="00C874EC">
        <w:rPr>
          <w:sz w:val="20"/>
          <w:szCs w:val="20"/>
        </w:rPr>
        <w:t>I</w:t>
      </w:r>
      <w:r w:rsidR="002744EB">
        <w:rPr>
          <w:sz w:val="20"/>
          <w:szCs w:val="20"/>
        </w:rPr>
        <w:t>.</w:t>
      </w:r>
    </w:p>
    <w:p w14:paraId="60446F87" w14:textId="77777777" w:rsidR="006E3CBF" w:rsidRDefault="006E3CBF" w:rsidP="006E3CBF">
      <w:pPr>
        <w:pStyle w:val="NoSpacing"/>
        <w:rPr>
          <w:sz w:val="20"/>
          <w:szCs w:val="20"/>
        </w:rPr>
      </w:pPr>
    </w:p>
    <w:p w14:paraId="1D9DE914" w14:textId="4A48A73B" w:rsidR="006E3CBF" w:rsidRPr="006E3CBF" w:rsidRDefault="00C66C99" w:rsidP="006E3CBF">
      <w:pPr>
        <w:pStyle w:val="NoSpacing"/>
        <w:rPr>
          <w:sz w:val="20"/>
          <w:szCs w:val="20"/>
        </w:rPr>
      </w:pPr>
      <w:r w:rsidRPr="006E3CBF">
        <w:rPr>
          <w:sz w:val="20"/>
          <w:szCs w:val="20"/>
        </w:rPr>
        <w:t xml:space="preserve">United States Senate, 109th Congress, 1st Session (2005) S. Res. 308 Designating 2006 as the ‘Year of Study </w:t>
      </w:r>
    </w:p>
    <w:p w14:paraId="6944F23F" w14:textId="3DA2034C" w:rsidR="00C66C99" w:rsidRDefault="00C66C99" w:rsidP="006E3CBF">
      <w:pPr>
        <w:pStyle w:val="NoSpacing"/>
        <w:ind w:firstLine="720"/>
        <w:rPr>
          <w:sz w:val="20"/>
          <w:szCs w:val="20"/>
        </w:rPr>
      </w:pPr>
      <w:r w:rsidRPr="006E3CBF">
        <w:rPr>
          <w:sz w:val="20"/>
          <w:szCs w:val="20"/>
        </w:rPr>
        <w:t>Abroad.’ Washington, DC: U.S. Government Printing Office.</w:t>
      </w:r>
    </w:p>
    <w:p w14:paraId="0B655A5F" w14:textId="77777777" w:rsidR="006E3CBF" w:rsidRPr="006E3CBF" w:rsidRDefault="006E3CBF" w:rsidP="006E3CBF">
      <w:pPr>
        <w:pStyle w:val="NoSpacing"/>
        <w:ind w:firstLine="720"/>
        <w:rPr>
          <w:sz w:val="20"/>
          <w:szCs w:val="20"/>
        </w:rPr>
      </w:pPr>
    </w:p>
    <w:p w14:paraId="5C124C91" w14:textId="77777777" w:rsidR="002744EB" w:rsidRDefault="00ED6C27" w:rsidP="002744EB">
      <w:pPr>
        <w:pStyle w:val="NoSpacing"/>
        <w:rPr>
          <w:sz w:val="20"/>
          <w:szCs w:val="20"/>
        </w:rPr>
      </w:pPr>
      <w:r w:rsidRPr="00840754">
        <w:rPr>
          <w:sz w:val="20"/>
          <w:szCs w:val="20"/>
        </w:rPr>
        <w:t xml:space="preserve">Whatley, M., Landon, A. C., Tarrant, M. A., &amp; Rubin, D. (2020). Program </w:t>
      </w:r>
      <w:r w:rsidR="002744EB">
        <w:rPr>
          <w:sz w:val="20"/>
          <w:szCs w:val="20"/>
        </w:rPr>
        <w:t>d</w:t>
      </w:r>
      <w:r w:rsidRPr="00840754">
        <w:rPr>
          <w:sz w:val="20"/>
          <w:szCs w:val="20"/>
        </w:rPr>
        <w:t>esign and th</w:t>
      </w:r>
      <w:r w:rsidRPr="00C874EC">
        <w:rPr>
          <w:sz w:val="20"/>
          <w:szCs w:val="20"/>
        </w:rPr>
        <w:t xml:space="preserve">e </w:t>
      </w:r>
      <w:r w:rsidR="002744EB">
        <w:rPr>
          <w:sz w:val="20"/>
          <w:szCs w:val="20"/>
        </w:rPr>
        <w:t>d</w:t>
      </w:r>
      <w:r w:rsidRPr="00840754">
        <w:rPr>
          <w:sz w:val="20"/>
          <w:szCs w:val="20"/>
        </w:rPr>
        <w:t xml:space="preserve">evelopment of </w:t>
      </w:r>
      <w:r w:rsidR="002744EB">
        <w:rPr>
          <w:sz w:val="20"/>
          <w:szCs w:val="20"/>
        </w:rPr>
        <w:t>s</w:t>
      </w:r>
      <w:r w:rsidRPr="00840754">
        <w:rPr>
          <w:sz w:val="20"/>
          <w:szCs w:val="20"/>
        </w:rPr>
        <w:t xml:space="preserve">tudents’ </w:t>
      </w:r>
    </w:p>
    <w:p w14:paraId="71E6FC52" w14:textId="47FED3C3" w:rsidR="00ED6C27" w:rsidRPr="00C874EC" w:rsidRDefault="002744EB" w:rsidP="002744EB">
      <w:pPr>
        <w:pStyle w:val="NoSpacing"/>
        <w:ind w:left="720"/>
        <w:rPr>
          <w:sz w:val="20"/>
          <w:szCs w:val="20"/>
        </w:rPr>
      </w:pPr>
      <w:r>
        <w:rPr>
          <w:sz w:val="20"/>
          <w:szCs w:val="20"/>
        </w:rPr>
        <w:t>g</w:t>
      </w:r>
      <w:r w:rsidR="00ED6C27" w:rsidRPr="00840754">
        <w:rPr>
          <w:sz w:val="20"/>
          <w:szCs w:val="20"/>
        </w:rPr>
        <w:t xml:space="preserve">lobal </w:t>
      </w:r>
      <w:r>
        <w:rPr>
          <w:sz w:val="20"/>
          <w:szCs w:val="20"/>
        </w:rPr>
        <w:t>p</w:t>
      </w:r>
      <w:r w:rsidR="00ED6C27" w:rsidRPr="00840754">
        <w:rPr>
          <w:sz w:val="20"/>
          <w:szCs w:val="20"/>
        </w:rPr>
        <w:t xml:space="preserve">erspectives in </w:t>
      </w:r>
      <w:r>
        <w:rPr>
          <w:sz w:val="20"/>
          <w:szCs w:val="20"/>
        </w:rPr>
        <w:t>f</w:t>
      </w:r>
      <w:r w:rsidR="00ED6C27" w:rsidRPr="00840754">
        <w:rPr>
          <w:sz w:val="20"/>
          <w:szCs w:val="20"/>
        </w:rPr>
        <w:t>aculty-</w:t>
      </w:r>
      <w:r>
        <w:rPr>
          <w:sz w:val="20"/>
          <w:szCs w:val="20"/>
        </w:rPr>
        <w:t>l</w:t>
      </w:r>
      <w:r w:rsidR="00ED6C27" w:rsidRPr="00840754">
        <w:rPr>
          <w:sz w:val="20"/>
          <w:szCs w:val="20"/>
        </w:rPr>
        <w:t xml:space="preserve">ed </w:t>
      </w:r>
      <w:r>
        <w:rPr>
          <w:sz w:val="20"/>
          <w:szCs w:val="20"/>
        </w:rPr>
        <w:t>s</w:t>
      </w:r>
      <w:r w:rsidR="00ED6C27" w:rsidRPr="00840754">
        <w:rPr>
          <w:sz w:val="20"/>
          <w:szCs w:val="20"/>
        </w:rPr>
        <w:t>hort-</w:t>
      </w:r>
      <w:r>
        <w:rPr>
          <w:sz w:val="20"/>
          <w:szCs w:val="20"/>
        </w:rPr>
        <w:t>t</w:t>
      </w:r>
      <w:r w:rsidR="00ED6C27" w:rsidRPr="00840754">
        <w:rPr>
          <w:sz w:val="20"/>
          <w:szCs w:val="20"/>
        </w:rPr>
        <w:t xml:space="preserve">erm </w:t>
      </w:r>
      <w:r>
        <w:rPr>
          <w:sz w:val="20"/>
          <w:szCs w:val="20"/>
        </w:rPr>
        <w:t>s</w:t>
      </w:r>
      <w:r w:rsidR="00ED6C27" w:rsidRPr="00840754">
        <w:rPr>
          <w:sz w:val="20"/>
          <w:szCs w:val="20"/>
        </w:rPr>
        <w:t xml:space="preserve">tudy </w:t>
      </w:r>
      <w:r>
        <w:rPr>
          <w:sz w:val="20"/>
          <w:szCs w:val="20"/>
        </w:rPr>
        <w:t>a</w:t>
      </w:r>
      <w:r w:rsidR="00ED6C27" w:rsidRPr="00840754">
        <w:rPr>
          <w:sz w:val="20"/>
          <w:szCs w:val="20"/>
        </w:rPr>
        <w:t xml:space="preserve">broad. </w:t>
      </w:r>
      <w:r w:rsidR="00ED6C27" w:rsidRPr="00840754">
        <w:rPr>
          <w:i/>
          <w:iCs/>
          <w:sz w:val="20"/>
          <w:szCs w:val="20"/>
        </w:rPr>
        <w:t>Journal of Studies in International Education</w:t>
      </w:r>
      <w:r w:rsidR="00ED6C27" w:rsidRPr="00C874EC">
        <w:rPr>
          <w:sz w:val="20"/>
          <w:szCs w:val="20"/>
        </w:rPr>
        <w:t>. https://doi.org/</w:t>
      </w:r>
      <w:hyperlink r:id="rId19" w:history="1">
        <w:r w:rsidR="00ED6C27" w:rsidRPr="00C874EC">
          <w:rPr>
            <w:rStyle w:val="Hyperlink"/>
            <w:b/>
            <w:sz w:val="20"/>
            <w:szCs w:val="20"/>
          </w:rPr>
          <w:t>10.1177/1028315320906156</w:t>
        </w:r>
      </w:hyperlink>
    </w:p>
    <w:p w14:paraId="1913007F" w14:textId="3B2FBB45" w:rsidR="004E4500" w:rsidRPr="00C874EC" w:rsidRDefault="004E4500" w:rsidP="00930829">
      <w:pPr>
        <w:pStyle w:val="Heading3"/>
        <w:rPr>
          <w:b w:val="0"/>
          <w:bCs w:val="0"/>
          <w:sz w:val="20"/>
          <w:szCs w:val="20"/>
        </w:rPr>
      </w:pPr>
    </w:p>
    <w:p w14:paraId="31301DBC" w14:textId="1DF17CB5" w:rsidR="004C1736" w:rsidRDefault="004C1736" w:rsidP="00930829">
      <w:pPr>
        <w:pStyle w:val="Heading3"/>
        <w:rPr>
          <w:b w:val="0"/>
          <w:bCs w:val="0"/>
          <w:sz w:val="20"/>
          <w:szCs w:val="20"/>
        </w:rPr>
      </w:pPr>
    </w:p>
    <w:p w14:paraId="5449E333" w14:textId="319E0541" w:rsidR="004C1736" w:rsidRDefault="004C1736" w:rsidP="00930829">
      <w:pPr>
        <w:pStyle w:val="Heading3"/>
        <w:rPr>
          <w:b w:val="0"/>
          <w:bCs w:val="0"/>
          <w:sz w:val="20"/>
          <w:szCs w:val="20"/>
        </w:rPr>
      </w:pPr>
    </w:p>
    <w:p w14:paraId="163C4D68" w14:textId="22724A80" w:rsidR="004C1736" w:rsidRDefault="004C1736" w:rsidP="00930829">
      <w:pPr>
        <w:pStyle w:val="Heading3"/>
        <w:rPr>
          <w:b w:val="0"/>
          <w:bCs w:val="0"/>
          <w:sz w:val="20"/>
          <w:szCs w:val="20"/>
        </w:rPr>
      </w:pPr>
    </w:p>
    <w:p w14:paraId="15A0E16D" w14:textId="18E60FB4" w:rsidR="004C1736" w:rsidRDefault="004C1736" w:rsidP="00930829">
      <w:pPr>
        <w:pStyle w:val="Heading3"/>
        <w:rPr>
          <w:b w:val="0"/>
          <w:bCs w:val="0"/>
          <w:sz w:val="20"/>
          <w:szCs w:val="20"/>
        </w:rPr>
      </w:pPr>
    </w:p>
    <w:p w14:paraId="4CF52E2D" w14:textId="74F9609E" w:rsidR="004C1736" w:rsidRDefault="004C1736" w:rsidP="00930829">
      <w:pPr>
        <w:pStyle w:val="Heading3"/>
        <w:rPr>
          <w:b w:val="0"/>
          <w:bCs w:val="0"/>
          <w:sz w:val="20"/>
          <w:szCs w:val="20"/>
        </w:rPr>
      </w:pPr>
    </w:p>
    <w:p w14:paraId="1DFC794C" w14:textId="728250A2" w:rsidR="004C1736" w:rsidRDefault="004C1736" w:rsidP="00930829">
      <w:pPr>
        <w:pStyle w:val="Heading3"/>
        <w:rPr>
          <w:b w:val="0"/>
          <w:bCs w:val="0"/>
          <w:sz w:val="20"/>
          <w:szCs w:val="20"/>
        </w:rPr>
      </w:pPr>
    </w:p>
    <w:p w14:paraId="0C5C5974" w14:textId="4DE081B2" w:rsidR="00520ED3" w:rsidRDefault="00520ED3" w:rsidP="00930829">
      <w:pPr>
        <w:pStyle w:val="Heading3"/>
        <w:rPr>
          <w:b w:val="0"/>
          <w:bCs w:val="0"/>
          <w:sz w:val="20"/>
          <w:szCs w:val="20"/>
        </w:rPr>
      </w:pPr>
    </w:p>
    <w:p w14:paraId="38DC593D" w14:textId="160EABD2" w:rsidR="00520ED3" w:rsidRDefault="00520ED3" w:rsidP="00930829">
      <w:pPr>
        <w:pStyle w:val="Heading3"/>
        <w:rPr>
          <w:b w:val="0"/>
          <w:bCs w:val="0"/>
          <w:sz w:val="20"/>
          <w:szCs w:val="20"/>
        </w:rPr>
      </w:pPr>
    </w:p>
    <w:p w14:paraId="4BE251CF" w14:textId="446946B8" w:rsidR="002744EB" w:rsidRDefault="002744EB" w:rsidP="00930829">
      <w:pPr>
        <w:pStyle w:val="Heading3"/>
        <w:rPr>
          <w:b w:val="0"/>
          <w:bCs w:val="0"/>
          <w:sz w:val="20"/>
          <w:szCs w:val="20"/>
        </w:rPr>
      </w:pPr>
    </w:p>
    <w:p w14:paraId="15CAD67D" w14:textId="2193447E" w:rsidR="002744EB" w:rsidRDefault="002744EB" w:rsidP="00930829">
      <w:pPr>
        <w:pStyle w:val="Heading3"/>
        <w:rPr>
          <w:b w:val="0"/>
          <w:bCs w:val="0"/>
          <w:sz w:val="20"/>
          <w:szCs w:val="20"/>
        </w:rPr>
      </w:pPr>
    </w:p>
    <w:p w14:paraId="29B74967" w14:textId="7787ADA9" w:rsidR="002744EB" w:rsidRDefault="002744EB" w:rsidP="00930829">
      <w:pPr>
        <w:pStyle w:val="Heading3"/>
        <w:rPr>
          <w:b w:val="0"/>
          <w:bCs w:val="0"/>
          <w:sz w:val="20"/>
          <w:szCs w:val="20"/>
        </w:rPr>
      </w:pPr>
    </w:p>
    <w:p w14:paraId="2B1E23E8" w14:textId="77777777" w:rsidR="002744EB" w:rsidRDefault="002744EB" w:rsidP="00930829">
      <w:pPr>
        <w:pStyle w:val="Heading3"/>
        <w:rPr>
          <w:b w:val="0"/>
          <w:bCs w:val="0"/>
          <w:sz w:val="20"/>
          <w:szCs w:val="20"/>
        </w:rPr>
      </w:pPr>
    </w:p>
    <w:p w14:paraId="4106546B" w14:textId="2AE168CF" w:rsidR="004C1736" w:rsidRDefault="004C1736" w:rsidP="00930829">
      <w:pPr>
        <w:pStyle w:val="Heading3"/>
        <w:rPr>
          <w:b w:val="0"/>
          <w:bCs w:val="0"/>
          <w:sz w:val="20"/>
          <w:szCs w:val="20"/>
        </w:rPr>
      </w:pPr>
    </w:p>
    <w:p w14:paraId="247EA22B" w14:textId="292024B6" w:rsidR="004C1736" w:rsidRDefault="004C1736" w:rsidP="00930829">
      <w:pPr>
        <w:pStyle w:val="Heading3"/>
        <w:rPr>
          <w:b w:val="0"/>
          <w:bCs w:val="0"/>
          <w:sz w:val="20"/>
          <w:szCs w:val="20"/>
        </w:rPr>
      </w:pPr>
    </w:p>
    <w:p w14:paraId="215C4901" w14:textId="27AB70C2" w:rsidR="004C1736" w:rsidRPr="004C1736" w:rsidRDefault="00214AF6" w:rsidP="00930829">
      <w:pPr>
        <w:pStyle w:val="Heading3"/>
        <w:rPr>
          <w:sz w:val="24"/>
          <w:szCs w:val="24"/>
        </w:rPr>
      </w:pPr>
      <w:r>
        <w:rPr>
          <w:sz w:val="24"/>
          <w:szCs w:val="24"/>
        </w:rPr>
        <w:lastRenderedPageBreak/>
        <w:t>Appendix A</w:t>
      </w:r>
      <w:r w:rsidR="004C1736" w:rsidRPr="004C1736">
        <w:rPr>
          <w:sz w:val="24"/>
          <w:szCs w:val="24"/>
        </w:rPr>
        <w:t>: Initial Item Pool of Global Citizenship Scale</w:t>
      </w:r>
      <w:r w:rsidR="006217CE">
        <w:rPr>
          <w:sz w:val="24"/>
          <w:szCs w:val="24"/>
        </w:rPr>
        <w:t xml:space="preserve"> (portion only)</w:t>
      </w:r>
    </w:p>
    <w:p w14:paraId="4B6B4F2D" w14:textId="6EC94DCE" w:rsidR="00AE2A19" w:rsidRDefault="004C1736" w:rsidP="004C1736">
      <w:pPr>
        <w:pStyle w:val="Heading3"/>
      </w:pPr>
      <w:r>
        <w:rPr>
          <w:noProof/>
        </w:rPr>
        <w:drawing>
          <wp:inline distT="0" distB="0" distL="0" distR="0" wp14:anchorId="72C3D150" wp14:editId="0EC0D3BA">
            <wp:extent cx="3597275" cy="7184571"/>
            <wp:effectExtent l="0" t="0" r="0" b="3810"/>
            <wp:docPr id="6" name="Picture 6" descr="A close up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0-07-13 at 5.31.06 PM.png"/>
                    <pic:cNvPicPr/>
                  </pic:nvPicPr>
                  <pic:blipFill>
                    <a:blip r:embed="rId20">
                      <a:extLst>
                        <a:ext uri="{28A0092B-C50C-407E-A947-70E740481C1C}">
                          <a14:useLocalDpi xmlns:a14="http://schemas.microsoft.com/office/drawing/2010/main" val="0"/>
                        </a:ext>
                      </a:extLst>
                    </a:blip>
                    <a:stretch>
                      <a:fillRect/>
                    </a:stretch>
                  </pic:blipFill>
                  <pic:spPr>
                    <a:xfrm>
                      <a:off x="0" y="0"/>
                      <a:ext cx="3605774" cy="7201545"/>
                    </a:xfrm>
                    <a:prstGeom prst="rect">
                      <a:avLst/>
                    </a:prstGeom>
                  </pic:spPr>
                </pic:pic>
              </a:graphicData>
            </a:graphic>
          </wp:inline>
        </w:drawing>
      </w:r>
    </w:p>
    <w:p w14:paraId="40D14A3F" w14:textId="3BBADD95" w:rsidR="004C1736" w:rsidRDefault="004C1736" w:rsidP="004C1736">
      <w:pPr>
        <w:pStyle w:val="Heading3"/>
      </w:pPr>
      <w:r>
        <w:t xml:space="preserve"> </w:t>
      </w:r>
      <w:r>
        <w:rPr>
          <w:noProof/>
        </w:rPr>
        <w:drawing>
          <wp:inline distT="0" distB="0" distL="0" distR="0" wp14:anchorId="35C41804" wp14:editId="7E4007AB">
            <wp:extent cx="3859481" cy="366568"/>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07-13 at 5.34.16 PM.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17184" cy="372049"/>
                    </a:xfrm>
                    <a:prstGeom prst="rect">
                      <a:avLst/>
                    </a:prstGeom>
                  </pic:spPr>
                </pic:pic>
              </a:graphicData>
            </a:graphic>
          </wp:inline>
        </w:drawing>
      </w:r>
    </w:p>
    <w:p w14:paraId="0AD37FD0" w14:textId="2BEFF25D" w:rsidR="00AE2A19" w:rsidRDefault="00AE2A19" w:rsidP="004C1736">
      <w:pPr>
        <w:pStyle w:val="Heading3"/>
      </w:pPr>
    </w:p>
    <w:p w14:paraId="771C7C82" w14:textId="5C12B84F" w:rsidR="00AE2A19" w:rsidRDefault="00AE2A19" w:rsidP="004C1736">
      <w:pPr>
        <w:pStyle w:val="Heading3"/>
      </w:pPr>
      <w:r>
        <w:t xml:space="preserve">Appendix </w:t>
      </w:r>
      <w:r w:rsidR="006217CE">
        <w:t>B</w:t>
      </w:r>
      <w:r w:rsidR="00DC410A">
        <w:t xml:space="preserve">: </w:t>
      </w:r>
    </w:p>
    <w:p w14:paraId="34E487F8" w14:textId="43C40EE4" w:rsidR="00AE2A19" w:rsidRDefault="00DC410A" w:rsidP="004C1736">
      <w:pPr>
        <w:pStyle w:val="Heading3"/>
      </w:pPr>
      <w:r>
        <w:t>Content Survey</w:t>
      </w:r>
    </w:p>
    <w:tbl>
      <w:tblPr>
        <w:tblW w:w="10580" w:type="dxa"/>
        <w:tblLook w:val="04A0" w:firstRow="1" w:lastRow="0" w:firstColumn="1" w:lastColumn="0" w:noHBand="0" w:noVBand="1"/>
      </w:tblPr>
      <w:tblGrid>
        <w:gridCol w:w="4511"/>
        <w:gridCol w:w="3649"/>
        <w:gridCol w:w="2420"/>
      </w:tblGrid>
      <w:tr w:rsidR="00F65938" w14:paraId="51F47D5B" w14:textId="77777777" w:rsidTr="00F65938">
        <w:trPr>
          <w:trHeight w:val="460"/>
        </w:trPr>
        <w:tc>
          <w:tcPr>
            <w:tcW w:w="8160" w:type="dxa"/>
            <w:gridSpan w:val="2"/>
            <w:tcBorders>
              <w:top w:val="nil"/>
              <w:left w:val="nil"/>
              <w:bottom w:val="nil"/>
              <w:right w:val="nil"/>
            </w:tcBorders>
            <w:shd w:val="clear" w:color="auto" w:fill="auto"/>
            <w:noWrap/>
            <w:vAlign w:val="bottom"/>
            <w:hideMark/>
          </w:tcPr>
          <w:p w14:paraId="7BB9CA99" w14:textId="77777777" w:rsidR="00F65938" w:rsidRDefault="00F65938">
            <w:pPr>
              <w:rPr>
                <w:rFonts w:ascii="Calibri" w:hAnsi="Calibri" w:cs="Calibri"/>
                <w:b/>
                <w:bCs/>
                <w:color w:val="000000"/>
              </w:rPr>
            </w:pPr>
            <w:r>
              <w:rPr>
                <w:rFonts w:ascii="Calibri" w:hAnsi="Calibri" w:cs="Calibri"/>
                <w:b/>
                <w:bCs/>
                <w:color w:val="000000"/>
              </w:rPr>
              <w:t xml:space="preserve">Study Abroad Program Characteristics Survey (Topics </w:t>
            </w:r>
            <w:proofErr w:type="gramStart"/>
            <w:r>
              <w:rPr>
                <w:rFonts w:ascii="Calibri" w:hAnsi="Calibri" w:cs="Calibri"/>
                <w:b/>
                <w:bCs/>
                <w:color w:val="000000"/>
              </w:rPr>
              <w:t>Only)*</w:t>
            </w:r>
            <w:proofErr w:type="gramEnd"/>
          </w:p>
        </w:tc>
        <w:tc>
          <w:tcPr>
            <w:tcW w:w="2420" w:type="dxa"/>
            <w:tcBorders>
              <w:top w:val="nil"/>
              <w:left w:val="nil"/>
              <w:bottom w:val="nil"/>
              <w:right w:val="nil"/>
            </w:tcBorders>
            <w:shd w:val="clear" w:color="auto" w:fill="auto"/>
            <w:noWrap/>
            <w:vAlign w:val="bottom"/>
            <w:hideMark/>
          </w:tcPr>
          <w:p w14:paraId="219E5375" w14:textId="77777777" w:rsidR="00F65938" w:rsidRDefault="00F65938">
            <w:pPr>
              <w:rPr>
                <w:rFonts w:ascii="Calibri" w:hAnsi="Calibri" w:cs="Calibri"/>
                <w:b/>
                <w:bCs/>
                <w:color w:val="000000"/>
              </w:rPr>
            </w:pPr>
          </w:p>
        </w:tc>
      </w:tr>
      <w:tr w:rsidR="00F65938" w14:paraId="5EB43C80" w14:textId="77777777" w:rsidTr="00F65938">
        <w:trPr>
          <w:trHeight w:val="320"/>
        </w:trPr>
        <w:tc>
          <w:tcPr>
            <w:tcW w:w="4511" w:type="dxa"/>
            <w:tcBorders>
              <w:top w:val="nil"/>
              <w:left w:val="nil"/>
              <w:bottom w:val="nil"/>
              <w:right w:val="nil"/>
            </w:tcBorders>
            <w:shd w:val="clear" w:color="auto" w:fill="auto"/>
            <w:noWrap/>
            <w:vAlign w:val="bottom"/>
            <w:hideMark/>
          </w:tcPr>
          <w:p w14:paraId="2B79DB56" w14:textId="77777777" w:rsidR="00F65938" w:rsidRDefault="00F65938">
            <w:pPr>
              <w:rPr>
                <w:sz w:val="20"/>
                <w:szCs w:val="20"/>
              </w:rPr>
            </w:pPr>
          </w:p>
        </w:tc>
        <w:tc>
          <w:tcPr>
            <w:tcW w:w="3649" w:type="dxa"/>
            <w:tcBorders>
              <w:top w:val="nil"/>
              <w:left w:val="nil"/>
              <w:bottom w:val="nil"/>
              <w:right w:val="nil"/>
            </w:tcBorders>
            <w:shd w:val="clear" w:color="auto" w:fill="auto"/>
            <w:noWrap/>
            <w:vAlign w:val="bottom"/>
            <w:hideMark/>
          </w:tcPr>
          <w:p w14:paraId="7CE02C75" w14:textId="77777777" w:rsidR="00F65938" w:rsidRDefault="00F65938">
            <w:pPr>
              <w:rPr>
                <w:sz w:val="20"/>
                <w:szCs w:val="20"/>
              </w:rPr>
            </w:pPr>
          </w:p>
        </w:tc>
        <w:tc>
          <w:tcPr>
            <w:tcW w:w="2420" w:type="dxa"/>
            <w:tcBorders>
              <w:top w:val="nil"/>
              <w:left w:val="nil"/>
              <w:bottom w:val="nil"/>
              <w:right w:val="nil"/>
            </w:tcBorders>
            <w:shd w:val="clear" w:color="auto" w:fill="auto"/>
            <w:noWrap/>
            <w:vAlign w:val="bottom"/>
            <w:hideMark/>
          </w:tcPr>
          <w:p w14:paraId="3F1689E0" w14:textId="77777777" w:rsidR="00F65938" w:rsidRDefault="00F65938">
            <w:pPr>
              <w:rPr>
                <w:sz w:val="20"/>
                <w:szCs w:val="20"/>
              </w:rPr>
            </w:pPr>
          </w:p>
        </w:tc>
      </w:tr>
      <w:tr w:rsidR="00F65938" w14:paraId="7A3FC51D" w14:textId="77777777" w:rsidTr="00F65938">
        <w:trPr>
          <w:trHeight w:val="360"/>
        </w:trPr>
        <w:tc>
          <w:tcPr>
            <w:tcW w:w="4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EA71" w14:textId="77777777" w:rsidR="00F65938" w:rsidRDefault="00F65938">
            <w:pPr>
              <w:jc w:val="center"/>
              <w:rPr>
                <w:rFonts w:ascii="Calibri" w:hAnsi="Calibri" w:cs="Calibri"/>
                <w:b/>
                <w:bCs/>
                <w:color w:val="000000"/>
              </w:rPr>
            </w:pPr>
            <w:r>
              <w:rPr>
                <w:rFonts w:ascii="Calibri" w:hAnsi="Calibri" w:cs="Calibri"/>
                <w:b/>
                <w:bCs/>
                <w:color w:val="000000"/>
              </w:rPr>
              <w:t>Question</w:t>
            </w:r>
          </w:p>
        </w:tc>
        <w:tc>
          <w:tcPr>
            <w:tcW w:w="3649" w:type="dxa"/>
            <w:tcBorders>
              <w:top w:val="single" w:sz="4" w:space="0" w:color="auto"/>
              <w:left w:val="nil"/>
              <w:bottom w:val="single" w:sz="4" w:space="0" w:color="auto"/>
              <w:right w:val="single" w:sz="4" w:space="0" w:color="auto"/>
            </w:tcBorders>
            <w:shd w:val="clear" w:color="auto" w:fill="auto"/>
            <w:noWrap/>
            <w:vAlign w:val="bottom"/>
            <w:hideMark/>
          </w:tcPr>
          <w:p w14:paraId="6A0BD920" w14:textId="77777777" w:rsidR="00F65938" w:rsidRDefault="00F65938">
            <w:pPr>
              <w:jc w:val="center"/>
              <w:rPr>
                <w:rFonts w:ascii="Calibri" w:hAnsi="Calibri" w:cs="Calibri"/>
                <w:b/>
                <w:bCs/>
                <w:color w:val="000000"/>
              </w:rPr>
            </w:pPr>
            <w:r>
              <w:rPr>
                <w:rFonts w:ascii="Calibri" w:hAnsi="Calibri" w:cs="Calibri"/>
                <w:b/>
                <w:bCs/>
                <w:color w:val="000000"/>
              </w:rPr>
              <w:t>How Question is Surveyed</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639585ED" w14:textId="77777777" w:rsidR="00F65938" w:rsidRDefault="00F65938">
            <w:pPr>
              <w:rPr>
                <w:rFonts w:ascii="Calibri" w:hAnsi="Calibri" w:cs="Calibri"/>
                <w:color w:val="000000"/>
              </w:rPr>
            </w:pPr>
            <w:r>
              <w:rPr>
                <w:rFonts w:ascii="Calibri" w:hAnsi="Calibri" w:cs="Calibri"/>
                <w:color w:val="000000"/>
              </w:rPr>
              <w:t> </w:t>
            </w:r>
          </w:p>
        </w:tc>
      </w:tr>
      <w:tr w:rsidR="00F65938" w14:paraId="6A3D6982"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7B79D893" w14:textId="77777777" w:rsidR="00F65938" w:rsidRDefault="00F65938">
            <w:pPr>
              <w:rPr>
                <w:rFonts w:ascii="Calibri" w:hAnsi="Calibri" w:cs="Calibri"/>
                <w:color w:val="000000"/>
              </w:rPr>
            </w:pPr>
            <w:r>
              <w:rPr>
                <w:rFonts w:ascii="Calibri" w:hAnsi="Calibri" w:cs="Calibri"/>
                <w:color w:val="000000"/>
              </w:rPr>
              <w:t>Orientation pre-departure</w:t>
            </w:r>
          </w:p>
        </w:tc>
        <w:tc>
          <w:tcPr>
            <w:tcW w:w="3649" w:type="dxa"/>
            <w:tcBorders>
              <w:top w:val="nil"/>
              <w:left w:val="nil"/>
              <w:bottom w:val="single" w:sz="4" w:space="0" w:color="auto"/>
              <w:right w:val="single" w:sz="4" w:space="0" w:color="auto"/>
            </w:tcBorders>
            <w:shd w:val="clear" w:color="auto" w:fill="auto"/>
            <w:noWrap/>
            <w:vAlign w:val="bottom"/>
            <w:hideMark/>
          </w:tcPr>
          <w:p w14:paraId="0C76871A" w14:textId="77777777" w:rsidR="00F65938" w:rsidRDefault="00F65938">
            <w:pPr>
              <w:rPr>
                <w:rFonts w:ascii="Calibri" w:hAnsi="Calibri" w:cs="Calibri"/>
                <w:color w:val="000000"/>
              </w:rPr>
            </w:pPr>
            <w:r>
              <w:rPr>
                <w:rFonts w:ascii="Calibri" w:hAnsi="Calibri" w:cs="Calibri"/>
                <w:color w:val="000000"/>
              </w:rPr>
              <w:t>(No of days)</w:t>
            </w:r>
          </w:p>
        </w:tc>
        <w:tc>
          <w:tcPr>
            <w:tcW w:w="2420" w:type="dxa"/>
            <w:tcBorders>
              <w:top w:val="nil"/>
              <w:left w:val="nil"/>
              <w:bottom w:val="single" w:sz="4" w:space="0" w:color="auto"/>
              <w:right w:val="single" w:sz="4" w:space="0" w:color="auto"/>
            </w:tcBorders>
            <w:shd w:val="clear" w:color="auto" w:fill="auto"/>
            <w:noWrap/>
            <w:vAlign w:val="bottom"/>
            <w:hideMark/>
          </w:tcPr>
          <w:p w14:paraId="3A29A220" w14:textId="77777777" w:rsidR="00F65938" w:rsidRDefault="00F65938">
            <w:pPr>
              <w:rPr>
                <w:rFonts w:ascii="Calibri" w:hAnsi="Calibri" w:cs="Calibri"/>
                <w:color w:val="000000"/>
              </w:rPr>
            </w:pPr>
            <w:r>
              <w:rPr>
                <w:rFonts w:ascii="Calibri" w:hAnsi="Calibri" w:cs="Calibri"/>
                <w:color w:val="000000"/>
              </w:rPr>
              <w:t> </w:t>
            </w:r>
          </w:p>
        </w:tc>
      </w:tr>
      <w:tr w:rsidR="00F65938" w14:paraId="571BC0BC"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51058FCB" w14:textId="77777777" w:rsidR="00F65938" w:rsidRDefault="00F65938">
            <w:pPr>
              <w:rPr>
                <w:rFonts w:ascii="Calibri" w:hAnsi="Calibri" w:cs="Calibri"/>
                <w:color w:val="000000"/>
              </w:rPr>
            </w:pPr>
            <w:r>
              <w:rPr>
                <w:rFonts w:ascii="Calibri" w:hAnsi="Calibri" w:cs="Calibri"/>
                <w:color w:val="000000"/>
              </w:rPr>
              <w:t>Duration</w:t>
            </w:r>
          </w:p>
        </w:tc>
        <w:tc>
          <w:tcPr>
            <w:tcW w:w="3649" w:type="dxa"/>
            <w:tcBorders>
              <w:top w:val="nil"/>
              <w:left w:val="nil"/>
              <w:bottom w:val="single" w:sz="4" w:space="0" w:color="auto"/>
              <w:right w:val="single" w:sz="4" w:space="0" w:color="auto"/>
            </w:tcBorders>
            <w:shd w:val="clear" w:color="auto" w:fill="auto"/>
            <w:noWrap/>
            <w:vAlign w:val="bottom"/>
            <w:hideMark/>
          </w:tcPr>
          <w:p w14:paraId="5D6A4A57" w14:textId="77777777" w:rsidR="00F65938" w:rsidRDefault="00F65938">
            <w:pPr>
              <w:rPr>
                <w:rFonts w:ascii="Calibri" w:hAnsi="Calibri" w:cs="Calibri"/>
                <w:color w:val="000000"/>
              </w:rPr>
            </w:pPr>
            <w:r>
              <w:rPr>
                <w:rFonts w:ascii="Calibri" w:hAnsi="Calibri" w:cs="Calibri"/>
                <w:color w:val="000000"/>
              </w:rPr>
              <w:t>(No of months/weeks)</w:t>
            </w:r>
          </w:p>
        </w:tc>
        <w:tc>
          <w:tcPr>
            <w:tcW w:w="2420" w:type="dxa"/>
            <w:tcBorders>
              <w:top w:val="nil"/>
              <w:left w:val="nil"/>
              <w:bottom w:val="single" w:sz="4" w:space="0" w:color="auto"/>
              <w:right w:val="single" w:sz="4" w:space="0" w:color="auto"/>
            </w:tcBorders>
            <w:shd w:val="clear" w:color="auto" w:fill="auto"/>
            <w:noWrap/>
            <w:vAlign w:val="bottom"/>
            <w:hideMark/>
          </w:tcPr>
          <w:p w14:paraId="51B2E583" w14:textId="77777777" w:rsidR="00F65938" w:rsidRDefault="00F65938">
            <w:pPr>
              <w:rPr>
                <w:rFonts w:ascii="Calibri" w:hAnsi="Calibri" w:cs="Calibri"/>
                <w:color w:val="000000"/>
              </w:rPr>
            </w:pPr>
            <w:r>
              <w:rPr>
                <w:rFonts w:ascii="Calibri" w:hAnsi="Calibri" w:cs="Calibri"/>
                <w:color w:val="000000"/>
              </w:rPr>
              <w:t> </w:t>
            </w:r>
          </w:p>
        </w:tc>
      </w:tr>
      <w:tr w:rsidR="00F65938" w14:paraId="7950537F"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5EBDC695" w14:textId="77777777" w:rsidR="00F65938" w:rsidRDefault="00F65938">
            <w:pPr>
              <w:rPr>
                <w:rFonts w:ascii="Calibri" w:hAnsi="Calibri" w:cs="Calibri"/>
                <w:color w:val="000000"/>
              </w:rPr>
            </w:pPr>
            <w:r>
              <w:rPr>
                <w:rFonts w:ascii="Calibri" w:hAnsi="Calibri" w:cs="Calibri"/>
                <w:color w:val="000000"/>
              </w:rPr>
              <w:t>No of Students from host school</w:t>
            </w:r>
          </w:p>
        </w:tc>
        <w:tc>
          <w:tcPr>
            <w:tcW w:w="3649" w:type="dxa"/>
            <w:tcBorders>
              <w:top w:val="nil"/>
              <w:left w:val="nil"/>
              <w:bottom w:val="single" w:sz="4" w:space="0" w:color="auto"/>
              <w:right w:val="single" w:sz="4" w:space="0" w:color="auto"/>
            </w:tcBorders>
            <w:shd w:val="clear" w:color="auto" w:fill="auto"/>
            <w:noWrap/>
            <w:vAlign w:val="bottom"/>
            <w:hideMark/>
          </w:tcPr>
          <w:p w14:paraId="31783D9D" w14:textId="77777777" w:rsidR="00F65938" w:rsidRDefault="00F65938">
            <w:pPr>
              <w:rPr>
                <w:rFonts w:ascii="Calibri" w:hAnsi="Calibri" w:cs="Calibri"/>
                <w:color w:val="000000"/>
              </w:rPr>
            </w:pPr>
            <w:r>
              <w:rPr>
                <w:rFonts w:ascii="Calibri" w:hAnsi="Calibri" w:cs="Calibri"/>
                <w:color w:val="000000"/>
              </w:rPr>
              <w:t>(Number)</w:t>
            </w:r>
          </w:p>
        </w:tc>
        <w:tc>
          <w:tcPr>
            <w:tcW w:w="2420" w:type="dxa"/>
            <w:tcBorders>
              <w:top w:val="nil"/>
              <w:left w:val="nil"/>
              <w:bottom w:val="single" w:sz="4" w:space="0" w:color="auto"/>
              <w:right w:val="single" w:sz="4" w:space="0" w:color="auto"/>
            </w:tcBorders>
            <w:shd w:val="clear" w:color="auto" w:fill="auto"/>
            <w:noWrap/>
            <w:vAlign w:val="bottom"/>
            <w:hideMark/>
          </w:tcPr>
          <w:p w14:paraId="6CE070B2" w14:textId="77777777" w:rsidR="00F65938" w:rsidRDefault="00F65938">
            <w:pPr>
              <w:rPr>
                <w:rFonts w:ascii="Calibri" w:hAnsi="Calibri" w:cs="Calibri"/>
                <w:color w:val="000000"/>
              </w:rPr>
            </w:pPr>
            <w:r>
              <w:rPr>
                <w:rFonts w:ascii="Calibri" w:hAnsi="Calibri" w:cs="Calibri"/>
                <w:color w:val="000000"/>
              </w:rPr>
              <w:t> </w:t>
            </w:r>
          </w:p>
        </w:tc>
      </w:tr>
      <w:tr w:rsidR="00F65938" w14:paraId="1363531D"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19A032A3" w14:textId="77777777" w:rsidR="00F65938" w:rsidRDefault="00F65938">
            <w:pPr>
              <w:rPr>
                <w:rFonts w:ascii="Calibri" w:hAnsi="Calibri" w:cs="Calibri"/>
                <w:color w:val="000000"/>
              </w:rPr>
            </w:pPr>
            <w:r>
              <w:rPr>
                <w:rFonts w:ascii="Calibri" w:hAnsi="Calibri" w:cs="Calibri"/>
                <w:color w:val="000000"/>
              </w:rPr>
              <w:t>Dorm/hotel</w:t>
            </w:r>
          </w:p>
        </w:tc>
        <w:tc>
          <w:tcPr>
            <w:tcW w:w="3649" w:type="dxa"/>
            <w:tcBorders>
              <w:top w:val="nil"/>
              <w:left w:val="nil"/>
              <w:bottom w:val="single" w:sz="4" w:space="0" w:color="auto"/>
              <w:right w:val="single" w:sz="4" w:space="0" w:color="auto"/>
            </w:tcBorders>
            <w:shd w:val="clear" w:color="auto" w:fill="auto"/>
            <w:noWrap/>
            <w:vAlign w:val="bottom"/>
            <w:hideMark/>
          </w:tcPr>
          <w:p w14:paraId="31C368AA" w14:textId="77777777" w:rsidR="00F65938" w:rsidRDefault="00F65938">
            <w:pPr>
              <w:rPr>
                <w:rFonts w:ascii="Calibri" w:hAnsi="Calibri" w:cs="Calibri"/>
                <w:color w:val="000000"/>
              </w:rPr>
            </w:pPr>
            <w:r>
              <w:rPr>
                <w:rFonts w:ascii="Calibri" w:hAnsi="Calibri" w:cs="Calibri"/>
                <w:color w:val="000000"/>
              </w:rPr>
              <w:t>(No of weeks/days)</w:t>
            </w:r>
          </w:p>
        </w:tc>
        <w:tc>
          <w:tcPr>
            <w:tcW w:w="2420" w:type="dxa"/>
            <w:tcBorders>
              <w:top w:val="nil"/>
              <w:left w:val="nil"/>
              <w:bottom w:val="single" w:sz="4" w:space="0" w:color="auto"/>
              <w:right w:val="single" w:sz="4" w:space="0" w:color="auto"/>
            </w:tcBorders>
            <w:shd w:val="clear" w:color="auto" w:fill="auto"/>
            <w:noWrap/>
            <w:vAlign w:val="bottom"/>
            <w:hideMark/>
          </w:tcPr>
          <w:p w14:paraId="3093063E" w14:textId="77777777" w:rsidR="00F65938" w:rsidRDefault="00F65938">
            <w:pPr>
              <w:rPr>
                <w:rFonts w:ascii="Calibri" w:hAnsi="Calibri" w:cs="Calibri"/>
                <w:color w:val="000000"/>
              </w:rPr>
            </w:pPr>
            <w:r>
              <w:rPr>
                <w:rFonts w:ascii="Calibri" w:hAnsi="Calibri" w:cs="Calibri"/>
                <w:color w:val="000000"/>
              </w:rPr>
              <w:t> </w:t>
            </w:r>
          </w:p>
        </w:tc>
      </w:tr>
      <w:tr w:rsidR="00F65938" w14:paraId="5EF66176"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64784A29" w14:textId="77777777" w:rsidR="00F65938" w:rsidRDefault="00F65938">
            <w:pPr>
              <w:rPr>
                <w:rFonts w:ascii="Calibri" w:hAnsi="Calibri" w:cs="Calibri"/>
                <w:color w:val="000000"/>
              </w:rPr>
            </w:pPr>
            <w:r>
              <w:rPr>
                <w:rFonts w:ascii="Calibri" w:hAnsi="Calibri" w:cs="Calibri"/>
                <w:color w:val="000000"/>
              </w:rPr>
              <w:t>Host family</w:t>
            </w:r>
          </w:p>
        </w:tc>
        <w:tc>
          <w:tcPr>
            <w:tcW w:w="3649" w:type="dxa"/>
            <w:tcBorders>
              <w:top w:val="nil"/>
              <w:left w:val="nil"/>
              <w:bottom w:val="single" w:sz="4" w:space="0" w:color="auto"/>
              <w:right w:val="single" w:sz="4" w:space="0" w:color="auto"/>
            </w:tcBorders>
            <w:shd w:val="clear" w:color="auto" w:fill="auto"/>
            <w:noWrap/>
            <w:vAlign w:val="bottom"/>
            <w:hideMark/>
          </w:tcPr>
          <w:p w14:paraId="75C203CC" w14:textId="77777777" w:rsidR="00F65938" w:rsidRDefault="00F65938">
            <w:pPr>
              <w:rPr>
                <w:rFonts w:ascii="Calibri" w:hAnsi="Calibri" w:cs="Calibri"/>
                <w:color w:val="000000"/>
              </w:rPr>
            </w:pPr>
            <w:r>
              <w:rPr>
                <w:rFonts w:ascii="Calibri" w:hAnsi="Calibri" w:cs="Calibri"/>
                <w:color w:val="000000"/>
              </w:rPr>
              <w:t>(No of weeks/days)</w:t>
            </w:r>
          </w:p>
        </w:tc>
        <w:tc>
          <w:tcPr>
            <w:tcW w:w="2420" w:type="dxa"/>
            <w:tcBorders>
              <w:top w:val="nil"/>
              <w:left w:val="nil"/>
              <w:bottom w:val="single" w:sz="4" w:space="0" w:color="auto"/>
              <w:right w:val="single" w:sz="4" w:space="0" w:color="auto"/>
            </w:tcBorders>
            <w:shd w:val="clear" w:color="auto" w:fill="auto"/>
            <w:noWrap/>
            <w:vAlign w:val="bottom"/>
            <w:hideMark/>
          </w:tcPr>
          <w:p w14:paraId="2F18A172" w14:textId="77777777" w:rsidR="00F65938" w:rsidRDefault="00F65938">
            <w:pPr>
              <w:rPr>
                <w:rFonts w:ascii="Calibri" w:hAnsi="Calibri" w:cs="Calibri"/>
                <w:color w:val="000000"/>
              </w:rPr>
            </w:pPr>
            <w:r>
              <w:rPr>
                <w:rFonts w:ascii="Calibri" w:hAnsi="Calibri" w:cs="Calibri"/>
                <w:color w:val="000000"/>
              </w:rPr>
              <w:t> </w:t>
            </w:r>
          </w:p>
        </w:tc>
      </w:tr>
      <w:tr w:rsidR="00F65938" w14:paraId="5337B1A1"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2D05DDE9" w14:textId="77777777" w:rsidR="00F65938" w:rsidRDefault="00F65938">
            <w:pPr>
              <w:rPr>
                <w:rFonts w:ascii="Calibri" w:hAnsi="Calibri" w:cs="Calibri"/>
                <w:color w:val="000000"/>
              </w:rPr>
            </w:pPr>
            <w:r>
              <w:rPr>
                <w:rFonts w:ascii="Calibri" w:hAnsi="Calibri" w:cs="Calibri"/>
                <w:color w:val="000000"/>
              </w:rPr>
              <w:t>Classes in English</w:t>
            </w:r>
          </w:p>
        </w:tc>
        <w:tc>
          <w:tcPr>
            <w:tcW w:w="3649" w:type="dxa"/>
            <w:tcBorders>
              <w:top w:val="nil"/>
              <w:left w:val="nil"/>
              <w:bottom w:val="single" w:sz="4" w:space="0" w:color="auto"/>
              <w:right w:val="single" w:sz="4" w:space="0" w:color="auto"/>
            </w:tcBorders>
            <w:shd w:val="clear" w:color="auto" w:fill="auto"/>
            <w:noWrap/>
            <w:vAlign w:val="bottom"/>
            <w:hideMark/>
          </w:tcPr>
          <w:p w14:paraId="551EF8A7" w14:textId="77777777" w:rsidR="00F65938" w:rsidRDefault="00F65938">
            <w:pPr>
              <w:rPr>
                <w:rFonts w:ascii="Calibri" w:hAnsi="Calibri" w:cs="Calibri"/>
                <w:color w:val="000000"/>
              </w:rPr>
            </w:pPr>
            <w:r>
              <w:rPr>
                <w:rFonts w:ascii="Calibri" w:hAnsi="Calibri" w:cs="Calibri"/>
                <w:color w:val="000000"/>
              </w:rPr>
              <w:t>(No of classes: 0 to 5)</w:t>
            </w:r>
          </w:p>
        </w:tc>
        <w:tc>
          <w:tcPr>
            <w:tcW w:w="2420" w:type="dxa"/>
            <w:tcBorders>
              <w:top w:val="nil"/>
              <w:left w:val="nil"/>
              <w:bottom w:val="single" w:sz="4" w:space="0" w:color="auto"/>
              <w:right w:val="single" w:sz="4" w:space="0" w:color="auto"/>
            </w:tcBorders>
            <w:shd w:val="clear" w:color="auto" w:fill="auto"/>
            <w:noWrap/>
            <w:vAlign w:val="bottom"/>
            <w:hideMark/>
          </w:tcPr>
          <w:p w14:paraId="203603AC" w14:textId="77777777" w:rsidR="00F65938" w:rsidRDefault="00F65938">
            <w:pPr>
              <w:rPr>
                <w:rFonts w:ascii="Calibri" w:hAnsi="Calibri" w:cs="Calibri"/>
                <w:color w:val="000000"/>
              </w:rPr>
            </w:pPr>
            <w:r>
              <w:rPr>
                <w:rFonts w:ascii="Calibri" w:hAnsi="Calibri" w:cs="Calibri"/>
                <w:color w:val="000000"/>
              </w:rPr>
              <w:t> </w:t>
            </w:r>
          </w:p>
        </w:tc>
      </w:tr>
      <w:tr w:rsidR="00F65938" w14:paraId="5FB36E6A"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1AA646A8" w14:textId="77777777" w:rsidR="00F65938" w:rsidRDefault="00F65938">
            <w:pPr>
              <w:rPr>
                <w:rFonts w:ascii="Calibri" w:hAnsi="Calibri" w:cs="Calibri"/>
                <w:color w:val="000000"/>
              </w:rPr>
            </w:pPr>
            <w:r>
              <w:rPr>
                <w:rFonts w:ascii="Calibri" w:hAnsi="Calibri" w:cs="Calibri"/>
                <w:color w:val="000000"/>
              </w:rPr>
              <w:t>English-speaking country</w:t>
            </w:r>
          </w:p>
        </w:tc>
        <w:tc>
          <w:tcPr>
            <w:tcW w:w="3649" w:type="dxa"/>
            <w:tcBorders>
              <w:top w:val="nil"/>
              <w:left w:val="nil"/>
              <w:bottom w:val="single" w:sz="4" w:space="0" w:color="auto"/>
              <w:right w:val="single" w:sz="4" w:space="0" w:color="auto"/>
            </w:tcBorders>
            <w:shd w:val="clear" w:color="auto" w:fill="auto"/>
            <w:noWrap/>
            <w:vAlign w:val="bottom"/>
            <w:hideMark/>
          </w:tcPr>
          <w:p w14:paraId="77F15459" w14:textId="77777777" w:rsidR="00F65938" w:rsidRDefault="00F65938">
            <w:pPr>
              <w:rPr>
                <w:rFonts w:ascii="Calibri" w:hAnsi="Calibri" w:cs="Calibri"/>
                <w:color w:val="000000"/>
              </w:rPr>
            </w:pPr>
            <w:r>
              <w:rPr>
                <w:rFonts w:ascii="Calibri" w:hAnsi="Calibri" w:cs="Calibri"/>
                <w:color w:val="000000"/>
              </w:rPr>
              <w:t>(Yes/No)</w:t>
            </w:r>
          </w:p>
        </w:tc>
        <w:tc>
          <w:tcPr>
            <w:tcW w:w="2420" w:type="dxa"/>
            <w:tcBorders>
              <w:top w:val="nil"/>
              <w:left w:val="nil"/>
              <w:bottom w:val="single" w:sz="4" w:space="0" w:color="auto"/>
              <w:right w:val="single" w:sz="4" w:space="0" w:color="auto"/>
            </w:tcBorders>
            <w:shd w:val="clear" w:color="auto" w:fill="auto"/>
            <w:noWrap/>
            <w:vAlign w:val="bottom"/>
            <w:hideMark/>
          </w:tcPr>
          <w:p w14:paraId="003DD8D1" w14:textId="77777777" w:rsidR="00F65938" w:rsidRDefault="00F65938">
            <w:pPr>
              <w:rPr>
                <w:rFonts w:ascii="Calibri" w:hAnsi="Calibri" w:cs="Calibri"/>
                <w:color w:val="000000"/>
              </w:rPr>
            </w:pPr>
            <w:r>
              <w:rPr>
                <w:rFonts w:ascii="Calibri" w:hAnsi="Calibri" w:cs="Calibri"/>
                <w:color w:val="000000"/>
              </w:rPr>
              <w:t>(If no, list language)</w:t>
            </w:r>
          </w:p>
        </w:tc>
      </w:tr>
      <w:tr w:rsidR="00F65938" w14:paraId="08D95577"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019FC3F6" w14:textId="77777777" w:rsidR="00F65938" w:rsidRDefault="00F65938">
            <w:pPr>
              <w:rPr>
                <w:rFonts w:ascii="Calibri" w:hAnsi="Calibri" w:cs="Calibri"/>
                <w:color w:val="000000"/>
              </w:rPr>
            </w:pPr>
            <w:r>
              <w:rPr>
                <w:rFonts w:ascii="Calibri" w:hAnsi="Calibri" w:cs="Calibri"/>
                <w:color w:val="000000"/>
              </w:rPr>
              <w:t>Foreign language history (if applicable)</w:t>
            </w:r>
          </w:p>
        </w:tc>
        <w:tc>
          <w:tcPr>
            <w:tcW w:w="3649" w:type="dxa"/>
            <w:tcBorders>
              <w:top w:val="nil"/>
              <w:left w:val="nil"/>
              <w:bottom w:val="single" w:sz="4" w:space="0" w:color="auto"/>
              <w:right w:val="single" w:sz="4" w:space="0" w:color="auto"/>
            </w:tcBorders>
            <w:shd w:val="clear" w:color="auto" w:fill="auto"/>
            <w:noWrap/>
            <w:vAlign w:val="bottom"/>
            <w:hideMark/>
          </w:tcPr>
          <w:p w14:paraId="692D61FF" w14:textId="77777777" w:rsidR="00F65938" w:rsidRDefault="00F65938">
            <w:pPr>
              <w:rPr>
                <w:rFonts w:ascii="Calibri" w:hAnsi="Calibri" w:cs="Calibri"/>
                <w:color w:val="000000"/>
              </w:rPr>
            </w:pPr>
            <w:r>
              <w:rPr>
                <w:rFonts w:ascii="Calibri" w:hAnsi="Calibri" w:cs="Calibri"/>
                <w:color w:val="000000"/>
              </w:rPr>
              <w:t>(No of college semesters)</w:t>
            </w:r>
          </w:p>
        </w:tc>
        <w:tc>
          <w:tcPr>
            <w:tcW w:w="2420" w:type="dxa"/>
            <w:tcBorders>
              <w:top w:val="nil"/>
              <w:left w:val="nil"/>
              <w:bottom w:val="single" w:sz="4" w:space="0" w:color="auto"/>
              <w:right w:val="single" w:sz="4" w:space="0" w:color="auto"/>
            </w:tcBorders>
            <w:shd w:val="clear" w:color="auto" w:fill="auto"/>
            <w:noWrap/>
            <w:vAlign w:val="bottom"/>
            <w:hideMark/>
          </w:tcPr>
          <w:p w14:paraId="0D15653C" w14:textId="77777777" w:rsidR="00F65938" w:rsidRDefault="00F65938">
            <w:pPr>
              <w:rPr>
                <w:rFonts w:ascii="Calibri" w:hAnsi="Calibri" w:cs="Calibri"/>
                <w:color w:val="000000"/>
              </w:rPr>
            </w:pPr>
            <w:r>
              <w:rPr>
                <w:rFonts w:ascii="Calibri" w:hAnsi="Calibri" w:cs="Calibri"/>
                <w:color w:val="000000"/>
              </w:rPr>
              <w:t> </w:t>
            </w:r>
          </w:p>
        </w:tc>
      </w:tr>
      <w:tr w:rsidR="00F65938" w14:paraId="5EA7D7BF"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14B05F38" w14:textId="77777777" w:rsidR="00F65938" w:rsidRDefault="00F65938">
            <w:pPr>
              <w:rPr>
                <w:rFonts w:ascii="Calibri" w:hAnsi="Calibri" w:cs="Calibri"/>
                <w:color w:val="000000"/>
              </w:rPr>
            </w:pPr>
            <w:r>
              <w:rPr>
                <w:rFonts w:ascii="Calibri" w:hAnsi="Calibri" w:cs="Calibri"/>
                <w:color w:val="000000"/>
              </w:rPr>
              <w:t>Use of home institution faculty</w:t>
            </w:r>
          </w:p>
        </w:tc>
        <w:tc>
          <w:tcPr>
            <w:tcW w:w="3649" w:type="dxa"/>
            <w:tcBorders>
              <w:top w:val="nil"/>
              <w:left w:val="nil"/>
              <w:bottom w:val="single" w:sz="4" w:space="0" w:color="auto"/>
              <w:right w:val="single" w:sz="4" w:space="0" w:color="auto"/>
            </w:tcBorders>
            <w:shd w:val="clear" w:color="auto" w:fill="auto"/>
            <w:noWrap/>
            <w:vAlign w:val="bottom"/>
            <w:hideMark/>
          </w:tcPr>
          <w:p w14:paraId="4D41A888" w14:textId="77777777" w:rsidR="00F65938" w:rsidRDefault="00F65938">
            <w:pPr>
              <w:rPr>
                <w:rFonts w:ascii="Calibri" w:hAnsi="Calibri" w:cs="Calibri"/>
                <w:color w:val="000000"/>
              </w:rPr>
            </w:pPr>
            <w:r>
              <w:rPr>
                <w:rFonts w:ascii="Calibri" w:hAnsi="Calibri" w:cs="Calibri"/>
                <w:color w:val="000000"/>
              </w:rPr>
              <w:t>(No of classes: 0 to 5)</w:t>
            </w:r>
          </w:p>
        </w:tc>
        <w:tc>
          <w:tcPr>
            <w:tcW w:w="2420" w:type="dxa"/>
            <w:tcBorders>
              <w:top w:val="nil"/>
              <w:left w:val="nil"/>
              <w:bottom w:val="single" w:sz="4" w:space="0" w:color="auto"/>
              <w:right w:val="single" w:sz="4" w:space="0" w:color="auto"/>
            </w:tcBorders>
            <w:shd w:val="clear" w:color="auto" w:fill="auto"/>
            <w:noWrap/>
            <w:vAlign w:val="bottom"/>
            <w:hideMark/>
          </w:tcPr>
          <w:p w14:paraId="6AEB444B" w14:textId="77777777" w:rsidR="00F65938" w:rsidRDefault="00F65938">
            <w:pPr>
              <w:rPr>
                <w:rFonts w:ascii="Calibri" w:hAnsi="Calibri" w:cs="Calibri"/>
                <w:color w:val="000000"/>
              </w:rPr>
            </w:pPr>
            <w:r>
              <w:rPr>
                <w:rFonts w:ascii="Calibri" w:hAnsi="Calibri" w:cs="Calibri"/>
                <w:color w:val="000000"/>
              </w:rPr>
              <w:t> </w:t>
            </w:r>
          </w:p>
        </w:tc>
      </w:tr>
      <w:tr w:rsidR="00F65938" w14:paraId="47F52305"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680CA6CE" w14:textId="77777777" w:rsidR="00F65938" w:rsidRDefault="00F65938">
            <w:pPr>
              <w:rPr>
                <w:rFonts w:ascii="Calibri" w:hAnsi="Calibri" w:cs="Calibri"/>
                <w:color w:val="000000"/>
              </w:rPr>
            </w:pPr>
            <w:r>
              <w:rPr>
                <w:rFonts w:ascii="Calibri" w:hAnsi="Calibri" w:cs="Calibri"/>
                <w:color w:val="000000"/>
              </w:rPr>
              <w:t>Use of host institution faculty</w:t>
            </w:r>
          </w:p>
        </w:tc>
        <w:tc>
          <w:tcPr>
            <w:tcW w:w="3649" w:type="dxa"/>
            <w:tcBorders>
              <w:top w:val="nil"/>
              <w:left w:val="nil"/>
              <w:bottom w:val="single" w:sz="4" w:space="0" w:color="auto"/>
              <w:right w:val="single" w:sz="4" w:space="0" w:color="auto"/>
            </w:tcBorders>
            <w:shd w:val="clear" w:color="auto" w:fill="auto"/>
            <w:noWrap/>
            <w:vAlign w:val="bottom"/>
            <w:hideMark/>
          </w:tcPr>
          <w:p w14:paraId="486826AB" w14:textId="77777777" w:rsidR="00F65938" w:rsidRDefault="00F65938">
            <w:pPr>
              <w:rPr>
                <w:rFonts w:ascii="Calibri" w:hAnsi="Calibri" w:cs="Calibri"/>
                <w:color w:val="000000"/>
              </w:rPr>
            </w:pPr>
            <w:r>
              <w:rPr>
                <w:rFonts w:ascii="Calibri" w:hAnsi="Calibri" w:cs="Calibri"/>
                <w:color w:val="000000"/>
              </w:rPr>
              <w:t>(No of classes: 0 to 5)</w:t>
            </w:r>
          </w:p>
        </w:tc>
        <w:tc>
          <w:tcPr>
            <w:tcW w:w="2420" w:type="dxa"/>
            <w:tcBorders>
              <w:top w:val="nil"/>
              <w:left w:val="nil"/>
              <w:bottom w:val="single" w:sz="4" w:space="0" w:color="auto"/>
              <w:right w:val="single" w:sz="4" w:space="0" w:color="auto"/>
            </w:tcBorders>
            <w:shd w:val="clear" w:color="auto" w:fill="auto"/>
            <w:noWrap/>
            <w:vAlign w:val="bottom"/>
            <w:hideMark/>
          </w:tcPr>
          <w:p w14:paraId="5EA0554C" w14:textId="77777777" w:rsidR="00F65938" w:rsidRDefault="00F65938">
            <w:pPr>
              <w:rPr>
                <w:rFonts w:ascii="Calibri" w:hAnsi="Calibri" w:cs="Calibri"/>
                <w:color w:val="000000"/>
              </w:rPr>
            </w:pPr>
            <w:r>
              <w:rPr>
                <w:rFonts w:ascii="Calibri" w:hAnsi="Calibri" w:cs="Calibri"/>
                <w:color w:val="000000"/>
              </w:rPr>
              <w:t> </w:t>
            </w:r>
          </w:p>
        </w:tc>
      </w:tr>
      <w:tr w:rsidR="00F65938" w14:paraId="62E5C117"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224D4B90" w14:textId="77777777" w:rsidR="00F65938" w:rsidRDefault="00F65938">
            <w:pPr>
              <w:rPr>
                <w:rFonts w:ascii="Calibri" w:hAnsi="Calibri" w:cs="Calibri"/>
                <w:color w:val="000000"/>
              </w:rPr>
            </w:pPr>
            <w:r>
              <w:rPr>
                <w:rFonts w:ascii="Calibri" w:hAnsi="Calibri" w:cs="Calibri"/>
                <w:color w:val="000000"/>
              </w:rPr>
              <w:t>Use of host institution campus</w:t>
            </w:r>
          </w:p>
        </w:tc>
        <w:tc>
          <w:tcPr>
            <w:tcW w:w="3649" w:type="dxa"/>
            <w:tcBorders>
              <w:top w:val="nil"/>
              <w:left w:val="nil"/>
              <w:bottom w:val="single" w:sz="4" w:space="0" w:color="auto"/>
              <w:right w:val="single" w:sz="4" w:space="0" w:color="auto"/>
            </w:tcBorders>
            <w:shd w:val="clear" w:color="auto" w:fill="auto"/>
            <w:noWrap/>
            <w:vAlign w:val="bottom"/>
            <w:hideMark/>
          </w:tcPr>
          <w:p w14:paraId="0A589780" w14:textId="77777777" w:rsidR="00F65938" w:rsidRDefault="00F65938">
            <w:pPr>
              <w:rPr>
                <w:rFonts w:ascii="Calibri" w:hAnsi="Calibri" w:cs="Calibri"/>
                <w:color w:val="000000"/>
              </w:rPr>
            </w:pPr>
            <w:r>
              <w:rPr>
                <w:rFonts w:ascii="Calibri" w:hAnsi="Calibri" w:cs="Calibri"/>
                <w:color w:val="000000"/>
              </w:rPr>
              <w:t>(Yes/No)</w:t>
            </w:r>
          </w:p>
        </w:tc>
        <w:tc>
          <w:tcPr>
            <w:tcW w:w="2420" w:type="dxa"/>
            <w:tcBorders>
              <w:top w:val="nil"/>
              <w:left w:val="nil"/>
              <w:bottom w:val="single" w:sz="4" w:space="0" w:color="auto"/>
              <w:right w:val="single" w:sz="4" w:space="0" w:color="auto"/>
            </w:tcBorders>
            <w:shd w:val="clear" w:color="auto" w:fill="auto"/>
            <w:noWrap/>
            <w:vAlign w:val="bottom"/>
            <w:hideMark/>
          </w:tcPr>
          <w:p w14:paraId="03B8C838" w14:textId="77777777" w:rsidR="00F65938" w:rsidRDefault="00F65938">
            <w:pPr>
              <w:rPr>
                <w:rFonts w:ascii="Calibri" w:hAnsi="Calibri" w:cs="Calibri"/>
                <w:color w:val="000000"/>
              </w:rPr>
            </w:pPr>
            <w:r>
              <w:rPr>
                <w:rFonts w:ascii="Calibri" w:hAnsi="Calibri" w:cs="Calibri"/>
                <w:color w:val="000000"/>
              </w:rPr>
              <w:t> </w:t>
            </w:r>
          </w:p>
        </w:tc>
      </w:tr>
      <w:tr w:rsidR="00F65938" w14:paraId="5201B46A"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232D8AC4" w14:textId="77777777" w:rsidR="00F65938" w:rsidRDefault="00F65938">
            <w:pPr>
              <w:rPr>
                <w:rFonts w:ascii="Calibri" w:hAnsi="Calibri" w:cs="Calibri"/>
                <w:color w:val="000000"/>
              </w:rPr>
            </w:pPr>
            <w:r>
              <w:rPr>
                <w:rFonts w:ascii="Calibri" w:hAnsi="Calibri" w:cs="Calibri"/>
                <w:color w:val="000000"/>
              </w:rPr>
              <w:t>Cross-Cultural Communications Class</w:t>
            </w:r>
          </w:p>
        </w:tc>
        <w:tc>
          <w:tcPr>
            <w:tcW w:w="3649" w:type="dxa"/>
            <w:tcBorders>
              <w:top w:val="nil"/>
              <w:left w:val="nil"/>
              <w:bottom w:val="single" w:sz="4" w:space="0" w:color="auto"/>
              <w:right w:val="single" w:sz="4" w:space="0" w:color="auto"/>
            </w:tcBorders>
            <w:shd w:val="clear" w:color="auto" w:fill="auto"/>
            <w:noWrap/>
            <w:vAlign w:val="bottom"/>
            <w:hideMark/>
          </w:tcPr>
          <w:p w14:paraId="25313AE6" w14:textId="77777777" w:rsidR="00F65938" w:rsidRDefault="00F65938">
            <w:pPr>
              <w:rPr>
                <w:rFonts w:ascii="Calibri" w:hAnsi="Calibri" w:cs="Calibri"/>
                <w:color w:val="000000"/>
              </w:rPr>
            </w:pPr>
            <w:r>
              <w:rPr>
                <w:rFonts w:ascii="Calibri" w:hAnsi="Calibri" w:cs="Calibri"/>
                <w:color w:val="000000"/>
              </w:rPr>
              <w:t>(Yes/No)</w:t>
            </w:r>
          </w:p>
        </w:tc>
        <w:tc>
          <w:tcPr>
            <w:tcW w:w="2420" w:type="dxa"/>
            <w:tcBorders>
              <w:top w:val="nil"/>
              <w:left w:val="nil"/>
              <w:bottom w:val="single" w:sz="4" w:space="0" w:color="auto"/>
              <w:right w:val="single" w:sz="4" w:space="0" w:color="auto"/>
            </w:tcBorders>
            <w:shd w:val="clear" w:color="auto" w:fill="auto"/>
            <w:noWrap/>
            <w:vAlign w:val="bottom"/>
            <w:hideMark/>
          </w:tcPr>
          <w:p w14:paraId="6CAD5E25" w14:textId="77777777" w:rsidR="00F65938" w:rsidRDefault="00F65938">
            <w:pPr>
              <w:rPr>
                <w:rFonts w:ascii="Calibri" w:hAnsi="Calibri" w:cs="Calibri"/>
                <w:color w:val="000000"/>
              </w:rPr>
            </w:pPr>
            <w:r>
              <w:rPr>
                <w:rFonts w:ascii="Calibri" w:hAnsi="Calibri" w:cs="Calibri"/>
                <w:color w:val="000000"/>
              </w:rPr>
              <w:t> </w:t>
            </w:r>
          </w:p>
        </w:tc>
      </w:tr>
      <w:tr w:rsidR="00F65938" w14:paraId="368EDA0F"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267333D4" w14:textId="77777777" w:rsidR="00F65938" w:rsidRDefault="00F65938">
            <w:pPr>
              <w:rPr>
                <w:rFonts w:ascii="Calibri" w:hAnsi="Calibri" w:cs="Calibri"/>
                <w:color w:val="000000"/>
              </w:rPr>
            </w:pPr>
            <w:r>
              <w:rPr>
                <w:rFonts w:ascii="Calibri" w:hAnsi="Calibri" w:cs="Calibri"/>
                <w:color w:val="000000"/>
              </w:rPr>
              <w:t>Experiential learning activities</w:t>
            </w:r>
          </w:p>
        </w:tc>
        <w:tc>
          <w:tcPr>
            <w:tcW w:w="3649" w:type="dxa"/>
            <w:tcBorders>
              <w:top w:val="nil"/>
              <w:left w:val="nil"/>
              <w:bottom w:val="single" w:sz="4" w:space="0" w:color="auto"/>
              <w:right w:val="single" w:sz="4" w:space="0" w:color="auto"/>
            </w:tcBorders>
            <w:shd w:val="clear" w:color="auto" w:fill="auto"/>
            <w:noWrap/>
            <w:vAlign w:val="bottom"/>
            <w:hideMark/>
          </w:tcPr>
          <w:p w14:paraId="2C982661" w14:textId="77777777" w:rsidR="00F65938" w:rsidRDefault="00F65938">
            <w:pPr>
              <w:rPr>
                <w:rFonts w:ascii="Calibri" w:hAnsi="Calibri" w:cs="Calibri"/>
                <w:color w:val="000000"/>
              </w:rPr>
            </w:pPr>
            <w:r>
              <w:rPr>
                <w:rFonts w:ascii="Calibri" w:hAnsi="Calibri" w:cs="Calibri"/>
                <w:color w:val="000000"/>
              </w:rPr>
              <w:t>(Yes/No)</w:t>
            </w:r>
          </w:p>
        </w:tc>
        <w:tc>
          <w:tcPr>
            <w:tcW w:w="2420" w:type="dxa"/>
            <w:tcBorders>
              <w:top w:val="nil"/>
              <w:left w:val="nil"/>
              <w:bottom w:val="single" w:sz="4" w:space="0" w:color="auto"/>
              <w:right w:val="single" w:sz="4" w:space="0" w:color="auto"/>
            </w:tcBorders>
            <w:shd w:val="clear" w:color="auto" w:fill="auto"/>
            <w:noWrap/>
            <w:vAlign w:val="bottom"/>
            <w:hideMark/>
          </w:tcPr>
          <w:p w14:paraId="64053353" w14:textId="77777777" w:rsidR="00F65938" w:rsidRDefault="00F65938">
            <w:pPr>
              <w:rPr>
                <w:rFonts w:ascii="Calibri" w:hAnsi="Calibri" w:cs="Calibri"/>
                <w:color w:val="000000"/>
              </w:rPr>
            </w:pPr>
            <w:r>
              <w:rPr>
                <w:rFonts w:ascii="Calibri" w:hAnsi="Calibri" w:cs="Calibri"/>
                <w:color w:val="000000"/>
              </w:rPr>
              <w:t>(List of activities)</w:t>
            </w:r>
          </w:p>
        </w:tc>
      </w:tr>
      <w:tr w:rsidR="00F65938" w14:paraId="31C8EBB7"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2150424D" w14:textId="77777777" w:rsidR="00F65938" w:rsidRDefault="00F65938">
            <w:pPr>
              <w:rPr>
                <w:rFonts w:ascii="Calibri" w:hAnsi="Calibri" w:cs="Calibri"/>
                <w:color w:val="000000"/>
              </w:rPr>
            </w:pPr>
            <w:r>
              <w:rPr>
                <w:rFonts w:ascii="Calibri" w:hAnsi="Calibri" w:cs="Calibri"/>
                <w:color w:val="000000"/>
              </w:rPr>
              <w:t>Private reflection</w:t>
            </w:r>
          </w:p>
        </w:tc>
        <w:tc>
          <w:tcPr>
            <w:tcW w:w="3649" w:type="dxa"/>
            <w:tcBorders>
              <w:top w:val="nil"/>
              <w:left w:val="nil"/>
              <w:bottom w:val="single" w:sz="4" w:space="0" w:color="auto"/>
              <w:right w:val="single" w:sz="4" w:space="0" w:color="auto"/>
            </w:tcBorders>
            <w:shd w:val="clear" w:color="auto" w:fill="auto"/>
            <w:noWrap/>
            <w:vAlign w:val="bottom"/>
            <w:hideMark/>
          </w:tcPr>
          <w:p w14:paraId="1F0C3713" w14:textId="77777777" w:rsidR="00F65938" w:rsidRDefault="00F65938">
            <w:pPr>
              <w:rPr>
                <w:rFonts w:ascii="Calibri" w:hAnsi="Calibri" w:cs="Calibri"/>
                <w:color w:val="000000"/>
              </w:rPr>
            </w:pPr>
            <w:r>
              <w:rPr>
                <w:rFonts w:ascii="Calibri" w:hAnsi="Calibri" w:cs="Calibri"/>
                <w:color w:val="000000"/>
              </w:rPr>
              <w:t>(None, Daily, Weekly, Monthly)</w:t>
            </w:r>
          </w:p>
        </w:tc>
        <w:tc>
          <w:tcPr>
            <w:tcW w:w="2420" w:type="dxa"/>
            <w:tcBorders>
              <w:top w:val="nil"/>
              <w:left w:val="nil"/>
              <w:bottom w:val="single" w:sz="4" w:space="0" w:color="auto"/>
              <w:right w:val="single" w:sz="4" w:space="0" w:color="auto"/>
            </w:tcBorders>
            <w:shd w:val="clear" w:color="auto" w:fill="auto"/>
            <w:noWrap/>
            <w:vAlign w:val="bottom"/>
            <w:hideMark/>
          </w:tcPr>
          <w:p w14:paraId="32A9A919" w14:textId="77777777" w:rsidR="00F65938" w:rsidRDefault="00F65938">
            <w:pPr>
              <w:rPr>
                <w:rFonts w:ascii="Calibri" w:hAnsi="Calibri" w:cs="Calibri"/>
                <w:color w:val="000000"/>
              </w:rPr>
            </w:pPr>
            <w:r>
              <w:rPr>
                <w:rFonts w:ascii="Calibri" w:hAnsi="Calibri" w:cs="Calibri"/>
                <w:color w:val="000000"/>
              </w:rPr>
              <w:t> </w:t>
            </w:r>
          </w:p>
        </w:tc>
      </w:tr>
      <w:tr w:rsidR="00F65938" w14:paraId="2C6921B5"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040797D6" w14:textId="77777777" w:rsidR="00F65938" w:rsidRDefault="00F65938">
            <w:pPr>
              <w:rPr>
                <w:rFonts w:ascii="Calibri" w:hAnsi="Calibri" w:cs="Calibri"/>
                <w:color w:val="000000"/>
              </w:rPr>
            </w:pPr>
            <w:r>
              <w:rPr>
                <w:rFonts w:ascii="Calibri" w:hAnsi="Calibri" w:cs="Calibri"/>
                <w:color w:val="000000"/>
              </w:rPr>
              <w:t>Group reflection</w:t>
            </w:r>
          </w:p>
        </w:tc>
        <w:tc>
          <w:tcPr>
            <w:tcW w:w="3649" w:type="dxa"/>
            <w:tcBorders>
              <w:top w:val="nil"/>
              <w:left w:val="nil"/>
              <w:bottom w:val="single" w:sz="4" w:space="0" w:color="auto"/>
              <w:right w:val="single" w:sz="4" w:space="0" w:color="auto"/>
            </w:tcBorders>
            <w:shd w:val="clear" w:color="auto" w:fill="auto"/>
            <w:noWrap/>
            <w:vAlign w:val="bottom"/>
            <w:hideMark/>
          </w:tcPr>
          <w:p w14:paraId="3258A3BE" w14:textId="77777777" w:rsidR="00F65938" w:rsidRDefault="00F65938">
            <w:pPr>
              <w:rPr>
                <w:rFonts w:ascii="Calibri" w:hAnsi="Calibri" w:cs="Calibri"/>
                <w:color w:val="000000"/>
              </w:rPr>
            </w:pPr>
            <w:r>
              <w:rPr>
                <w:rFonts w:ascii="Calibri" w:hAnsi="Calibri" w:cs="Calibri"/>
                <w:color w:val="000000"/>
              </w:rPr>
              <w:t>(None, Daily, Weekly, Monthly)</w:t>
            </w:r>
          </w:p>
        </w:tc>
        <w:tc>
          <w:tcPr>
            <w:tcW w:w="2420" w:type="dxa"/>
            <w:tcBorders>
              <w:top w:val="nil"/>
              <w:left w:val="nil"/>
              <w:bottom w:val="single" w:sz="4" w:space="0" w:color="auto"/>
              <w:right w:val="single" w:sz="4" w:space="0" w:color="auto"/>
            </w:tcBorders>
            <w:shd w:val="clear" w:color="auto" w:fill="auto"/>
            <w:noWrap/>
            <w:vAlign w:val="bottom"/>
            <w:hideMark/>
          </w:tcPr>
          <w:p w14:paraId="0D8E6FF1" w14:textId="77777777" w:rsidR="00F65938" w:rsidRDefault="00F65938">
            <w:pPr>
              <w:rPr>
                <w:rFonts w:ascii="Calibri" w:hAnsi="Calibri" w:cs="Calibri"/>
                <w:color w:val="000000"/>
              </w:rPr>
            </w:pPr>
            <w:r>
              <w:rPr>
                <w:rFonts w:ascii="Calibri" w:hAnsi="Calibri" w:cs="Calibri"/>
                <w:color w:val="000000"/>
              </w:rPr>
              <w:t> </w:t>
            </w:r>
          </w:p>
        </w:tc>
      </w:tr>
      <w:tr w:rsidR="00F65938" w14:paraId="0E8F750D"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583ED639" w14:textId="77777777" w:rsidR="00F65938" w:rsidRDefault="00F65938">
            <w:pPr>
              <w:rPr>
                <w:rFonts w:ascii="Calibri" w:hAnsi="Calibri" w:cs="Calibri"/>
                <w:color w:val="000000"/>
              </w:rPr>
            </w:pPr>
            <w:r>
              <w:rPr>
                <w:rFonts w:ascii="Calibri" w:hAnsi="Calibri" w:cs="Calibri"/>
                <w:color w:val="000000"/>
              </w:rPr>
              <w:t>Internship</w:t>
            </w:r>
          </w:p>
        </w:tc>
        <w:tc>
          <w:tcPr>
            <w:tcW w:w="3649" w:type="dxa"/>
            <w:tcBorders>
              <w:top w:val="nil"/>
              <w:left w:val="nil"/>
              <w:bottom w:val="single" w:sz="4" w:space="0" w:color="auto"/>
              <w:right w:val="single" w:sz="4" w:space="0" w:color="auto"/>
            </w:tcBorders>
            <w:shd w:val="clear" w:color="auto" w:fill="auto"/>
            <w:noWrap/>
            <w:vAlign w:val="bottom"/>
            <w:hideMark/>
          </w:tcPr>
          <w:p w14:paraId="7DAD2EC2" w14:textId="77777777" w:rsidR="00F65938" w:rsidRDefault="00F65938">
            <w:pPr>
              <w:rPr>
                <w:rFonts w:ascii="Calibri" w:hAnsi="Calibri" w:cs="Calibri"/>
                <w:color w:val="000000"/>
              </w:rPr>
            </w:pPr>
            <w:r>
              <w:rPr>
                <w:rFonts w:ascii="Calibri" w:hAnsi="Calibri" w:cs="Calibri"/>
                <w:color w:val="000000"/>
              </w:rPr>
              <w:t>(No of days)</w:t>
            </w:r>
          </w:p>
        </w:tc>
        <w:tc>
          <w:tcPr>
            <w:tcW w:w="2420" w:type="dxa"/>
            <w:tcBorders>
              <w:top w:val="nil"/>
              <w:left w:val="nil"/>
              <w:bottom w:val="single" w:sz="4" w:space="0" w:color="auto"/>
              <w:right w:val="single" w:sz="4" w:space="0" w:color="auto"/>
            </w:tcBorders>
            <w:shd w:val="clear" w:color="auto" w:fill="auto"/>
            <w:noWrap/>
            <w:vAlign w:val="bottom"/>
            <w:hideMark/>
          </w:tcPr>
          <w:p w14:paraId="77E7B173" w14:textId="77777777" w:rsidR="00F65938" w:rsidRDefault="00F65938">
            <w:pPr>
              <w:rPr>
                <w:rFonts w:ascii="Calibri" w:hAnsi="Calibri" w:cs="Calibri"/>
                <w:color w:val="000000"/>
              </w:rPr>
            </w:pPr>
            <w:r>
              <w:rPr>
                <w:rFonts w:ascii="Calibri" w:hAnsi="Calibri" w:cs="Calibri"/>
                <w:color w:val="000000"/>
              </w:rPr>
              <w:t> </w:t>
            </w:r>
          </w:p>
        </w:tc>
      </w:tr>
      <w:tr w:rsidR="00F65938" w14:paraId="08ACA8AB"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308A3955" w14:textId="77777777" w:rsidR="00F65938" w:rsidRDefault="00F65938">
            <w:pPr>
              <w:rPr>
                <w:rFonts w:ascii="Calibri" w:hAnsi="Calibri" w:cs="Calibri"/>
                <w:color w:val="000000"/>
              </w:rPr>
            </w:pPr>
            <w:r>
              <w:rPr>
                <w:rFonts w:ascii="Calibri" w:hAnsi="Calibri" w:cs="Calibri"/>
                <w:color w:val="000000"/>
              </w:rPr>
              <w:t>Volunteer work</w:t>
            </w:r>
          </w:p>
        </w:tc>
        <w:tc>
          <w:tcPr>
            <w:tcW w:w="3649" w:type="dxa"/>
            <w:tcBorders>
              <w:top w:val="nil"/>
              <w:left w:val="nil"/>
              <w:bottom w:val="single" w:sz="4" w:space="0" w:color="auto"/>
              <w:right w:val="single" w:sz="4" w:space="0" w:color="auto"/>
            </w:tcBorders>
            <w:shd w:val="clear" w:color="auto" w:fill="auto"/>
            <w:noWrap/>
            <w:vAlign w:val="bottom"/>
            <w:hideMark/>
          </w:tcPr>
          <w:p w14:paraId="41C641E7" w14:textId="77777777" w:rsidR="00F65938" w:rsidRDefault="00F65938">
            <w:pPr>
              <w:rPr>
                <w:rFonts w:ascii="Calibri" w:hAnsi="Calibri" w:cs="Calibri"/>
                <w:color w:val="000000"/>
              </w:rPr>
            </w:pPr>
            <w:r>
              <w:rPr>
                <w:rFonts w:ascii="Calibri" w:hAnsi="Calibri" w:cs="Calibri"/>
                <w:color w:val="000000"/>
              </w:rPr>
              <w:t>(No of days)</w:t>
            </w:r>
          </w:p>
        </w:tc>
        <w:tc>
          <w:tcPr>
            <w:tcW w:w="2420" w:type="dxa"/>
            <w:tcBorders>
              <w:top w:val="nil"/>
              <w:left w:val="nil"/>
              <w:bottom w:val="single" w:sz="4" w:space="0" w:color="auto"/>
              <w:right w:val="single" w:sz="4" w:space="0" w:color="auto"/>
            </w:tcBorders>
            <w:shd w:val="clear" w:color="auto" w:fill="auto"/>
            <w:noWrap/>
            <w:vAlign w:val="bottom"/>
            <w:hideMark/>
          </w:tcPr>
          <w:p w14:paraId="6DDB1474" w14:textId="77777777" w:rsidR="00F65938" w:rsidRDefault="00F65938">
            <w:pPr>
              <w:rPr>
                <w:rFonts w:ascii="Calibri" w:hAnsi="Calibri" w:cs="Calibri"/>
                <w:color w:val="000000"/>
              </w:rPr>
            </w:pPr>
            <w:r>
              <w:rPr>
                <w:rFonts w:ascii="Calibri" w:hAnsi="Calibri" w:cs="Calibri"/>
                <w:color w:val="000000"/>
              </w:rPr>
              <w:t> </w:t>
            </w:r>
          </w:p>
        </w:tc>
      </w:tr>
      <w:tr w:rsidR="00F65938" w14:paraId="37483963"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62CF6BC8" w14:textId="77777777" w:rsidR="00F65938" w:rsidRDefault="00F65938">
            <w:pPr>
              <w:rPr>
                <w:rFonts w:ascii="Calibri" w:hAnsi="Calibri" w:cs="Calibri"/>
                <w:color w:val="000000"/>
              </w:rPr>
            </w:pPr>
            <w:r>
              <w:rPr>
                <w:rFonts w:ascii="Calibri" w:hAnsi="Calibri" w:cs="Calibri"/>
                <w:color w:val="000000"/>
              </w:rPr>
              <w:t>Time with other Americans</w:t>
            </w:r>
          </w:p>
        </w:tc>
        <w:tc>
          <w:tcPr>
            <w:tcW w:w="3649" w:type="dxa"/>
            <w:tcBorders>
              <w:top w:val="nil"/>
              <w:left w:val="nil"/>
              <w:bottom w:val="single" w:sz="4" w:space="0" w:color="auto"/>
              <w:right w:val="single" w:sz="4" w:space="0" w:color="auto"/>
            </w:tcBorders>
            <w:shd w:val="clear" w:color="auto" w:fill="auto"/>
            <w:noWrap/>
            <w:vAlign w:val="bottom"/>
            <w:hideMark/>
          </w:tcPr>
          <w:p w14:paraId="4A66B252" w14:textId="77777777" w:rsidR="00F65938" w:rsidRDefault="00F65938">
            <w:pPr>
              <w:rPr>
                <w:rFonts w:ascii="Calibri" w:hAnsi="Calibri" w:cs="Calibri"/>
                <w:color w:val="000000"/>
              </w:rPr>
            </w:pPr>
            <w:r>
              <w:rPr>
                <w:rFonts w:ascii="Calibri" w:hAnsi="Calibri" w:cs="Calibri"/>
                <w:color w:val="000000"/>
              </w:rPr>
              <w:t>(Frequent/Sometimes/Rarely)</w:t>
            </w:r>
          </w:p>
        </w:tc>
        <w:tc>
          <w:tcPr>
            <w:tcW w:w="2420" w:type="dxa"/>
            <w:tcBorders>
              <w:top w:val="nil"/>
              <w:left w:val="nil"/>
              <w:bottom w:val="single" w:sz="4" w:space="0" w:color="auto"/>
              <w:right w:val="single" w:sz="4" w:space="0" w:color="auto"/>
            </w:tcBorders>
            <w:shd w:val="clear" w:color="auto" w:fill="auto"/>
            <w:noWrap/>
            <w:vAlign w:val="bottom"/>
            <w:hideMark/>
          </w:tcPr>
          <w:p w14:paraId="60D3C562" w14:textId="77777777" w:rsidR="00F65938" w:rsidRDefault="00F65938">
            <w:pPr>
              <w:rPr>
                <w:rFonts w:ascii="Calibri" w:hAnsi="Calibri" w:cs="Calibri"/>
                <w:color w:val="000000"/>
              </w:rPr>
            </w:pPr>
            <w:r>
              <w:rPr>
                <w:rFonts w:ascii="Calibri" w:hAnsi="Calibri" w:cs="Calibri"/>
                <w:color w:val="000000"/>
              </w:rPr>
              <w:t> </w:t>
            </w:r>
          </w:p>
        </w:tc>
      </w:tr>
      <w:tr w:rsidR="00F65938" w14:paraId="14F0CF5A"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68CE5D4F" w14:textId="77777777" w:rsidR="00F65938" w:rsidRDefault="00F65938">
            <w:pPr>
              <w:rPr>
                <w:rFonts w:ascii="Calibri" w:hAnsi="Calibri" w:cs="Calibri"/>
                <w:color w:val="000000"/>
              </w:rPr>
            </w:pPr>
            <w:r>
              <w:rPr>
                <w:rFonts w:ascii="Calibri" w:hAnsi="Calibri" w:cs="Calibri"/>
                <w:color w:val="000000"/>
              </w:rPr>
              <w:t>Travel in-country</w:t>
            </w:r>
          </w:p>
        </w:tc>
        <w:tc>
          <w:tcPr>
            <w:tcW w:w="3649" w:type="dxa"/>
            <w:tcBorders>
              <w:top w:val="nil"/>
              <w:left w:val="nil"/>
              <w:bottom w:val="single" w:sz="4" w:space="0" w:color="auto"/>
              <w:right w:val="single" w:sz="4" w:space="0" w:color="auto"/>
            </w:tcBorders>
            <w:shd w:val="clear" w:color="auto" w:fill="auto"/>
            <w:noWrap/>
            <w:vAlign w:val="bottom"/>
            <w:hideMark/>
          </w:tcPr>
          <w:p w14:paraId="4FDE9171" w14:textId="77777777" w:rsidR="00F65938" w:rsidRDefault="00F65938">
            <w:pPr>
              <w:rPr>
                <w:rFonts w:ascii="Calibri" w:hAnsi="Calibri" w:cs="Calibri"/>
                <w:color w:val="000000"/>
              </w:rPr>
            </w:pPr>
            <w:r>
              <w:rPr>
                <w:rFonts w:ascii="Calibri" w:hAnsi="Calibri" w:cs="Calibri"/>
                <w:color w:val="000000"/>
              </w:rPr>
              <w:t>(No of days)</w:t>
            </w:r>
          </w:p>
        </w:tc>
        <w:tc>
          <w:tcPr>
            <w:tcW w:w="2420" w:type="dxa"/>
            <w:tcBorders>
              <w:top w:val="nil"/>
              <w:left w:val="nil"/>
              <w:bottom w:val="single" w:sz="4" w:space="0" w:color="auto"/>
              <w:right w:val="single" w:sz="4" w:space="0" w:color="auto"/>
            </w:tcBorders>
            <w:shd w:val="clear" w:color="auto" w:fill="auto"/>
            <w:noWrap/>
            <w:vAlign w:val="bottom"/>
            <w:hideMark/>
          </w:tcPr>
          <w:p w14:paraId="287E6B8D" w14:textId="77777777" w:rsidR="00F65938" w:rsidRDefault="00F65938">
            <w:pPr>
              <w:rPr>
                <w:rFonts w:ascii="Calibri" w:hAnsi="Calibri" w:cs="Calibri"/>
                <w:color w:val="000000"/>
              </w:rPr>
            </w:pPr>
            <w:r>
              <w:rPr>
                <w:rFonts w:ascii="Calibri" w:hAnsi="Calibri" w:cs="Calibri"/>
                <w:color w:val="000000"/>
              </w:rPr>
              <w:t> </w:t>
            </w:r>
          </w:p>
        </w:tc>
      </w:tr>
      <w:tr w:rsidR="00F65938" w14:paraId="36E037BD" w14:textId="77777777" w:rsidTr="00F65938">
        <w:trPr>
          <w:trHeight w:val="360"/>
        </w:trPr>
        <w:tc>
          <w:tcPr>
            <w:tcW w:w="4511" w:type="dxa"/>
            <w:tcBorders>
              <w:top w:val="nil"/>
              <w:left w:val="single" w:sz="4" w:space="0" w:color="auto"/>
              <w:bottom w:val="single" w:sz="4" w:space="0" w:color="auto"/>
              <w:right w:val="single" w:sz="4" w:space="0" w:color="auto"/>
            </w:tcBorders>
            <w:shd w:val="clear" w:color="auto" w:fill="auto"/>
            <w:noWrap/>
            <w:vAlign w:val="bottom"/>
            <w:hideMark/>
          </w:tcPr>
          <w:p w14:paraId="754F5BFA" w14:textId="77777777" w:rsidR="00F65938" w:rsidRDefault="00F65938">
            <w:pPr>
              <w:rPr>
                <w:rFonts w:ascii="Calibri" w:hAnsi="Calibri" w:cs="Calibri"/>
                <w:color w:val="000000"/>
              </w:rPr>
            </w:pPr>
            <w:r>
              <w:rPr>
                <w:rFonts w:ascii="Calibri" w:hAnsi="Calibri" w:cs="Calibri"/>
                <w:color w:val="000000"/>
              </w:rPr>
              <w:t xml:space="preserve">Post-experience </w:t>
            </w:r>
            <w:proofErr w:type="gramStart"/>
            <w:r>
              <w:rPr>
                <w:rFonts w:ascii="Calibri" w:hAnsi="Calibri" w:cs="Calibri"/>
                <w:color w:val="000000"/>
              </w:rPr>
              <w:t>debrief</w:t>
            </w:r>
            <w:proofErr w:type="gramEnd"/>
          </w:p>
        </w:tc>
        <w:tc>
          <w:tcPr>
            <w:tcW w:w="3649" w:type="dxa"/>
            <w:tcBorders>
              <w:top w:val="nil"/>
              <w:left w:val="nil"/>
              <w:bottom w:val="single" w:sz="4" w:space="0" w:color="auto"/>
              <w:right w:val="single" w:sz="4" w:space="0" w:color="auto"/>
            </w:tcBorders>
            <w:shd w:val="clear" w:color="auto" w:fill="auto"/>
            <w:noWrap/>
            <w:vAlign w:val="bottom"/>
            <w:hideMark/>
          </w:tcPr>
          <w:p w14:paraId="00886D13" w14:textId="77777777" w:rsidR="00F65938" w:rsidRDefault="00F65938">
            <w:pPr>
              <w:rPr>
                <w:rFonts w:ascii="Calibri" w:hAnsi="Calibri" w:cs="Calibri"/>
                <w:color w:val="000000"/>
              </w:rPr>
            </w:pPr>
            <w:r>
              <w:rPr>
                <w:rFonts w:ascii="Calibri" w:hAnsi="Calibri" w:cs="Calibri"/>
                <w:color w:val="000000"/>
              </w:rPr>
              <w:t>(No of days)</w:t>
            </w:r>
          </w:p>
        </w:tc>
        <w:tc>
          <w:tcPr>
            <w:tcW w:w="2420" w:type="dxa"/>
            <w:tcBorders>
              <w:top w:val="nil"/>
              <w:left w:val="nil"/>
              <w:bottom w:val="single" w:sz="4" w:space="0" w:color="auto"/>
              <w:right w:val="single" w:sz="4" w:space="0" w:color="auto"/>
            </w:tcBorders>
            <w:shd w:val="clear" w:color="auto" w:fill="auto"/>
            <w:noWrap/>
            <w:vAlign w:val="bottom"/>
            <w:hideMark/>
          </w:tcPr>
          <w:p w14:paraId="0CCD3112" w14:textId="77777777" w:rsidR="00F65938" w:rsidRDefault="00F65938">
            <w:pPr>
              <w:rPr>
                <w:rFonts w:ascii="Calibri" w:hAnsi="Calibri" w:cs="Calibri"/>
                <w:color w:val="000000"/>
              </w:rPr>
            </w:pPr>
            <w:r>
              <w:rPr>
                <w:rFonts w:ascii="Calibri" w:hAnsi="Calibri" w:cs="Calibri"/>
                <w:color w:val="000000"/>
              </w:rPr>
              <w:t> </w:t>
            </w:r>
          </w:p>
        </w:tc>
      </w:tr>
      <w:tr w:rsidR="00F65938" w14:paraId="775EDD47" w14:textId="77777777" w:rsidTr="00F65938">
        <w:trPr>
          <w:trHeight w:val="360"/>
        </w:trPr>
        <w:tc>
          <w:tcPr>
            <w:tcW w:w="4511" w:type="dxa"/>
            <w:tcBorders>
              <w:top w:val="nil"/>
              <w:left w:val="nil"/>
              <w:bottom w:val="nil"/>
              <w:right w:val="nil"/>
            </w:tcBorders>
            <w:shd w:val="clear" w:color="auto" w:fill="auto"/>
            <w:noWrap/>
            <w:vAlign w:val="bottom"/>
            <w:hideMark/>
          </w:tcPr>
          <w:p w14:paraId="52C7157A" w14:textId="77777777" w:rsidR="00F65938" w:rsidRDefault="00F65938">
            <w:pPr>
              <w:rPr>
                <w:rFonts w:ascii="Calibri" w:hAnsi="Calibri" w:cs="Calibri"/>
                <w:color w:val="000000"/>
              </w:rPr>
            </w:pPr>
          </w:p>
        </w:tc>
        <w:tc>
          <w:tcPr>
            <w:tcW w:w="3649" w:type="dxa"/>
            <w:tcBorders>
              <w:top w:val="nil"/>
              <w:left w:val="nil"/>
              <w:bottom w:val="nil"/>
              <w:right w:val="nil"/>
            </w:tcBorders>
            <w:shd w:val="clear" w:color="auto" w:fill="auto"/>
            <w:noWrap/>
            <w:vAlign w:val="bottom"/>
            <w:hideMark/>
          </w:tcPr>
          <w:p w14:paraId="3A8FDA50" w14:textId="77777777" w:rsidR="00F65938" w:rsidRDefault="00F65938">
            <w:pPr>
              <w:rPr>
                <w:sz w:val="20"/>
                <w:szCs w:val="20"/>
              </w:rPr>
            </w:pPr>
          </w:p>
        </w:tc>
        <w:tc>
          <w:tcPr>
            <w:tcW w:w="2420" w:type="dxa"/>
            <w:tcBorders>
              <w:top w:val="nil"/>
              <w:left w:val="nil"/>
              <w:bottom w:val="nil"/>
              <w:right w:val="nil"/>
            </w:tcBorders>
            <w:shd w:val="clear" w:color="auto" w:fill="auto"/>
            <w:noWrap/>
            <w:vAlign w:val="bottom"/>
            <w:hideMark/>
          </w:tcPr>
          <w:p w14:paraId="3BB7059B" w14:textId="77777777" w:rsidR="00F65938" w:rsidRDefault="00F65938">
            <w:pPr>
              <w:rPr>
                <w:sz w:val="20"/>
                <w:szCs w:val="20"/>
              </w:rPr>
            </w:pPr>
          </w:p>
        </w:tc>
      </w:tr>
      <w:tr w:rsidR="00F65938" w14:paraId="410DC0DE" w14:textId="77777777" w:rsidTr="00F65938">
        <w:trPr>
          <w:trHeight w:val="320"/>
        </w:trPr>
        <w:tc>
          <w:tcPr>
            <w:tcW w:w="4511" w:type="dxa"/>
            <w:tcBorders>
              <w:top w:val="nil"/>
              <w:left w:val="nil"/>
              <w:bottom w:val="nil"/>
              <w:right w:val="nil"/>
            </w:tcBorders>
            <w:shd w:val="clear" w:color="auto" w:fill="auto"/>
            <w:noWrap/>
            <w:vAlign w:val="bottom"/>
            <w:hideMark/>
          </w:tcPr>
          <w:p w14:paraId="0D5BE20F" w14:textId="77777777" w:rsidR="00F65938" w:rsidRDefault="00F65938">
            <w:pPr>
              <w:rPr>
                <w:sz w:val="20"/>
                <w:szCs w:val="20"/>
              </w:rPr>
            </w:pPr>
          </w:p>
        </w:tc>
        <w:tc>
          <w:tcPr>
            <w:tcW w:w="3649" w:type="dxa"/>
            <w:tcBorders>
              <w:top w:val="nil"/>
              <w:left w:val="nil"/>
              <w:bottom w:val="nil"/>
              <w:right w:val="nil"/>
            </w:tcBorders>
            <w:shd w:val="clear" w:color="auto" w:fill="auto"/>
            <w:noWrap/>
            <w:vAlign w:val="bottom"/>
            <w:hideMark/>
          </w:tcPr>
          <w:p w14:paraId="18FC1745" w14:textId="77777777" w:rsidR="00F65938" w:rsidRDefault="00F65938">
            <w:pPr>
              <w:rPr>
                <w:sz w:val="20"/>
                <w:szCs w:val="20"/>
              </w:rPr>
            </w:pPr>
          </w:p>
        </w:tc>
        <w:tc>
          <w:tcPr>
            <w:tcW w:w="2420" w:type="dxa"/>
            <w:tcBorders>
              <w:top w:val="nil"/>
              <w:left w:val="nil"/>
              <w:bottom w:val="nil"/>
              <w:right w:val="nil"/>
            </w:tcBorders>
            <w:shd w:val="clear" w:color="auto" w:fill="auto"/>
            <w:noWrap/>
            <w:vAlign w:val="bottom"/>
            <w:hideMark/>
          </w:tcPr>
          <w:p w14:paraId="1A155FED" w14:textId="77777777" w:rsidR="00F65938" w:rsidRDefault="00F65938">
            <w:pPr>
              <w:rPr>
                <w:sz w:val="20"/>
                <w:szCs w:val="20"/>
              </w:rPr>
            </w:pPr>
          </w:p>
        </w:tc>
      </w:tr>
      <w:tr w:rsidR="00F65938" w14:paraId="4E22501B" w14:textId="77777777" w:rsidTr="00F65938">
        <w:trPr>
          <w:trHeight w:val="320"/>
        </w:trPr>
        <w:tc>
          <w:tcPr>
            <w:tcW w:w="10580" w:type="dxa"/>
            <w:gridSpan w:val="3"/>
            <w:tcBorders>
              <w:top w:val="nil"/>
              <w:left w:val="nil"/>
              <w:bottom w:val="nil"/>
              <w:right w:val="nil"/>
            </w:tcBorders>
            <w:shd w:val="clear" w:color="auto" w:fill="auto"/>
            <w:noWrap/>
            <w:vAlign w:val="bottom"/>
            <w:hideMark/>
          </w:tcPr>
          <w:p w14:paraId="47ACE036" w14:textId="77777777" w:rsidR="00F65938" w:rsidRDefault="00F65938">
            <w:pPr>
              <w:rPr>
                <w:rFonts w:ascii="Calibri" w:hAnsi="Calibri" w:cs="Calibri"/>
                <w:color w:val="000000"/>
              </w:rPr>
            </w:pPr>
            <w:r>
              <w:rPr>
                <w:rFonts w:ascii="Calibri" w:hAnsi="Calibri" w:cs="Calibri"/>
                <w:color w:val="000000"/>
              </w:rPr>
              <w:t>*Adapted from Whatley, M., Landon, A. C., Tarrant, M. A., &amp; Rubin, D. (2020) and Engle &amp; Engle (2004).</w:t>
            </w:r>
          </w:p>
        </w:tc>
      </w:tr>
    </w:tbl>
    <w:p w14:paraId="612BB564" w14:textId="77777777" w:rsidR="00AE2A19" w:rsidRDefault="00AE2A19" w:rsidP="004C1736">
      <w:pPr>
        <w:pStyle w:val="Heading3"/>
      </w:pPr>
    </w:p>
    <w:sectPr w:rsidR="00AE2A19">
      <w:headerReference w:type="even" r:id="rId22"/>
      <w:headerReference w:type="default" r:id="rId23"/>
      <w:footerReference w:type="even" r:id="rId24"/>
      <w:footerReference w:type="defaul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gela Miller" w:date="2020-08-10T13:43:00Z" w:initials="AM">
    <w:p w14:paraId="6AC78401" w14:textId="77777777" w:rsidR="001875F0" w:rsidRDefault="001875F0">
      <w:pPr>
        <w:pStyle w:val="CommentText"/>
      </w:pPr>
      <w:r>
        <w:rPr>
          <w:rStyle w:val="CommentReference"/>
        </w:rPr>
        <w:annotationRef/>
      </w:r>
      <w:r>
        <w:t>Bold not needed</w:t>
      </w:r>
    </w:p>
    <w:p w14:paraId="52976F53" w14:textId="2EA4290C" w:rsidR="001875F0" w:rsidRDefault="001875F0">
      <w:pPr>
        <w:pStyle w:val="CommentText"/>
      </w:pPr>
    </w:p>
  </w:comment>
  <w:comment w:id="1" w:author="Angela Miller" w:date="2020-08-10T13:44:00Z" w:initials="AM">
    <w:p w14:paraId="28FAEAB4" w14:textId="1DF17A15" w:rsidR="001875F0" w:rsidRDefault="001875F0">
      <w:pPr>
        <w:pStyle w:val="CommentText"/>
      </w:pPr>
      <w:r>
        <w:rPr>
          <w:rStyle w:val="CommentReference"/>
        </w:rPr>
        <w:annotationRef/>
      </w:r>
      <w:r>
        <w:t xml:space="preserve">This type of introduction to a literature review is usually only used in comprehensive review of the literature.  You need an abbreviated literature review to provide the justification for your study. </w:t>
      </w:r>
    </w:p>
  </w:comment>
  <w:comment w:id="2" w:author="Angela Miller" w:date="2020-08-10T13:50:00Z" w:initials="AM">
    <w:p w14:paraId="6A301382" w14:textId="6CC41B29" w:rsidR="001875F0" w:rsidRDefault="001875F0">
      <w:pPr>
        <w:pStyle w:val="CommentText"/>
      </w:pPr>
      <w:r>
        <w:rPr>
          <w:rStyle w:val="CommentReference"/>
        </w:rPr>
        <w:annotationRef/>
      </w:r>
      <w:r>
        <w:t xml:space="preserve">You do a nice job choosing a couple of studies to present details. </w:t>
      </w:r>
    </w:p>
  </w:comment>
  <w:comment w:id="3" w:author="Angela Miller" w:date="2020-08-10T13:51:00Z" w:initials="AM">
    <w:p w14:paraId="1CE1B60F" w14:textId="10DB3739" w:rsidR="004C6D63" w:rsidRDefault="004C6D63">
      <w:pPr>
        <w:pStyle w:val="CommentText"/>
      </w:pPr>
      <w:r>
        <w:rPr>
          <w:rStyle w:val="CommentReference"/>
        </w:rPr>
        <w:annotationRef/>
      </w:r>
      <w:r>
        <w:t xml:space="preserve">Nice job summarizing and connecting findings. </w:t>
      </w:r>
    </w:p>
  </w:comment>
  <w:comment w:id="4" w:author="Angela Miller" w:date="2020-08-10T13:51:00Z" w:initials="AM">
    <w:p w14:paraId="6F3E6A0E" w14:textId="2DA6F638" w:rsidR="004C6D63" w:rsidRDefault="004C6D63">
      <w:pPr>
        <w:pStyle w:val="CommentText"/>
      </w:pPr>
      <w:r>
        <w:rPr>
          <w:rStyle w:val="CommentReference"/>
        </w:rPr>
        <w:annotationRef/>
      </w:r>
      <w:r>
        <w:t xml:space="preserve">You are tackling a lot in one study—in reality this may better be accomplished by two studies. </w:t>
      </w:r>
    </w:p>
  </w:comment>
  <w:comment w:id="5" w:author="Angela Miller" w:date="2020-08-10T13:52:00Z" w:initials="AM">
    <w:p w14:paraId="769FEEB2" w14:textId="33BDA5F1" w:rsidR="004C6D63" w:rsidRDefault="004C6D63">
      <w:pPr>
        <w:pStyle w:val="CommentText"/>
      </w:pPr>
      <w:r>
        <w:rPr>
          <w:rStyle w:val="CommentReference"/>
        </w:rPr>
        <w:annotationRef/>
      </w:r>
      <w:r>
        <w:t xml:space="preserve">Might it be possible to recruit more broadly, why limit to 3 university---seems like this might be the kind of study where sending a call for participants to many study abroad offices would be helpful. </w:t>
      </w:r>
    </w:p>
  </w:comment>
  <w:comment w:id="6" w:author="Angela Miller" w:date="2020-08-10T13:53:00Z" w:initials="AM">
    <w:p w14:paraId="26157777" w14:textId="59B4DCE9" w:rsidR="004C6D63" w:rsidRDefault="004C6D63">
      <w:pPr>
        <w:pStyle w:val="CommentText"/>
      </w:pPr>
      <w:r>
        <w:rPr>
          <w:rStyle w:val="CommentReference"/>
        </w:rPr>
        <w:annotationRef/>
      </w:r>
      <w:r>
        <w:t xml:space="preserve">Most of this isn’t key to your study, especially since you are not trying to compare these 3 specific schools.  This is important contextual information perhaps…but not key variables. </w:t>
      </w:r>
    </w:p>
  </w:comment>
  <w:comment w:id="7" w:author="Angela Miller" w:date="2020-08-10T13:54:00Z" w:initials="AM">
    <w:p w14:paraId="63E743EA" w14:textId="58B6089D" w:rsidR="004C6D63" w:rsidRDefault="004C6D63">
      <w:pPr>
        <w:pStyle w:val="CommentText"/>
      </w:pPr>
      <w:r>
        <w:rPr>
          <w:rStyle w:val="CommentReference"/>
        </w:rPr>
        <w:annotationRef/>
      </w:r>
      <w:r>
        <w:t xml:space="preserve">35 who plan to be teachers might be difficult to recruit. </w:t>
      </w:r>
    </w:p>
  </w:comment>
  <w:comment w:id="8" w:author="Angela Miller" w:date="2020-08-10T13:55:00Z" w:initials="AM">
    <w:p w14:paraId="1F5770E1" w14:textId="74FEA069" w:rsidR="004C6D63" w:rsidRDefault="004C6D63">
      <w:pPr>
        <w:pStyle w:val="CommentText"/>
      </w:pPr>
      <w:r>
        <w:rPr>
          <w:rStyle w:val="CommentReference"/>
        </w:rPr>
        <w:annotationRef/>
      </w:r>
      <w:r>
        <w:t>Are reliabilities available from previous studies that have used this measure?</w:t>
      </w:r>
    </w:p>
  </w:comment>
  <w:comment w:id="9" w:author="Angela Miller" w:date="2020-08-10T13:56:00Z" w:initials="AM">
    <w:p w14:paraId="16EC5364" w14:textId="2EBEBA74" w:rsidR="004C6D63" w:rsidRDefault="004C6D63">
      <w:pPr>
        <w:pStyle w:val="CommentText"/>
      </w:pPr>
      <w:r>
        <w:rPr>
          <w:rStyle w:val="CommentReference"/>
        </w:rPr>
        <w:annotationRef/>
      </w:r>
      <w:r>
        <w:t xml:space="preserve">If it was created in 2011, then there should already be validity evidence. </w:t>
      </w:r>
    </w:p>
  </w:comment>
  <w:comment w:id="10" w:author="Angela Miller" w:date="2020-08-10T13:56:00Z" w:initials="AM">
    <w:p w14:paraId="65856136" w14:textId="6EB5F114" w:rsidR="004C6D63" w:rsidRDefault="004C6D63">
      <w:pPr>
        <w:pStyle w:val="CommentText"/>
      </w:pPr>
      <w:r>
        <w:rPr>
          <w:rStyle w:val="CommentReference"/>
        </w:rPr>
        <w:annotationRef/>
      </w:r>
      <w:r>
        <w:t xml:space="preserve">I’m unclear if you are building a new measure based on a theory from 2011 or if the measure itself was already created in 2011---if the latter is true, then is validity info should be in past tense. </w:t>
      </w:r>
    </w:p>
  </w:comment>
  <w:comment w:id="11" w:author="Angela Miller" w:date="2020-08-10T13:58:00Z" w:initials="AM">
    <w:p w14:paraId="2864E5D9" w14:textId="780EA57E" w:rsidR="004C6D63" w:rsidRDefault="004C6D63">
      <w:pPr>
        <w:pStyle w:val="CommentText"/>
      </w:pPr>
      <w:r>
        <w:rPr>
          <w:rStyle w:val="CommentReference"/>
        </w:rPr>
        <w:annotationRef/>
      </w:r>
      <w:r>
        <w:t>You haven’t said anything about interviews---seems like all of your procedures are online—so I am unclear what this means??</w:t>
      </w:r>
    </w:p>
  </w:comment>
  <w:comment w:id="12" w:author="Angela Miller" w:date="2020-08-10T13:59:00Z" w:initials="AM">
    <w:p w14:paraId="08760DA3" w14:textId="7B060BD6" w:rsidR="004C6D63" w:rsidRDefault="004C6D63">
      <w:pPr>
        <w:pStyle w:val="CommentText"/>
      </w:pPr>
      <w:r>
        <w:rPr>
          <w:rStyle w:val="CommentReference"/>
        </w:rPr>
        <w:annotationRef/>
      </w:r>
      <w:r>
        <w:t xml:space="preserve">Nice job explaining your threats and thinking about how to minimize alternative explanations. </w:t>
      </w:r>
    </w:p>
  </w:comment>
  <w:comment w:id="13" w:author="Angela Miller" w:date="2020-08-10T14:00:00Z" w:initials="AM">
    <w:p w14:paraId="3BA70B03" w14:textId="252C59B5" w:rsidR="004C6D63" w:rsidRDefault="004C6D63">
      <w:pPr>
        <w:pStyle w:val="CommentText"/>
      </w:pPr>
      <w:r>
        <w:rPr>
          <w:rStyle w:val="CommentReference"/>
        </w:rPr>
        <w:annotationRef/>
      </w:r>
      <w:r>
        <w:t>Based on your description of the CS—there are multiple IVs.</w:t>
      </w:r>
    </w:p>
  </w:comment>
  <w:comment w:id="14" w:author="Angela Miller" w:date="2020-08-10T14:00:00Z" w:initials="AM">
    <w:p w14:paraId="43FF8D87" w14:textId="6219819E" w:rsidR="004C6D63" w:rsidRDefault="004C6D63">
      <w:pPr>
        <w:pStyle w:val="CommentText"/>
      </w:pPr>
      <w:r>
        <w:rPr>
          <w:rStyle w:val="CommentReference"/>
        </w:rPr>
        <w:annotationRef/>
      </w:r>
      <w:r>
        <w:t>Is this a total score or are there scores for each of the 3 sub-domains?</w:t>
      </w:r>
    </w:p>
  </w:comment>
  <w:comment w:id="15" w:author="Angela Miller" w:date="2020-08-10T14:01:00Z" w:initials="AM">
    <w:p w14:paraId="6AC36D33" w14:textId="30AD925C" w:rsidR="00A20F5B" w:rsidRDefault="00A20F5B">
      <w:pPr>
        <w:pStyle w:val="CommentText"/>
      </w:pPr>
      <w:r>
        <w:rPr>
          <w:rStyle w:val="CommentReference"/>
        </w:rPr>
        <w:annotationRef/>
      </w:r>
      <w:r>
        <w:t xml:space="preserve">This may be a large number of programs…. Could be over 100, so ANOVA won’t work here.  Unless you mean that you are grouping by some sort of type of program—which you need to explain. </w:t>
      </w:r>
    </w:p>
  </w:comment>
  <w:comment w:id="16" w:author="Angela Miller" w:date="2020-08-10T14:02:00Z" w:initials="AM">
    <w:p w14:paraId="445903C6" w14:textId="76193739" w:rsidR="00A20F5B" w:rsidRDefault="00A20F5B">
      <w:pPr>
        <w:pStyle w:val="CommentText"/>
      </w:pPr>
      <w:r>
        <w:rPr>
          <w:rStyle w:val="CommentReference"/>
        </w:rPr>
        <w:annotationRef/>
      </w:r>
      <w:r>
        <w:t xml:space="preserve">Disaggregated by…?? This is unclear. </w:t>
      </w:r>
    </w:p>
  </w:comment>
  <w:comment w:id="17" w:author="Angela Miller" w:date="2020-08-10T14:02:00Z" w:initials="AM">
    <w:p w14:paraId="5E6583D7" w14:textId="4F669751" w:rsidR="00A20F5B" w:rsidRDefault="00A20F5B">
      <w:pPr>
        <w:pStyle w:val="CommentText"/>
      </w:pPr>
      <w:r>
        <w:rPr>
          <w:rStyle w:val="CommentReference"/>
        </w:rPr>
        <w:annotationRef/>
      </w:r>
      <w:r>
        <w:t xml:space="preserve">What groups?  This last part is confusing and not needed. </w:t>
      </w:r>
    </w:p>
  </w:comment>
  <w:comment w:id="18" w:author="Angela Miller" w:date="2020-08-10T14:03:00Z" w:initials="AM">
    <w:p w14:paraId="769FCABE" w14:textId="77777777" w:rsidR="00A20F5B" w:rsidRDefault="00A20F5B">
      <w:pPr>
        <w:pStyle w:val="CommentText"/>
      </w:pPr>
      <w:r>
        <w:rPr>
          <w:rStyle w:val="CommentReference"/>
        </w:rPr>
        <w:annotationRef/>
      </w:r>
      <w:r>
        <w:t>Font size should not change.</w:t>
      </w:r>
    </w:p>
    <w:p w14:paraId="0E2C4BAE" w14:textId="77777777" w:rsidR="00A20F5B" w:rsidRDefault="00A20F5B">
      <w:pPr>
        <w:pStyle w:val="CommentText"/>
      </w:pPr>
    </w:p>
    <w:p w14:paraId="6B143C63" w14:textId="316E6A59" w:rsidR="00A20F5B" w:rsidRDefault="00A20F5B">
      <w:pPr>
        <w:pStyle w:val="CommentText"/>
      </w:pPr>
      <w:r>
        <w:t xml:space="preserve">Some APA style errors, doi formatting incurred, missing dois.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976F53" w15:done="0"/>
  <w15:commentEx w15:paraId="28FAEAB4" w15:done="0"/>
  <w15:commentEx w15:paraId="6A301382" w15:done="0"/>
  <w15:commentEx w15:paraId="1CE1B60F" w15:done="0"/>
  <w15:commentEx w15:paraId="6F3E6A0E" w15:done="0"/>
  <w15:commentEx w15:paraId="769FEEB2" w15:done="0"/>
  <w15:commentEx w15:paraId="26157777" w15:done="0"/>
  <w15:commentEx w15:paraId="63E743EA" w15:done="0"/>
  <w15:commentEx w15:paraId="1F5770E1" w15:done="0"/>
  <w15:commentEx w15:paraId="16EC5364" w15:done="0"/>
  <w15:commentEx w15:paraId="65856136" w15:done="0"/>
  <w15:commentEx w15:paraId="2864E5D9" w15:done="0"/>
  <w15:commentEx w15:paraId="08760DA3" w15:done="0"/>
  <w15:commentEx w15:paraId="3BA70B03" w15:done="0"/>
  <w15:commentEx w15:paraId="43FF8D87" w15:done="0"/>
  <w15:commentEx w15:paraId="6AC36D33" w15:done="0"/>
  <w15:commentEx w15:paraId="445903C6" w15:done="0"/>
  <w15:commentEx w15:paraId="5E6583D7" w15:done="0"/>
  <w15:commentEx w15:paraId="6B143C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976F53" w16cid:durableId="24CA5CE6"/>
  <w16cid:commentId w16cid:paraId="28FAEAB4" w16cid:durableId="24CA5CE7"/>
  <w16cid:commentId w16cid:paraId="6A301382" w16cid:durableId="24CA5CE8"/>
  <w16cid:commentId w16cid:paraId="1CE1B60F" w16cid:durableId="24CA5CE9"/>
  <w16cid:commentId w16cid:paraId="6F3E6A0E" w16cid:durableId="24CA5CEA"/>
  <w16cid:commentId w16cid:paraId="769FEEB2" w16cid:durableId="24CA5CEB"/>
  <w16cid:commentId w16cid:paraId="26157777" w16cid:durableId="24CA5CEC"/>
  <w16cid:commentId w16cid:paraId="63E743EA" w16cid:durableId="24CA5CED"/>
  <w16cid:commentId w16cid:paraId="1F5770E1" w16cid:durableId="24CA5CEE"/>
  <w16cid:commentId w16cid:paraId="16EC5364" w16cid:durableId="24CA5CEF"/>
  <w16cid:commentId w16cid:paraId="65856136" w16cid:durableId="24CA5CF0"/>
  <w16cid:commentId w16cid:paraId="2864E5D9" w16cid:durableId="24CA5CF1"/>
  <w16cid:commentId w16cid:paraId="08760DA3" w16cid:durableId="24CA5CF2"/>
  <w16cid:commentId w16cid:paraId="3BA70B03" w16cid:durableId="24CA5CF3"/>
  <w16cid:commentId w16cid:paraId="43FF8D87" w16cid:durableId="24CA5CF4"/>
  <w16cid:commentId w16cid:paraId="6AC36D33" w16cid:durableId="24CA5CF5"/>
  <w16cid:commentId w16cid:paraId="445903C6" w16cid:durableId="24CA5CF6"/>
  <w16cid:commentId w16cid:paraId="5E6583D7" w16cid:durableId="24CA5CF7"/>
  <w16cid:commentId w16cid:paraId="6B143C63" w16cid:durableId="24CA5C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AC38" w14:textId="77777777" w:rsidR="009D3078" w:rsidRDefault="009D3078" w:rsidP="00930829">
      <w:r>
        <w:separator/>
      </w:r>
    </w:p>
  </w:endnote>
  <w:endnote w:type="continuationSeparator" w:id="0">
    <w:p w14:paraId="7863C089" w14:textId="77777777" w:rsidR="009D3078" w:rsidRDefault="009D3078" w:rsidP="0093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dobe Garamond Pro">
    <w:altName w:val="Adobe Garamond Pro"/>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8338971"/>
      <w:docPartObj>
        <w:docPartGallery w:val="Page Numbers (Bottom of Page)"/>
        <w:docPartUnique/>
      </w:docPartObj>
    </w:sdtPr>
    <w:sdtEndPr>
      <w:rPr>
        <w:rStyle w:val="PageNumber"/>
      </w:rPr>
    </w:sdtEndPr>
    <w:sdtContent>
      <w:p w14:paraId="095031D3" w14:textId="206FB2B1" w:rsidR="00A2183F" w:rsidRDefault="00A2183F" w:rsidP="00FE1D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A0F127" w14:textId="77777777" w:rsidR="00A2183F" w:rsidRDefault="00A2183F" w:rsidP="009308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1EDF" w14:textId="77777777" w:rsidR="00A2183F" w:rsidRDefault="00A2183F" w:rsidP="009308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AFBE" w14:textId="77777777" w:rsidR="009D3078" w:rsidRDefault="009D3078" w:rsidP="00930829">
      <w:r>
        <w:separator/>
      </w:r>
    </w:p>
  </w:footnote>
  <w:footnote w:type="continuationSeparator" w:id="0">
    <w:p w14:paraId="5732D85D" w14:textId="77777777" w:rsidR="009D3078" w:rsidRDefault="009D3078" w:rsidP="0093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6998873"/>
      <w:docPartObj>
        <w:docPartGallery w:val="Page Numbers (Top of Page)"/>
        <w:docPartUnique/>
      </w:docPartObj>
    </w:sdtPr>
    <w:sdtEndPr>
      <w:rPr>
        <w:rStyle w:val="PageNumber"/>
      </w:rPr>
    </w:sdtEndPr>
    <w:sdtContent>
      <w:p w14:paraId="2D6D96B4" w14:textId="5E5799BA" w:rsidR="00A2183F" w:rsidRDefault="00A2183F" w:rsidP="00FE1D6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21C41E" w14:textId="77777777" w:rsidR="00A2183F" w:rsidRDefault="00A2183F" w:rsidP="004C173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151801"/>
      <w:docPartObj>
        <w:docPartGallery w:val="Page Numbers (Top of Page)"/>
        <w:docPartUnique/>
      </w:docPartObj>
    </w:sdtPr>
    <w:sdtEndPr>
      <w:rPr>
        <w:rStyle w:val="PageNumber"/>
      </w:rPr>
    </w:sdtEndPr>
    <w:sdtContent>
      <w:p w14:paraId="04FFE2B0" w14:textId="7E4A867D" w:rsidR="00A2183F" w:rsidRDefault="00A2183F" w:rsidP="00FE1D6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20F5B">
          <w:rPr>
            <w:rStyle w:val="PageNumber"/>
            <w:noProof/>
          </w:rPr>
          <w:t>24</w:t>
        </w:r>
        <w:r>
          <w:rPr>
            <w:rStyle w:val="PageNumber"/>
          </w:rPr>
          <w:fldChar w:fldCharType="end"/>
        </w:r>
      </w:p>
    </w:sdtContent>
  </w:sdt>
  <w:p w14:paraId="49D82B3F" w14:textId="442A3720" w:rsidR="00A2183F" w:rsidRDefault="00A2183F" w:rsidP="004C1736">
    <w:pPr>
      <w:pStyle w:val="Header"/>
      <w:ind w:right="360"/>
    </w:pPr>
    <w:r>
      <w:t>GLOBAL COMPETENCE THROUGH STUDY ABROAD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085"/>
    <w:multiLevelType w:val="hybridMultilevel"/>
    <w:tmpl w:val="ECDAFD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A628E"/>
    <w:multiLevelType w:val="hybridMultilevel"/>
    <w:tmpl w:val="DB166458"/>
    <w:lvl w:ilvl="0" w:tplc="21143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924C76"/>
    <w:multiLevelType w:val="hybridMultilevel"/>
    <w:tmpl w:val="C394B008"/>
    <w:lvl w:ilvl="0" w:tplc="A3EAB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A508AB"/>
    <w:multiLevelType w:val="hybridMultilevel"/>
    <w:tmpl w:val="96F0FA30"/>
    <w:lvl w:ilvl="0" w:tplc="04090003">
      <w:start w:val="1"/>
      <w:numFmt w:val="bullet"/>
      <w:lvlText w:val="o"/>
      <w:lvlJc w:val="left"/>
      <w:pPr>
        <w:ind w:left="1280" w:hanging="360"/>
      </w:pPr>
      <w:rPr>
        <w:rFonts w:ascii="Courier New" w:hAnsi="Courier New" w:cs="Courier New"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4" w15:restartNumberingAfterBreak="0">
    <w:nsid w:val="56A37F05"/>
    <w:multiLevelType w:val="hybridMultilevel"/>
    <w:tmpl w:val="CD5CE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864937"/>
    <w:multiLevelType w:val="hybridMultilevel"/>
    <w:tmpl w:val="6520022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F457F0A"/>
    <w:multiLevelType w:val="hybridMultilevel"/>
    <w:tmpl w:val="88A6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a Miller">
    <w15:presenceInfo w15:providerId="AD" w15:userId="S-1-5-21-313377636-3159528848-1351084975-261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C99"/>
    <w:rsid w:val="00013808"/>
    <w:rsid w:val="0008135C"/>
    <w:rsid w:val="000975A8"/>
    <w:rsid w:val="000D0C01"/>
    <w:rsid w:val="00107A91"/>
    <w:rsid w:val="00111078"/>
    <w:rsid w:val="00140EB4"/>
    <w:rsid w:val="001729D0"/>
    <w:rsid w:val="00173F06"/>
    <w:rsid w:val="00174A1B"/>
    <w:rsid w:val="001875F0"/>
    <w:rsid w:val="00192044"/>
    <w:rsid w:val="001B099E"/>
    <w:rsid w:val="001B0EBE"/>
    <w:rsid w:val="001B4B6A"/>
    <w:rsid w:val="001C2C24"/>
    <w:rsid w:val="001C4640"/>
    <w:rsid w:val="001C6A2E"/>
    <w:rsid w:val="001D64C0"/>
    <w:rsid w:val="001F085D"/>
    <w:rsid w:val="00214AF6"/>
    <w:rsid w:val="002251F8"/>
    <w:rsid w:val="00232C31"/>
    <w:rsid w:val="00250895"/>
    <w:rsid w:val="00255467"/>
    <w:rsid w:val="00261185"/>
    <w:rsid w:val="002659E0"/>
    <w:rsid w:val="002718AA"/>
    <w:rsid w:val="002744EB"/>
    <w:rsid w:val="00293FF6"/>
    <w:rsid w:val="00297BF6"/>
    <w:rsid w:val="002D1637"/>
    <w:rsid w:val="002F1739"/>
    <w:rsid w:val="00300503"/>
    <w:rsid w:val="00354859"/>
    <w:rsid w:val="003735F3"/>
    <w:rsid w:val="00384267"/>
    <w:rsid w:val="003960CC"/>
    <w:rsid w:val="003B3715"/>
    <w:rsid w:val="003D6E25"/>
    <w:rsid w:val="004074B8"/>
    <w:rsid w:val="00432452"/>
    <w:rsid w:val="004860AA"/>
    <w:rsid w:val="004C1736"/>
    <w:rsid w:val="004C6D63"/>
    <w:rsid w:val="004E2F59"/>
    <w:rsid w:val="004E4500"/>
    <w:rsid w:val="004F3BEF"/>
    <w:rsid w:val="00520ED3"/>
    <w:rsid w:val="00522DA9"/>
    <w:rsid w:val="00534414"/>
    <w:rsid w:val="00564746"/>
    <w:rsid w:val="005B665A"/>
    <w:rsid w:val="005D503F"/>
    <w:rsid w:val="005F2979"/>
    <w:rsid w:val="00600920"/>
    <w:rsid w:val="006217CE"/>
    <w:rsid w:val="006517D4"/>
    <w:rsid w:val="00673C52"/>
    <w:rsid w:val="006C53C1"/>
    <w:rsid w:val="006E3CBF"/>
    <w:rsid w:val="00701CFD"/>
    <w:rsid w:val="0071737F"/>
    <w:rsid w:val="00736A5F"/>
    <w:rsid w:val="007526E7"/>
    <w:rsid w:val="007C4F18"/>
    <w:rsid w:val="007E388E"/>
    <w:rsid w:val="007F16B1"/>
    <w:rsid w:val="007F5771"/>
    <w:rsid w:val="00840754"/>
    <w:rsid w:val="0084426E"/>
    <w:rsid w:val="0085564E"/>
    <w:rsid w:val="008F285D"/>
    <w:rsid w:val="00920CBF"/>
    <w:rsid w:val="0092210F"/>
    <w:rsid w:val="009271DF"/>
    <w:rsid w:val="00930829"/>
    <w:rsid w:val="0094092D"/>
    <w:rsid w:val="0095441A"/>
    <w:rsid w:val="00980EFA"/>
    <w:rsid w:val="009879BC"/>
    <w:rsid w:val="00993F5E"/>
    <w:rsid w:val="009A02F8"/>
    <w:rsid w:val="009C74CA"/>
    <w:rsid w:val="009D3078"/>
    <w:rsid w:val="009F5AA0"/>
    <w:rsid w:val="00A20F5B"/>
    <w:rsid w:val="00A2183F"/>
    <w:rsid w:val="00A267A9"/>
    <w:rsid w:val="00AD6642"/>
    <w:rsid w:val="00AE2A19"/>
    <w:rsid w:val="00AE7087"/>
    <w:rsid w:val="00B24400"/>
    <w:rsid w:val="00B307DE"/>
    <w:rsid w:val="00B31DD0"/>
    <w:rsid w:val="00B36A2B"/>
    <w:rsid w:val="00B657F8"/>
    <w:rsid w:val="00B77C5D"/>
    <w:rsid w:val="00B9251A"/>
    <w:rsid w:val="00BD32A7"/>
    <w:rsid w:val="00BE4D8E"/>
    <w:rsid w:val="00C10ADE"/>
    <w:rsid w:val="00C17BCE"/>
    <w:rsid w:val="00C475CB"/>
    <w:rsid w:val="00C56B2B"/>
    <w:rsid w:val="00C66C99"/>
    <w:rsid w:val="00C74601"/>
    <w:rsid w:val="00C868BF"/>
    <w:rsid w:val="00C874EC"/>
    <w:rsid w:val="00C97BD6"/>
    <w:rsid w:val="00CA30F4"/>
    <w:rsid w:val="00CA7D90"/>
    <w:rsid w:val="00D04E56"/>
    <w:rsid w:val="00D2048E"/>
    <w:rsid w:val="00D207B7"/>
    <w:rsid w:val="00D54FF1"/>
    <w:rsid w:val="00D60ED8"/>
    <w:rsid w:val="00D954D9"/>
    <w:rsid w:val="00D95D3F"/>
    <w:rsid w:val="00DA1073"/>
    <w:rsid w:val="00DC410A"/>
    <w:rsid w:val="00DD6696"/>
    <w:rsid w:val="00E279A1"/>
    <w:rsid w:val="00E45CB1"/>
    <w:rsid w:val="00ED6C27"/>
    <w:rsid w:val="00EF7E9C"/>
    <w:rsid w:val="00F168DD"/>
    <w:rsid w:val="00F32B96"/>
    <w:rsid w:val="00F469C0"/>
    <w:rsid w:val="00F65938"/>
    <w:rsid w:val="00FD4B21"/>
    <w:rsid w:val="00FE1D63"/>
    <w:rsid w:val="00FE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8FE6"/>
  <w15:chartTrackingRefBased/>
  <w15:docId w15:val="{60E963B6-CFDF-2240-AE84-3424C189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A19"/>
    <w:rPr>
      <w:rFonts w:ascii="Times New Roman" w:eastAsia="Times New Roman" w:hAnsi="Times New Roman" w:cs="Times New Roman"/>
    </w:rPr>
  </w:style>
  <w:style w:type="paragraph" w:styleId="Heading3">
    <w:name w:val="heading 3"/>
    <w:basedOn w:val="Normal"/>
    <w:link w:val="Heading3Char"/>
    <w:uiPriority w:val="9"/>
    <w:qFormat/>
    <w:rsid w:val="00C66C9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6C99"/>
    <w:rPr>
      <w:rFonts w:ascii="Times New Roman" w:eastAsia="Times New Roman" w:hAnsi="Times New Roman" w:cs="Times New Roman"/>
      <w:b/>
      <w:bCs/>
      <w:sz w:val="27"/>
      <w:szCs w:val="27"/>
    </w:rPr>
  </w:style>
  <w:style w:type="character" w:styleId="Hyperlink">
    <w:name w:val="Hyperlink"/>
    <w:uiPriority w:val="99"/>
    <w:unhideWhenUsed/>
    <w:rsid w:val="00C66C99"/>
    <w:rPr>
      <w:color w:val="0000FF"/>
      <w:u w:val="single"/>
    </w:rPr>
  </w:style>
  <w:style w:type="character" w:customStyle="1" w:styleId="hithilite">
    <w:name w:val="hithilite"/>
    <w:basedOn w:val="DefaultParagraphFont"/>
    <w:rsid w:val="00C66C99"/>
  </w:style>
  <w:style w:type="character" w:customStyle="1" w:styleId="A3">
    <w:name w:val="A3"/>
    <w:uiPriority w:val="99"/>
    <w:rsid w:val="00C66C99"/>
    <w:rPr>
      <w:rFonts w:cs="Adobe Garamond Pro"/>
      <w:i/>
      <w:iCs/>
      <w:color w:val="000000"/>
      <w:sz w:val="20"/>
      <w:szCs w:val="20"/>
    </w:rPr>
  </w:style>
  <w:style w:type="character" w:customStyle="1" w:styleId="frlabel">
    <w:name w:val="fr_label"/>
    <w:basedOn w:val="DefaultParagraphFont"/>
    <w:rsid w:val="00C66C99"/>
  </w:style>
  <w:style w:type="character" w:customStyle="1" w:styleId="authors">
    <w:name w:val="authors"/>
    <w:basedOn w:val="DefaultParagraphFont"/>
    <w:rsid w:val="00C66C99"/>
  </w:style>
  <w:style w:type="character" w:customStyle="1" w:styleId="Date1">
    <w:name w:val="Date1"/>
    <w:basedOn w:val="DefaultParagraphFont"/>
    <w:rsid w:val="00C66C99"/>
  </w:style>
  <w:style w:type="character" w:customStyle="1" w:styleId="arttitle">
    <w:name w:val="art_title"/>
    <w:basedOn w:val="DefaultParagraphFont"/>
    <w:rsid w:val="00C66C99"/>
  </w:style>
  <w:style w:type="character" w:customStyle="1" w:styleId="serialtitle">
    <w:name w:val="serial_title"/>
    <w:basedOn w:val="DefaultParagraphFont"/>
    <w:rsid w:val="00C66C99"/>
  </w:style>
  <w:style w:type="character" w:customStyle="1" w:styleId="volumeissue">
    <w:name w:val="volume_issue"/>
    <w:basedOn w:val="DefaultParagraphFont"/>
    <w:rsid w:val="00C66C99"/>
  </w:style>
  <w:style w:type="character" w:customStyle="1" w:styleId="pagerange">
    <w:name w:val="page_range"/>
    <w:basedOn w:val="DefaultParagraphFont"/>
    <w:rsid w:val="00C66C99"/>
  </w:style>
  <w:style w:type="character" w:customStyle="1" w:styleId="doilink">
    <w:name w:val="doi_link"/>
    <w:basedOn w:val="DefaultParagraphFont"/>
    <w:rsid w:val="00C66C99"/>
  </w:style>
  <w:style w:type="paragraph" w:customStyle="1" w:styleId="Default">
    <w:name w:val="Default"/>
    <w:rsid w:val="00C66C99"/>
    <w:pPr>
      <w:autoSpaceDE w:val="0"/>
      <w:autoSpaceDN w:val="0"/>
      <w:adjustRightInd w:val="0"/>
    </w:pPr>
    <w:rPr>
      <w:rFonts w:ascii="Times New Roman" w:hAnsi="Times New Roman" w:cs="Times New Roman"/>
      <w:color w:val="000000"/>
    </w:rPr>
  </w:style>
  <w:style w:type="character" w:customStyle="1" w:styleId="lrzxr">
    <w:name w:val="lrzxr"/>
    <w:basedOn w:val="DefaultParagraphFont"/>
    <w:rsid w:val="001C2C24"/>
  </w:style>
  <w:style w:type="paragraph" w:styleId="BalloonText">
    <w:name w:val="Balloon Text"/>
    <w:basedOn w:val="Normal"/>
    <w:link w:val="BalloonTextChar"/>
    <w:uiPriority w:val="99"/>
    <w:semiHidden/>
    <w:unhideWhenUsed/>
    <w:rsid w:val="00930829"/>
    <w:rPr>
      <w:sz w:val="18"/>
      <w:szCs w:val="18"/>
    </w:rPr>
  </w:style>
  <w:style w:type="character" w:customStyle="1" w:styleId="BalloonTextChar">
    <w:name w:val="Balloon Text Char"/>
    <w:basedOn w:val="DefaultParagraphFont"/>
    <w:link w:val="BalloonText"/>
    <w:uiPriority w:val="99"/>
    <w:semiHidden/>
    <w:rsid w:val="00930829"/>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930829"/>
    <w:pPr>
      <w:tabs>
        <w:tab w:val="center" w:pos="4680"/>
        <w:tab w:val="right" w:pos="9360"/>
      </w:tabs>
    </w:pPr>
  </w:style>
  <w:style w:type="character" w:customStyle="1" w:styleId="FooterChar">
    <w:name w:val="Footer Char"/>
    <w:basedOn w:val="DefaultParagraphFont"/>
    <w:link w:val="Footer"/>
    <w:uiPriority w:val="99"/>
    <w:rsid w:val="00930829"/>
    <w:rPr>
      <w:rFonts w:ascii="Times New Roman" w:eastAsia="Times New Roman" w:hAnsi="Times New Roman" w:cs="Times New Roman"/>
    </w:rPr>
  </w:style>
  <w:style w:type="character" w:styleId="PageNumber">
    <w:name w:val="page number"/>
    <w:basedOn w:val="DefaultParagraphFont"/>
    <w:uiPriority w:val="99"/>
    <w:semiHidden/>
    <w:unhideWhenUsed/>
    <w:rsid w:val="00930829"/>
  </w:style>
  <w:style w:type="paragraph" w:styleId="NormalWeb">
    <w:name w:val="Normal (Web)"/>
    <w:basedOn w:val="Normal"/>
    <w:uiPriority w:val="99"/>
    <w:semiHidden/>
    <w:unhideWhenUsed/>
    <w:rsid w:val="004E4500"/>
    <w:pPr>
      <w:spacing w:before="100" w:beforeAutospacing="1" w:after="100" w:afterAutospacing="1"/>
    </w:pPr>
  </w:style>
  <w:style w:type="character" w:styleId="Emphasis">
    <w:name w:val="Emphasis"/>
    <w:basedOn w:val="DefaultParagraphFont"/>
    <w:uiPriority w:val="20"/>
    <w:qFormat/>
    <w:rsid w:val="004E4500"/>
    <w:rPr>
      <w:i/>
      <w:iCs/>
    </w:rPr>
  </w:style>
  <w:style w:type="character" w:styleId="Strong">
    <w:name w:val="Strong"/>
    <w:basedOn w:val="DefaultParagraphFont"/>
    <w:uiPriority w:val="22"/>
    <w:qFormat/>
    <w:rsid w:val="004E4500"/>
    <w:rPr>
      <w:b/>
      <w:bCs/>
    </w:rPr>
  </w:style>
  <w:style w:type="table" w:styleId="TableGrid">
    <w:name w:val="Table Grid"/>
    <w:basedOn w:val="TableNormal"/>
    <w:uiPriority w:val="39"/>
    <w:rsid w:val="004E4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500"/>
    <w:pPr>
      <w:ind w:left="720"/>
      <w:contextualSpacing/>
    </w:pPr>
  </w:style>
  <w:style w:type="paragraph" w:styleId="Header">
    <w:name w:val="header"/>
    <w:basedOn w:val="Normal"/>
    <w:link w:val="HeaderChar"/>
    <w:uiPriority w:val="99"/>
    <w:unhideWhenUsed/>
    <w:rsid w:val="004C1736"/>
    <w:pPr>
      <w:tabs>
        <w:tab w:val="center" w:pos="4680"/>
        <w:tab w:val="right" w:pos="9360"/>
      </w:tabs>
    </w:pPr>
  </w:style>
  <w:style w:type="character" w:customStyle="1" w:styleId="HeaderChar">
    <w:name w:val="Header Char"/>
    <w:basedOn w:val="DefaultParagraphFont"/>
    <w:link w:val="Header"/>
    <w:uiPriority w:val="99"/>
    <w:rsid w:val="004C1736"/>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4C1736"/>
    <w:rPr>
      <w:color w:val="605E5C"/>
      <w:shd w:val="clear" w:color="auto" w:fill="E1DFDD"/>
    </w:rPr>
  </w:style>
  <w:style w:type="character" w:styleId="FollowedHyperlink">
    <w:name w:val="FollowedHyperlink"/>
    <w:basedOn w:val="DefaultParagraphFont"/>
    <w:uiPriority w:val="99"/>
    <w:semiHidden/>
    <w:unhideWhenUsed/>
    <w:rsid w:val="006E3CBF"/>
    <w:rPr>
      <w:color w:val="954F72" w:themeColor="followedHyperlink"/>
      <w:u w:val="single"/>
    </w:rPr>
  </w:style>
  <w:style w:type="paragraph" w:styleId="NoSpacing">
    <w:name w:val="No Spacing"/>
    <w:uiPriority w:val="1"/>
    <w:qFormat/>
    <w:rsid w:val="006E3CB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92044"/>
    <w:rPr>
      <w:sz w:val="16"/>
      <w:szCs w:val="16"/>
    </w:rPr>
  </w:style>
  <w:style w:type="paragraph" w:styleId="CommentText">
    <w:name w:val="annotation text"/>
    <w:basedOn w:val="Normal"/>
    <w:link w:val="CommentTextChar"/>
    <w:uiPriority w:val="99"/>
    <w:semiHidden/>
    <w:unhideWhenUsed/>
    <w:rsid w:val="00192044"/>
    <w:rPr>
      <w:sz w:val="20"/>
      <w:szCs w:val="20"/>
    </w:rPr>
  </w:style>
  <w:style w:type="character" w:customStyle="1" w:styleId="CommentTextChar">
    <w:name w:val="Comment Text Char"/>
    <w:basedOn w:val="DefaultParagraphFont"/>
    <w:link w:val="CommentText"/>
    <w:uiPriority w:val="99"/>
    <w:semiHidden/>
    <w:rsid w:val="001920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2044"/>
    <w:rPr>
      <w:b/>
      <w:bCs/>
    </w:rPr>
  </w:style>
  <w:style w:type="character" w:customStyle="1" w:styleId="CommentSubjectChar">
    <w:name w:val="Comment Subject Char"/>
    <w:basedOn w:val="CommentTextChar"/>
    <w:link w:val="CommentSubject"/>
    <w:uiPriority w:val="99"/>
    <w:semiHidden/>
    <w:rsid w:val="00192044"/>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ED6C27"/>
    <w:rPr>
      <w:color w:val="605E5C"/>
      <w:shd w:val="clear" w:color="auto" w:fill="E1DFDD"/>
    </w:rPr>
  </w:style>
  <w:style w:type="paragraph" w:styleId="Revision">
    <w:name w:val="Revision"/>
    <w:hidden/>
    <w:uiPriority w:val="99"/>
    <w:semiHidden/>
    <w:rsid w:val="008407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25075">
      <w:bodyDiv w:val="1"/>
      <w:marLeft w:val="0"/>
      <w:marRight w:val="0"/>
      <w:marTop w:val="0"/>
      <w:marBottom w:val="0"/>
      <w:divBdr>
        <w:top w:val="none" w:sz="0" w:space="0" w:color="auto"/>
        <w:left w:val="none" w:sz="0" w:space="0" w:color="auto"/>
        <w:bottom w:val="none" w:sz="0" w:space="0" w:color="auto"/>
        <w:right w:val="none" w:sz="0" w:space="0" w:color="auto"/>
      </w:divBdr>
    </w:div>
    <w:div w:id="587807225">
      <w:bodyDiv w:val="1"/>
      <w:marLeft w:val="0"/>
      <w:marRight w:val="0"/>
      <w:marTop w:val="0"/>
      <w:marBottom w:val="0"/>
      <w:divBdr>
        <w:top w:val="none" w:sz="0" w:space="0" w:color="auto"/>
        <w:left w:val="none" w:sz="0" w:space="0" w:color="auto"/>
        <w:bottom w:val="none" w:sz="0" w:space="0" w:color="auto"/>
        <w:right w:val="none" w:sz="0" w:space="0" w:color="auto"/>
      </w:divBdr>
      <w:divsChild>
        <w:div w:id="2040081315">
          <w:marLeft w:val="0"/>
          <w:marRight w:val="0"/>
          <w:marTop w:val="0"/>
          <w:marBottom w:val="240"/>
          <w:divBdr>
            <w:top w:val="none" w:sz="0" w:space="0" w:color="auto"/>
            <w:left w:val="none" w:sz="0" w:space="0" w:color="auto"/>
            <w:bottom w:val="none" w:sz="0" w:space="0" w:color="auto"/>
            <w:right w:val="none" w:sz="0" w:space="0" w:color="auto"/>
          </w:divBdr>
        </w:div>
      </w:divsChild>
    </w:div>
    <w:div w:id="629166808">
      <w:bodyDiv w:val="1"/>
      <w:marLeft w:val="0"/>
      <w:marRight w:val="0"/>
      <w:marTop w:val="0"/>
      <w:marBottom w:val="0"/>
      <w:divBdr>
        <w:top w:val="none" w:sz="0" w:space="0" w:color="auto"/>
        <w:left w:val="none" w:sz="0" w:space="0" w:color="auto"/>
        <w:bottom w:val="none" w:sz="0" w:space="0" w:color="auto"/>
        <w:right w:val="none" w:sz="0" w:space="0" w:color="auto"/>
      </w:divBdr>
    </w:div>
    <w:div w:id="708259374">
      <w:bodyDiv w:val="1"/>
      <w:marLeft w:val="0"/>
      <w:marRight w:val="0"/>
      <w:marTop w:val="0"/>
      <w:marBottom w:val="0"/>
      <w:divBdr>
        <w:top w:val="none" w:sz="0" w:space="0" w:color="auto"/>
        <w:left w:val="none" w:sz="0" w:space="0" w:color="auto"/>
        <w:bottom w:val="none" w:sz="0" w:space="0" w:color="auto"/>
        <w:right w:val="none" w:sz="0" w:space="0" w:color="auto"/>
      </w:divBdr>
    </w:div>
    <w:div w:id="856893333">
      <w:bodyDiv w:val="1"/>
      <w:marLeft w:val="0"/>
      <w:marRight w:val="0"/>
      <w:marTop w:val="0"/>
      <w:marBottom w:val="0"/>
      <w:divBdr>
        <w:top w:val="none" w:sz="0" w:space="0" w:color="auto"/>
        <w:left w:val="none" w:sz="0" w:space="0" w:color="auto"/>
        <w:bottom w:val="none" w:sz="0" w:space="0" w:color="auto"/>
        <w:right w:val="none" w:sz="0" w:space="0" w:color="auto"/>
      </w:divBdr>
    </w:div>
    <w:div w:id="1036269288">
      <w:bodyDiv w:val="1"/>
      <w:marLeft w:val="0"/>
      <w:marRight w:val="0"/>
      <w:marTop w:val="0"/>
      <w:marBottom w:val="0"/>
      <w:divBdr>
        <w:top w:val="none" w:sz="0" w:space="0" w:color="auto"/>
        <w:left w:val="none" w:sz="0" w:space="0" w:color="auto"/>
        <w:bottom w:val="none" w:sz="0" w:space="0" w:color="auto"/>
        <w:right w:val="none" w:sz="0" w:space="0" w:color="auto"/>
      </w:divBdr>
    </w:div>
    <w:div w:id="1222516728">
      <w:bodyDiv w:val="1"/>
      <w:marLeft w:val="0"/>
      <w:marRight w:val="0"/>
      <w:marTop w:val="0"/>
      <w:marBottom w:val="0"/>
      <w:divBdr>
        <w:top w:val="none" w:sz="0" w:space="0" w:color="auto"/>
        <w:left w:val="none" w:sz="0" w:space="0" w:color="auto"/>
        <w:bottom w:val="none" w:sz="0" w:space="0" w:color="auto"/>
        <w:right w:val="none" w:sz="0" w:space="0" w:color="auto"/>
      </w:divBdr>
    </w:div>
    <w:div w:id="1349452248">
      <w:bodyDiv w:val="1"/>
      <w:marLeft w:val="0"/>
      <w:marRight w:val="0"/>
      <w:marTop w:val="0"/>
      <w:marBottom w:val="0"/>
      <w:divBdr>
        <w:top w:val="none" w:sz="0" w:space="0" w:color="auto"/>
        <w:left w:val="none" w:sz="0" w:space="0" w:color="auto"/>
        <w:bottom w:val="none" w:sz="0" w:space="0" w:color="auto"/>
        <w:right w:val="none" w:sz="0" w:space="0" w:color="auto"/>
      </w:divBdr>
    </w:div>
    <w:div w:id="1381438126">
      <w:bodyDiv w:val="1"/>
      <w:marLeft w:val="0"/>
      <w:marRight w:val="0"/>
      <w:marTop w:val="0"/>
      <w:marBottom w:val="0"/>
      <w:divBdr>
        <w:top w:val="none" w:sz="0" w:space="0" w:color="auto"/>
        <w:left w:val="none" w:sz="0" w:space="0" w:color="auto"/>
        <w:bottom w:val="none" w:sz="0" w:space="0" w:color="auto"/>
        <w:right w:val="none" w:sz="0" w:space="0" w:color="auto"/>
      </w:divBdr>
    </w:div>
    <w:div w:id="1478760026">
      <w:bodyDiv w:val="1"/>
      <w:marLeft w:val="0"/>
      <w:marRight w:val="0"/>
      <w:marTop w:val="0"/>
      <w:marBottom w:val="0"/>
      <w:divBdr>
        <w:top w:val="none" w:sz="0" w:space="0" w:color="auto"/>
        <w:left w:val="none" w:sz="0" w:space="0" w:color="auto"/>
        <w:bottom w:val="none" w:sz="0" w:space="0" w:color="auto"/>
        <w:right w:val="none" w:sz="0" w:space="0" w:color="auto"/>
      </w:divBdr>
      <w:divsChild>
        <w:div w:id="549994826">
          <w:marLeft w:val="0"/>
          <w:marRight w:val="0"/>
          <w:marTop w:val="0"/>
          <w:marBottom w:val="240"/>
          <w:divBdr>
            <w:top w:val="none" w:sz="0" w:space="0" w:color="auto"/>
            <w:left w:val="none" w:sz="0" w:space="0" w:color="auto"/>
            <w:bottom w:val="none" w:sz="0" w:space="0" w:color="auto"/>
            <w:right w:val="none" w:sz="0" w:space="0" w:color="auto"/>
          </w:divBdr>
        </w:div>
      </w:divsChild>
    </w:div>
    <w:div w:id="1483502621">
      <w:bodyDiv w:val="1"/>
      <w:marLeft w:val="0"/>
      <w:marRight w:val="0"/>
      <w:marTop w:val="0"/>
      <w:marBottom w:val="0"/>
      <w:divBdr>
        <w:top w:val="none" w:sz="0" w:space="0" w:color="auto"/>
        <w:left w:val="none" w:sz="0" w:space="0" w:color="auto"/>
        <w:bottom w:val="none" w:sz="0" w:space="0" w:color="auto"/>
        <w:right w:val="none" w:sz="0" w:space="0" w:color="auto"/>
      </w:divBdr>
      <w:divsChild>
        <w:div w:id="1318192214">
          <w:marLeft w:val="0"/>
          <w:marRight w:val="0"/>
          <w:marTop w:val="0"/>
          <w:marBottom w:val="0"/>
          <w:divBdr>
            <w:top w:val="none" w:sz="0" w:space="0" w:color="auto"/>
            <w:left w:val="none" w:sz="0" w:space="0" w:color="auto"/>
            <w:bottom w:val="none" w:sz="0" w:space="0" w:color="auto"/>
            <w:right w:val="none" w:sz="0" w:space="0" w:color="auto"/>
          </w:divBdr>
          <w:divsChild>
            <w:div w:id="2046786614">
              <w:marLeft w:val="0"/>
              <w:marRight w:val="0"/>
              <w:marTop w:val="0"/>
              <w:marBottom w:val="0"/>
              <w:divBdr>
                <w:top w:val="none" w:sz="0" w:space="0" w:color="auto"/>
                <w:left w:val="none" w:sz="0" w:space="0" w:color="auto"/>
                <w:bottom w:val="none" w:sz="0" w:space="0" w:color="auto"/>
                <w:right w:val="none" w:sz="0" w:space="0" w:color="auto"/>
              </w:divBdr>
              <w:divsChild>
                <w:div w:id="106127333">
                  <w:marLeft w:val="0"/>
                  <w:marRight w:val="0"/>
                  <w:marTop w:val="0"/>
                  <w:marBottom w:val="0"/>
                  <w:divBdr>
                    <w:top w:val="none" w:sz="0" w:space="0" w:color="auto"/>
                    <w:left w:val="none" w:sz="0" w:space="0" w:color="auto"/>
                    <w:bottom w:val="none" w:sz="0" w:space="0" w:color="auto"/>
                    <w:right w:val="none" w:sz="0" w:space="0" w:color="auto"/>
                  </w:divBdr>
                  <w:divsChild>
                    <w:div w:id="10772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58563">
      <w:bodyDiv w:val="1"/>
      <w:marLeft w:val="0"/>
      <w:marRight w:val="0"/>
      <w:marTop w:val="0"/>
      <w:marBottom w:val="0"/>
      <w:divBdr>
        <w:top w:val="none" w:sz="0" w:space="0" w:color="auto"/>
        <w:left w:val="none" w:sz="0" w:space="0" w:color="auto"/>
        <w:bottom w:val="none" w:sz="0" w:space="0" w:color="auto"/>
        <w:right w:val="none" w:sz="0" w:space="0" w:color="auto"/>
      </w:divBdr>
    </w:div>
    <w:div w:id="1700546619">
      <w:bodyDiv w:val="1"/>
      <w:marLeft w:val="0"/>
      <w:marRight w:val="0"/>
      <w:marTop w:val="0"/>
      <w:marBottom w:val="0"/>
      <w:divBdr>
        <w:top w:val="none" w:sz="0" w:space="0" w:color="auto"/>
        <w:left w:val="none" w:sz="0" w:space="0" w:color="auto"/>
        <w:bottom w:val="none" w:sz="0" w:space="0" w:color="auto"/>
        <w:right w:val="none" w:sz="0" w:space="0" w:color="auto"/>
      </w:divBdr>
    </w:div>
    <w:div w:id="1981185607">
      <w:bodyDiv w:val="1"/>
      <w:marLeft w:val="0"/>
      <w:marRight w:val="0"/>
      <w:marTop w:val="0"/>
      <w:marBottom w:val="0"/>
      <w:divBdr>
        <w:top w:val="none" w:sz="0" w:space="0" w:color="auto"/>
        <w:left w:val="none" w:sz="0" w:space="0" w:color="auto"/>
        <w:bottom w:val="none" w:sz="0" w:space="0" w:color="auto"/>
        <w:right w:val="none" w:sz="0" w:space="0" w:color="auto"/>
      </w:divBdr>
    </w:div>
    <w:div w:id="2077504738">
      <w:bodyDiv w:val="1"/>
      <w:marLeft w:val="0"/>
      <w:marRight w:val="0"/>
      <w:marTop w:val="0"/>
      <w:marBottom w:val="0"/>
      <w:divBdr>
        <w:top w:val="none" w:sz="0" w:space="0" w:color="auto"/>
        <w:left w:val="none" w:sz="0" w:space="0" w:color="auto"/>
        <w:bottom w:val="none" w:sz="0" w:space="0" w:color="auto"/>
        <w:right w:val="none" w:sz="0" w:space="0" w:color="auto"/>
      </w:divBdr>
      <w:divsChild>
        <w:div w:id="69003759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mutex.gmu.edu/10.1080/14767724.2014.934073" TargetMode="External"/><Relationship Id="rId18" Type="http://schemas.openxmlformats.org/officeDocument/2006/relationships/hyperlink" Target="https://www.neafoundation.org/content/assets/2012/11/Educating%20for%20Global%20Competence%20by%20Fernando%20Reimer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ttps://www.acenet.edu/Research-Insights/Pages/Internationalization/Comprehensive-I" TargetMode="External"/><Relationship Id="rId17" Type="http://schemas.openxmlformats.org/officeDocument/2006/relationships/hyperlink" Target="https://doi-org.mutex.gmu.edu/10.1080/03050068.2020.172335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siasociety.org/education/teaching-global-competence-rapidly-changing-world"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arch-proquest" TargetMode="External"/><Relationship Id="rId23" Type="http://schemas.openxmlformats.org/officeDocument/2006/relationships/header" Target="header2.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doi-org.mutex.gmu.edu/10.1177/1028315320906156"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insidehighered.com/news/2019/11/18/open-"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4F99F-72B6-4E36-AB0D-E842C889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7302</Words>
  <Characters>41628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2</cp:revision>
  <cp:lastPrinted>2020-07-26T17:38:00Z</cp:lastPrinted>
  <dcterms:created xsi:type="dcterms:W3CDTF">2021-08-20T23:55:00Z</dcterms:created>
  <dcterms:modified xsi:type="dcterms:W3CDTF">2021-08-20T23:55:00Z</dcterms:modified>
</cp:coreProperties>
</file>