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BF4" w:rsidRPr="00173BF4" w:rsidRDefault="00173BF4" w:rsidP="00173BF4">
      <w:pPr>
        <w:spacing w:before="100" w:beforeAutospacing="1" w:after="100" w:afterAutospacing="1" w:line="240" w:lineRule="auto"/>
        <w:outlineLvl w:val="1"/>
        <w:rPr>
          <w:rFonts w:ascii="Times New Roman" w:eastAsia="Times New Roman" w:hAnsi="Times New Roman" w:cs="Times New Roman"/>
          <w:b/>
          <w:bCs/>
          <w:sz w:val="36"/>
          <w:szCs w:val="36"/>
        </w:rPr>
      </w:pPr>
      <w:r w:rsidRPr="00173BF4">
        <w:rPr>
          <w:rFonts w:ascii="Times New Roman" w:eastAsia="Times New Roman" w:hAnsi="Times New Roman" w:cs="Times New Roman"/>
          <w:b/>
          <w:bCs/>
          <w:sz w:val="36"/>
          <w:szCs w:val="36"/>
        </w:rPr>
        <w:t>1. Introduction</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Advances in technology, automation, and data processing have enabled deterministic quantitative methods (DQMs) and other non-model quantitative tools to become increasingly sophisticated and widely used across financial institutions. These tools often support important business, financial, and regulatory decisions, even though they do not meet the formal definition of statistical or probabilistic models.</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Historically, Model Risk Management (MRM) frameworks focused primarily on models that incorporate statistical estimation, simulation, or probabilistic forecasting. However, regulators have increasingly </w:t>
      </w:r>
      <w:proofErr w:type="spellStart"/>
      <w:r w:rsidRPr="00173BF4">
        <w:rPr>
          <w:rFonts w:ascii="Times New Roman" w:eastAsia="Times New Roman" w:hAnsi="Times New Roman" w:cs="Times New Roman"/>
          <w:sz w:val="24"/>
          <w:szCs w:val="24"/>
        </w:rPr>
        <w:t>recognised</w:t>
      </w:r>
      <w:proofErr w:type="spellEnd"/>
      <w:r w:rsidRPr="00173BF4">
        <w:rPr>
          <w:rFonts w:ascii="Times New Roman" w:eastAsia="Times New Roman" w:hAnsi="Times New Roman" w:cs="Times New Roman"/>
          <w:sz w:val="24"/>
          <w:szCs w:val="24"/>
        </w:rPr>
        <w:t xml:space="preserve"> that material risks may also arise from quantitative tools that operate using deterministic logic, rule-based calculations, or algorithmic processes embedded within operational systems or reporting workflows.</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The </w:t>
      </w:r>
      <w:r w:rsidRPr="00173BF4">
        <w:rPr>
          <w:rFonts w:ascii="Times New Roman" w:eastAsia="Times New Roman" w:hAnsi="Times New Roman" w:cs="Times New Roman"/>
          <w:b/>
          <w:bCs/>
          <w:sz w:val="24"/>
          <w:szCs w:val="24"/>
        </w:rPr>
        <w:t>Bank of England Prudential Regulation Authority (PRA) Supervisory Statement SS1/23 — Model Risk Management Principles for Banks</w:t>
      </w:r>
      <w:r w:rsidRPr="00173BF4">
        <w:rPr>
          <w:rFonts w:ascii="Times New Roman" w:eastAsia="Times New Roman" w:hAnsi="Times New Roman" w:cs="Times New Roman"/>
          <w:sz w:val="24"/>
          <w:szCs w:val="24"/>
        </w:rPr>
        <w:t xml:space="preserve"> expanded supervisory expectations by </w:t>
      </w:r>
      <w:proofErr w:type="spellStart"/>
      <w:r w:rsidRPr="00173BF4">
        <w:rPr>
          <w:rFonts w:ascii="Times New Roman" w:eastAsia="Times New Roman" w:hAnsi="Times New Roman" w:cs="Times New Roman"/>
          <w:sz w:val="24"/>
          <w:szCs w:val="24"/>
        </w:rPr>
        <w:t>emphasising</w:t>
      </w:r>
      <w:proofErr w:type="spellEnd"/>
      <w:r w:rsidRPr="00173BF4">
        <w:rPr>
          <w:rFonts w:ascii="Times New Roman" w:eastAsia="Times New Roman" w:hAnsi="Times New Roman" w:cs="Times New Roman"/>
          <w:sz w:val="24"/>
          <w:szCs w:val="24"/>
        </w:rPr>
        <w:t xml:space="preserve"> that risks arising from </w:t>
      </w:r>
      <w:r w:rsidRPr="00173BF4">
        <w:rPr>
          <w:rFonts w:ascii="Times New Roman" w:eastAsia="Times New Roman" w:hAnsi="Times New Roman" w:cs="Times New Roman"/>
          <w:b/>
          <w:bCs/>
          <w:sz w:val="24"/>
          <w:szCs w:val="24"/>
        </w:rPr>
        <w:t>deterministic quantitative methods and other non-model tools should be identified, governed, and controlled where they materially influence business or regulatory outcomes</w:t>
      </w:r>
      <w:r w:rsidRPr="00173BF4">
        <w:rPr>
          <w:rFonts w:ascii="Times New Roman" w:eastAsia="Times New Roman" w:hAnsi="Times New Roman" w:cs="Times New Roman"/>
          <w:sz w:val="24"/>
          <w:szCs w:val="24"/>
        </w:rPr>
        <w:t>. SS1/23 acknowledges that advances in computing power and data processing capabilities allow deterministic methods to become complex, interconnected, and critical to decision-making processes.</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In particular, SS1/23 highlights that deterministic quantitative methods — such as decision-based rules, calculation engines, or algorithmic processes — may not be classified as models but can still have a </w:t>
      </w:r>
      <w:r w:rsidRPr="00173BF4">
        <w:rPr>
          <w:rFonts w:ascii="Times New Roman" w:eastAsia="Times New Roman" w:hAnsi="Times New Roman" w:cs="Times New Roman"/>
          <w:b/>
          <w:bCs/>
          <w:sz w:val="24"/>
          <w:szCs w:val="24"/>
        </w:rPr>
        <w:t>material bearing on business decisions and financial outcomes</w:t>
      </w:r>
      <w:r w:rsidRPr="00173BF4">
        <w:rPr>
          <w:rFonts w:ascii="Times New Roman" w:eastAsia="Times New Roman" w:hAnsi="Times New Roman" w:cs="Times New Roman"/>
          <w:sz w:val="24"/>
          <w:szCs w:val="24"/>
        </w:rPr>
        <w:t>. As a result, firms are expected to consider applying relevant aspects of their Model Risk Management framework to such tools, including documentation, governance, review mechanisms, and inventory management.</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This evolution reflects a broader regulatory shift from a narrow model definition toward a </w:t>
      </w:r>
      <w:r w:rsidRPr="00173BF4">
        <w:rPr>
          <w:rFonts w:ascii="Times New Roman" w:eastAsia="Times New Roman" w:hAnsi="Times New Roman" w:cs="Times New Roman"/>
          <w:b/>
          <w:bCs/>
          <w:sz w:val="24"/>
          <w:szCs w:val="24"/>
        </w:rPr>
        <w:t>risk-based view of quantitative decision tools</w:t>
      </w:r>
      <w:r w:rsidRPr="00173BF4">
        <w:rPr>
          <w:rFonts w:ascii="Times New Roman" w:eastAsia="Times New Roman" w:hAnsi="Times New Roman" w:cs="Times New Roman"/>
          <w:sz w:val="24"/>
          <w:szCs w:val="24"/>
        </w:rPr>
        <w:t xml:space="preserve">, ensuring that material risks are not overlooked simply because a tool is not formally classified as a model. The expectation is not to apply identical validation standards to deterministic quantitative methods as those applied to probabilistic models, but rather to implement </w:t>
      </w:r>
      <w:r w:rsidRPr="00173BF4">
        <w:rPr>
          <w:rFonts w:ascii="Times New Roman" w:eastAsia="Times New Roman" w:hAnsi="Times New Roman" w:cs="Times New Roman"/>
          <w:b/>
          <w:bCs/>
          <w:sz w:val="24"/>
          <w:szCs w:val="24"/>
        </w:rPr>
        <w:t>proportionate governance and controls reflecting the risk profile, complexity, and usage of these tools</w:t>
      </w:r>
      <w:r w:rsidRPr="00173BF4">
        <w:rPr>
          <w:rFonts w:ascii="Times New Roman" w:eastAsia="Times New Roman" w:hAnsi="Times New Roman" w:cs="Times New Roman"/>
          <w:sz w:val="24"/>
          <w:szCs w:val="24"/>
        </w:rPr>
        <w:t>.</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Consistent with these expectations, this policy establishes a governance framework for deterministic quantitative methods that complements the existing Model Risk Management framework. The framework focuses on identification, documentation, implementation integrity, lifecycle management, and oversight of deterministic quantitative methods used across the </w:t>
      </w:r>
      <w:proofErr w:type="spellStart"/>
      <w:r w:rsidRPr="00173BF4">
        <w:rPr>
          <w:rFonts w:ascii="Times New Roman" w:eastAsia="Times New Roman" w:hAnsi="Times New Roman" w:cs="Times New Roman"/>
          <w:sz w:val="24"/>
          <w:szCs w:val="24"/>
        </w:rPr>
        <w:t>organisation</w:t>
      </w:r>
      <w:proofErr w:type="spellEnd"/>
      <w:r w:rsidRPr="00173BF4">
        <w:rPr>
          <w:rFonts w:ascii="Times New Roman" w:eastAsia="Times New Roman" w:hAnsi="Times New Roman" w:cs="Times New Roman"/>
          <w:sz w:val="24"/>
          <w:szCs w:val="24"/>
        </w:rPr>
        <w:t>.</w:t>
      </w:r>
    </w:p>
    <w:p w:rsidR="00173BF4" w:rsidRPr="00173BF4" w:rsidRDefault="00173BF4" w:rsidP="00173BF4">
      <w:pPr>
        <w:spacing w:before="100" w:beforeAutospacing="1" w:after="100" w:afterAutospacing="1" w:line="240" w:lineRule="auto"/>
        <w:rPr>
          <w:rFonts w:ascii="Times New Roman" w:eastAsia="Times New Roman" w:hAnsi="Times New Roman" w:cs="Times New Roman"/>
          <w:sz w:val="24"/>
          <w:szCs w:val="24"/>
        </w:rPr>
      </w:pPr>
      <w:r w:rsidRPr="00173BF4">
        <w:rPr>
          <w:rFonts w:ascii="Times New Roman" w:eastAsia="Times New Roman" w:hAnsi="Times New Roman" w:cs="Times New Roman"/>
          <w:sz w:val="24"/>
          <w:szCs w:val="24"/>
        </w:rPr>
        <w:t xml:space="preserve">The objective of this policy is to ensure that deterministic quantitative methods remain reliable, transparent, appropriately controlled, and fit for purpose throughout their lifecycle, while enabling the </w:t>
      </w:r>
      <w:proofErr w:type="spellStart"/>
      <w:r w:rsidRPr="00173BF4">
        <w:rPr>
          <w:rFonts w:ascii="Times New Roman" w:eastAsia="Times New Roman" w:hAnsi="Times New Roman" w:cs="Times New Roman"/>
          <w:sz w:val="24"/>
          <w:szCs w:val="24"/>
        </w:rPr>
        <w:t>organisation</w:t>
      </w:r>
      <w:proofErr w:type="spellEnd"/>
      <w:r w:rsidRPr="00173BF4">
        <w:rPr>
          <w:rFonts w:ascii="Times New Roman" w:eastAsia="Times New Roman" w:hAnsi="Times New Roman" w:cs="Times New Roman"/>
          <w:sz w:val="24"/>
          <w:szCs w:val="24"/>
        </w:rPr>
        <w:t xml:space="preserve"> to meet regulatory expectations and maintain effective risk management practices.</w:t>
      </w:r>
    </w:p>
    <w:p w:rsidR="00173BF4" w:rsidRDefault="00173BF4" w:rsidP="00173BF4">
      <w:pPr>
        <w:pStyle w:val="Heading2"/>
      </w:pPr>
      <w:r>
        <w:lastRenderedPageBreak/>
        <w:t>2. Definition, Scope, and Risk Concept</w:t>
      </w:r>
    </w:p>
    <w:p w:rsidR="00173BF4" w:rsidRDefault="00173BF4" w:rsidP="00173BF4">
      <w:pPr>
        <w:pStyle w:val="NormalWeb"/>
      </w:pPr>
      <w:r>
        <w:t>A Deterministic Quantitative Method (DQM) is a quantitative tool that applies deterministic rules, logic, or algorithms to transform inputs into outputs without explicitly modelling uncertainty using statistical techniques.</w:t>
      </w:r>
    </w:p>
    <w:p w:rsidR="00173BF4" w:rsidRDefault="00173BF4" w:rsidP="00173BF4">
      <w:pPr>
        <w:pStyle w:val="NormalWeb"/>
      </w:pPr>
      <w:r>
        <w:t>DQMs may include spreadsheet-based calculation tools, rule-based engines, infrastructure-embedded calculations, and algorithmic decision tools used in business or regulatory processes.</w:t>
      </w:r>
    </w:p>
    <w:p w:rsidR="00173BF4" w:rsidRDefault="00173BF4" w:rsidP="00173BF4">
      <w:pPr>
        <w:pStyle w:val="NormalWeb"/>
      </w:pPr>
      <w:r>
        <w:t xml:space="preserve">DQM risk refers to the potential for adverse outcomes resulting from errors in implementation, data integrity failures, incorrect assumptions, operational control weaknesses, or inappropriate reliance on outputs. The level of risk associated with a DQM depends primarily on its </w:t>
      </w:r>
      <w:r>
        <w:rPr>
          <w:rStyle w:val="Strong"/>
        </w:rPr>
        <w:t>materiality, complexity, and usage</w:t>
      </w:r>
      <w:r>
        <w:t>.</w:t>
      </w:r>
    </w:p>
    <w:p w:rsidR="00173BF4" w:rsidRDefault="00173BF4" w:rsidP="00173BF4">
      <w:pPr>
        <w:pStyle w:val="NormalWeb"/>
      </w:pPr>
      <w:r>
        <w:t>This policy applies to all deterministic quantitative methods used across the bank and its subsidiaries, while complementing existing frameworks such as model risk management, EUC governance, IT controls, and third-party risk management.</w:t>
      </w:r>
    </w:p>
    <w:p w:rsidR="00173BF4" w:rsidRDefault="00173BF4" w:rsidP="00173BF4">
      <w:pPr>
        <w:pStyle w:val="Heading2"/>
      </w:pPr>
      <w:r>
        <w:t>3. Governa</w:t>
      </w:r>
      <w:r>
        <w:t>nce and Oversight</w:t>
      </w:r>
    </w:p>
    <w:p w:rsidR="00173BF4" w:rsidRDefault="00173BF4" w:rsidP="00173BF4">
      <w:pPr>
        <w:pStyle w:val="NormalWeb"/>
      </w:pPr>
      <w:r>
        <w:t>Senior management remains accountable for risks arising from deterministic quantitative methods. Governance for DQMs should be integrated into the broader model risk management framework while maintaining clear differentiation between models and non-models.</w:t>
      </w:r>
    </w:p>
    <w:p w:rsidR="00173BF4" w:rsidRDefault="00173BF4" w:rsidP="00173BF4">
      <w:pPr>
        <w:pStyle w:val="NormalWeb"/>
      </w:pPr>
      <w:r>
        <w:t>Business lines are responsible for identifying, documenting, implementing, and maintaining deterministic quantitative methods within their areas. Model Risk Management provides independent oversight, challenge, and stewardship of the DQM framework and classification decisions.</w:t>
      </w:r>
    </w:p>
    <w:p w:rsidR="00173BF4" w:rsidRDefault="00173BF4" w:rsidP="00173BF4">
      <w:pPr>
        <w:pStyle w:val="NormalWeb"/>
      </w:pPr>
      <w:r>
        <w:t>Approval of deterministic quantitative methods must be performed by an appropriately independent approver separate from the DQM owner. Governance arrangements must ensure accountability, transparency, and traceability throughout the lifecycle of each DQM.</w:t>
      </w:r>
    </w:p>
    <w:p w:rsidR="00173BF4" w:rsidRDefault="00173BF4" w:rsidP="00173BF4">
      <w:pPr>
        <w:pStyle w:val="NormalWeb"/>
      </w:pPr>
      <w:r>
        <w:t>Reporting of DQM risk should be integrated into existing risk reporting structures to support senior management oversight.</w:t>
      </w:r>
    </w:p>
    <w:p w:rsidR="00173BF4" w:rsidRDefault="00173BF4" w:rsidP="00173BF4">
      <w:pPr>
        <w:pStyle w:val="Heading2"/>
      </w:pPr>
      <w:r>
        <w:t xml:space="preserve">4. Identification, Inventory, and </w:t>
      </w:r>
      <w:proofErr w:type="spellStart"/>
      <w:r>
        <w:t>Tiering</w:t>
      </w:r>
      <w:proofErr w:type="spellEnd"/>
    </w:p>
    <w:p w:rsidR="00173BF4" w:rsidRDefault="00173BF4" w:rsidP="00173BF4">
      <w:pPr>
        <w:pStyle w:val="NormalWeb"/>
      </w:pPr>
      <w:r>
        <w:t xml:space="preserve">The bank must maintain a </w:t>
      </w:r>
      <w:proofErr w:type="spellStart"/>
      <w:r>
        <w:t>centralised</w:t>
      </w:r>
      <w:proofErr w:type="spellEnd"/>
      <w:r>
        <w:t xml:space="preserve"> inventory of deterministic quantitative methods to support governance, monitoring, and reporting. The inventory should provide a complete and accurate view of DQMs across the </w:t>
      </w:r>
      <w:proofErr w:type="spellStart"/>
      <w:r>
        <w:t>organisation</w:t>
      </w:r>
      <w:proofErr w:type="spellEnd"/>
      <w:r>
        <w:t xml:space="preserve"> and capture ownership, documentation, review schedules, and risk indicators.</w:t>
      </w:r>
    </w:p>
    <w:p w:rsidR="00173BF4" w:rsidRDefault="00173BF4" w:rsidP="00173BF4">
      <w:pPr>
        <w:pStyle w:val="NormalWeb"/>
      </w:pPr>
      <w:r>
        <w:lastRenderedPageBreak/>
        <w:t>Identification of DQMs should follow a phased and proportionate approach, beginning with existing EUC or EUDA inventories, reviewing tools used in regulatory submissions, and engaging business units through structured identification exercises.</w:t>
      </w:r>
    </w:p>
    <w:p w:rsidR="00173BF4" w:rsidRDefault="00173BF4" w:rsidP="00173BF4">
      <w:pPr>
        <w:pStyle w:val="NormalWeb"/>
      </w:pPr>
      <w:r>
        <w:t xml:space="preserve">Controls applied to DQMs must be proportionate to their risk profile. Material and complex DQMs may be </w:t>
      </w:r>
      <w:proofErr w:type="spellStart"/>
      <w:r>
        <w:t>categorised</w:t>
      </w:r>
      <w:proofErr w:type="spellEnd"/>
      <w:r>
        <w:t xml:space="preserve"> into regulatory-significant DQMs and other material DQMs to support differentiated governance standards. Materiality should consider both quantitative exposure and qualitative importance to business decisions. Complexity should be assessed primarily through operational and technical factors such as interdependencies, implementation challenges, and infrastructure integration.</w:t>
      </w:r>
    </w:p>
    <w:p w:rsidR="00173BF4" w:rsidRDefault="00173BF4" w:rsidP="00173BF4">
      <w:pPr>
        <w:pStyle w:val="Heading2"/>
      </w:pPr>
      <w:r>
        <w:t>5. Development, Documentation, and Implementation Integrity</w:t>
      </w:r>
    </w:p>
    <w:p w:rsidR="00173BF4" w:rsidRDefault="00173BF4" w:rsidP="00173BF4">
      <w:pPr>
        <w:pStyle w:val="NormalWeb"/>
      </w:pPr>
      <w:r>
        <w:t>Deterministic quantitative methods must be documented at a level proportionate to their risk profile. Documentation should describe the purpose, scope, methodology or logic, data inputs and sources, assumptions, infrastructure dependencies, stakeholder responsibilities, and acceptance criteria.</w:t>
      </w:r>
    </w:p>
    <w:p w:rsidR="00173BF4" w:rsidRDefault="00173BF4" w:rsidP="00173BF4">
      <w:pPr>
        <w:pStyle w:val="NormalWeb"/>
      </w:pPr>
      <w:r>
        <w:t>Implementation testing must be performed before approval and use of new deterministic quantitative methods and after material changes. Testing should focus on implementation integrity and operational robustness, including validation of input data, verification of logic execution, reconciliation checks, and confirmation that outputs are appropriate for their intended use.</w:t>
      </w:r>
    </w:p>
    <w:p w:rsidR="00173BF4" w:rsidRDefault="00173BF4" w:rsidP="00173BF4">
      <w:pPr>
        <w:pStyle w:val="NormalWeb"/>
      </w:pPr>
      <w:r>
        <w:t>Where relevant, additional testing methods such as sensitivity analysis, stress testing of interconnected components, and code or macro review should be performed. Documentation and testing evidence must be maintained to support transparency and traceability.</w:t>
      </w:r>
    </w:p>
    <w:p w:rsidR="00173BF4" w:rsidRDefault="00173BF4" w:rsidP="00173BF4">
      <w:pPr>
        <w:pStyle w:val="Heading2"/>
      </w:pPr>
      <w:r>
        <w:t>6. Lifecycle Management: Review, Change, and Third-Party DQMs</w:t>
      </w:r>
    </w:p>
    <w:p w:rsidR="00173BF4" w:rsidRDefault="00173BF4" w:rsidP="00173BF4">
      <w:pPr>
        <w:pStyle w:val="NormalWeb"/>
      </w:pPr>
      <w:r>
        <w:t>Deterministic quantitative methods must be subject to periodic review to ensure continued effectiveness, appropriateness, and alignment with intended use. Review frequency should be risk-based and consider materiality, complexity, and usage.</w:t>
      </w:r>
    </w:p>
    <w:p w:rsidR="00173BF4" w:rsidRDefault="00173BF4" w:rsidP="00173BF4">
      <w:pPr>
        <w:pStyle w:val="NormalWeb"/>
      </w:pPr>
      <w:r>
        <w:t>Changes to deterministic quantitative methods must be assessed to determine whether they are material. Material changes include modifications to logic, input data sources, infrastructure, integration dependencies, or output usage. Such changes require updated documentation, implementation testing, and approval prior to deployment.</w:t>
      </w:r>
    </w:p>
    <w:p w:rsidR="00173BF4" w:rsidRDefault="00173BF4" w:rsidP="00173BF4">
      <w:pPr>
        <w:pStyle w:val="NormalWeb"/>
      </w:pPr>
      <w:r>
        <w:t xml:space="preserve">Where deterministic quantitative methods are provided by third parties, the bank must obtain sufficient transparency over documentation, testing, controls, and change management processes. </w:t>
      </w:r>
      <w:r>
        <w:lastRenderedPageBreak/>
        <w:t>The bank remains accountable for risks arising from third-party deterministic quantitative methods.</w:t>
      </w:r>
    </w:p>
    <w:p w:rsidR="00173BF4" w:rsidRDefault="00173BF4" w:rsidP="00173BF4">
      <w:pPr>
        <w:pStyle w:val="NormalWeb"/>
      </w:pPr>
      <w:r>
        <w:t>DQMs that are no longer required must be formally decommissioned, with inventory records updated accordingly.</w:t>
      </w:r>
    </w:p>
    <w:p w:rsidR="00173BF4" w:rsidRDefault="00173BF4" w:rsidP="00173BF4">
      <w:pPr>
        <w:pStyle w:val="Heading2"/>
      </w:pPr>
      <w:r>
        <w:t>7. Conclusion</w:t>
      </w:r>
    </w:p>
    <w:p w:rsidR="00173BF4" w:rsidRDefault="00173BF4" w:rsidP="00173BF4">
      <w:pPr>
        <w:pStyle w:val="NormalWeb"/>
      </w:pPr>
      <w:r>
        <w:t>Deterministic quantitative methods play an increasingly important role in financial institutions and may present risks similar to those associated with models when used in material business or regulatory processes. Regulators therefore expect firms to extend model risk management principles to non-model quantitative tools in a proportionate and practical manner.</w:t>
      </w:r>
    </w:p>
    <w:p w:rsidR="00173BF4" w:rsidRDefault="00173BF4" w:rsidP="00173BF4">
      <w:pPr>
        <w:pStyle w:val="NormalWeb"/>
      </w:pPr>
      <w:r>
        <w:t>By establishing governance, inventory management, documentation standards, implementation testing, lifecycle controls, and oversight responsibilities, this policy provides a consistent and sustainable framework for managing deterministic quantitative method risk within the broader model risk management ecosystem.</w:t>
      </w:r>
    </w:p>
    <w:p w:rsidR="00173BF4" w:rsidRDefault="00173BF4" w:rsidP="00173BF4">
      <w:pPr>
        <w:pStyle w:val="NormalWeb"/>
      </w:pPr>
      <w:r>
        <w:t>The objective of this framework is not to apply model-level validation requirements to deterministic quantitative methods, but to ensure that material DQMs are appropriately controlled, transparent, and reliable in supporting business and regulatory decision-making over time.</w:t>
      </w:r>
    </w:p>
    <w:p w:rsidR="00F06F49" w:rsidRDefault="00F06F49">
      <w:bookmarkStart w:id="0" w:name="_GoBack"/>
      <w:bookmarkEnd w:id="0"/>
    </w:p>
    <w:sectPr w:rsidR="00F06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F4"/>
    <w:rsid w:val="00173BF4"/>
    <w:rsid w:val="00F0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ACB1"/>
  <w15:chartTrackingRefBased/>
  <w15:docId w15:val="{E2B25317-671D-4D80-9ABE-64B5C884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3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B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3B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4838">
      <w:bodyDiv w:val="1"/>
      <w:marLeft w:val="0"/>
      <w:marRight w:val="0"/>
      <w:marTop w:val="0"/>
      <w:marBottom w:val="0"/>
      <w:divBdr>
        <w:top w:val="none" w:sz="0" w:space="0" w:color="auto"/>
        <w:left w:val="none" w:sz="0" w:space="0" w:color="auto"/>
        <w:bottom w:val="none" w:sz="0" w:space="0" w:color="auto"/>
        <w:right w:val="none" w:sz="0" w:space="0" w:color="auto"/>
      </w:divBdr>
    </w:div>
    <w:div w:id="97651471">
      <w:bodyDiv w:val="1"/>
      <w:marLeft w:val="0"/>
      <w:marRight w:val="0"/>
      <w:marTop w:val="0"/>
      <w:marBottom w:val="0"/>
      <w:divBdr>
        <w:top w:val="none" w:sz="0" w:space="0" w:color="auto"/>
        <w:left w:val="none" w:sz="0" w:space="0" w:color="auto"/>
        <w:bottom w:val="none" w:sz="0" w:space="0" w:color="auto"/>
        <w:right w:val="none" w:sz="0" w:space="0" w:color="auto"/>
      </w:divBdr>
    </w:div>
    <w:div w:id="803700151">
      <w:bodyDiv w:val="1"/>
      <w:marLeft w:val="0"/>
      <w:marRight w:val="0"/>
      <w:marTop w:val="0"/>
      <w:marBottom w:val="0"/>
      <w:divBdr>
        <w:top w:val="none" w:sz="0" w:space="0" w:color="auto"/>
        <w:left w:val="none" w:sz="0" w:space="0" w:color="auto"/>
        <w:bottom w:val="none" w:sz="0" w:space="0" w:color="auto"/>
        <w:right w:val="none" w:sz="0" w:space="0" w:color="auto"/>
      </w:divBdr>
    </w:div>
    <w:div w:id="1000424727">
      <w:bodyDiv w:val="1"/>
      <w:marLeft w:val="0"/>
      <w:marRight w:val="0"/>
      <w:marTop w:val="0"/>
      <w:marBottom w:val="0"/>
      <w:divBdr>
        <w:top w:val="none" w:sz="0" w:space="0" w:color="auto"/>
        <w:left w:val="none" w:sz="0" w:space="0" w:color="auto"/>
        <w:bottom w:val="none" w:sz="0" w:space="0" w:color="auto"/>
        <w:right w:val="none" w:sz="0" w:space="0" w:color="auto"/>
      </w:divBdr>
    </w:div>
    <w:div w:id="1121729466">
      <w:bodyDiv w:val="1"/>
      <w:marLeft w:val="0"/>
      <w:marRight w:val="0"/>
      <w:marTop w:val="0"/>
      <w:marBottom w:val="0"/>
      <w:divBdr>
        <w:top w:val="none" w:sz="0" w:space="0" w:color="auto"/>
        <w:left w:val="none" w:sz="0" w:space="0" w:color="auto"/>
        <w:bottom w:val="none" w:sz="0" w:space="0" w:color="auto"/>
        <w:right w:val="none" w:sz="0" w:space="0" w:color="auto"/>
      </w:divBdr>
    </w:div>
    <w:div w:id="1209340435">
      <w:bodyDiv w:val="1"/>
      <w:marLeft w:val="0"/>
      <w:marRight w:val="0"/>
      <w:marTop w:val="0"/>
      <w:marBottom w:val="0"/>
      <w:divBdr>
        <w:top w:val="none" w:sz="0" w:space="0" w:color="auto"/>
        <w:left w:val="none" w:sz="0" w:space="0" w:color="auto"/>
        <w:bottom w:val="none" w:sz="0" w:space="0" w:color="auto"/>
        <w:right w:val="none" w:sz="0" w:space="0" w:color="auto"/>
      </w:divBdr>
    </w:div>
    <w:div w:id="175088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2026-02-13T05:46:00Z</dcterms:created>
  <dcterms:modified xsi:type="dcterms:W3CDTF">2026-02-13T05:48:00Z</dcterms:modified>
</cp:coreProperties>
</file>