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Agenda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Clear Creek Township Board Meeting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November 18, 2025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Harrodsburg Township Office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Meeting called to order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Attendees 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Minutes of  meeting - October 21, 2025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Financial reports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Township-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Harrodsburg-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Smithville Community Center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Smithville Area Association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Update on projects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RFP for water situations at SCC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Redman Hall renovation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 xml:space="preserve">Bathrooms in SCC 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Rentals of completed unit at SCC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  <w:lang w:val="en-US"/>
        </w:rPr>
        <w:t>WiFi for SCC, park and Redman Hall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SCC facility maintenance man and cleaning people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Old business 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New business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Christmas gift suggestions from Jenny Moore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Additional discussion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Meeting adjourned</w:t>
      </w:r>
    </w:p>
    <w:p>
      <w:pPr>
        <w:pStyle w:val="Body"/>
        <w:jc w:val="center"/>
      </w:pPr>
      <w:r>
        <w:rPr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