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B4069D"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t>ANTISEMITISM AND THE LAW</w:t>
      </w:r>
    </w:p>
    <w:p w14:paraId="226EA5CE" w14:textId="77777777" w:rsidR="001E5542" w:rsidRPr="001E5542" w:rsidRDefault="001E5542" w:rsidP="001E554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E5542">
        <w:rPr>
          <w:rFonts w:ascii="Segoe UI" w:eastAsia="Times New Roman" w:hAnsi="Segoe UI" w:cs="Segoe UI"/>
          <w:b/>
          <w:bCs/>
          <w:kern w:val="0"/>
          <w:sz w:val="36"/>
          <w:szCs w:val="36"/>
          <w14:ligatures w14:val="none"/>
        </w:rPr>
        <w:t>(3-Credit Survey)</w:t>
      </w:r>
    </w:p>
    <w:p w14:paraId="09DB918D"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Professor:</w:t>
      </w:r>
      <w:r w:rsidRPr="001E5542">
        <w:rPr>
          <w:rFonts w:ascii="Segoe UI" w:eastAsia="Times New Roman" w:hAnsi="Segoe UI" w:cs="Segoe UI"/>
          <w:kern w:val="0"/>
          <w:sz w:val="21"/>
          <w:szCs w:val="21"/>
          <w14:ligatures w14:val="none"/>
        </w:rPr>
        <w:br/>
      </w:r>
      <w:r w:rsidRPr="001E5542">
        <w:rPr>
          <w:rFonts w:ascii="Segoe UI" w:eastAsia="Times New Roman" w:hAnsi="Segoe UI" w:cs="Segoe UI"/>
          <w:b/>
          <w:bCs/>
          <w:kern w:val="0"/>
          <w:sz w:val="21"/>
          <w:szCs w:val="21"/>
          <w14:ligatures w14:val="none"/>
        </w:rPr>
        <w:t>Institution:</w:t>
      </w:r>
      <w:r w:rsidRPr="001E5542">
        <w:rPr>
          <w:rFonts w:ascii="Segoe UI" w:eastAsia="Times New Roman" w:hAnsi="Segoe UI" w:cs="Segoe UI"/>
          <w:kern w:val="0"/>
          <w:sz w:val="21"/>
          <w:szCs w:val="21"/>
          <w14:ligatures w14:val="none"/>
        </w:rPr>
        <w:br/>
      </w:r>
      <w:r w:rsidRPr="001E5542">
        <w:rPr>
          <w:rFonts w:ascii="Segoe UI" w:eastAsia="Times New Roman" w:hAnsi="Segoe UI" w:cs="Segoe UI"/>
          <w:b/>
          <w:bCs/>
          <w:kern w:val="0"/>
          <w:sz w:val="21"/>
          <w:szCs w:val="21"/>
          <w14:ligatures w14:val="none"/>
        </w:rPr>
        <w:t>Email:</w:t>
      </w:r>
      <w:r w:rsidRPr="001E5542">
        <w:rPr>
          <w:rFonts w:ascii="Segoe UI" w:eastAsia="Times New Roman" w:hAnsi="Segoe UI" w:cs="Segoe UI"/>
          <w:kern w:val="0"/>
          <w:sz w:val="21"/>
          <w:szCs w:val="21"/>
          <w14:ligatures w14:val="none"/>
        </w:rPr>
        <w:br/>
      </w:r>
      <w:r w:rsidRPr="001E5542">
        <w:rPr>
          <w:rFonts w:ascii="Segoe UI" w:eastAsia="Times New Roman" w:hAnsi="Segoe UI" w:cs="Segoe UI"/>
          <w:b/>
          <w:bCs/>
          <w:kern w:val="0"/>
          <w:sz w:val="21"/>
          <w:szCs w:val="21"/>
          <w14:ligatures w14:val="none"/>
        </w:rPr>
        <w:t>Office Hours:</w:t>
      </w:r>
      <w:r w:rsidRPr="001E5542">
        <w:rPr>
          <w:rFonts w:ascii="Segoe UI" w:eastAsia="Times New Roman" w:hAnsi="Segoe UI" w:cs="Segoe UI"/>
          <w:kern w:val="0"/>
          <w:sz w:val="21"/>
          <w:szCs w:val="21"/>
          <w14:ligatures w14:val="none"/>
        </w:rPr>
        <w:t xml:space="preserve"> By Appointment</w:t>
      </w:r>
    </w:p>
    <w:p w14:paraId="476B8D2A"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Class Meetings:</w:t>
      </w:r>
      <w:r w:rsidRPr="001E5542">
        <w:rPr>
          <w:rFonts w:ascii="Segoe UI" w:eastAsia="Times New Roman" w:hAnsi="Segoe UI" w:cs="Segoe UI"/>
          <w:kern w:val="0"/>
          <w:sz w:val="21"/>
          <w:szCs w:val="21"/>
          <w14:ligatures w14:val="none"/>
        </w:rPr>
        <w:t xml:space="preserve"> Twice Weekly</w:t>
      </w:r>
      <w:r w:rsidRPr="001E5542">
        <w:rPr>
          <w:rFonts w:ascii="Segoe UI" w:eastAsia="Times New Roman" w:hAnsi="Segoe UI" w:cs="Segoe UI"/>
          <w:kern w:val="0"/>
          <w:sz w:val="21"/>
          <w:szCs w:val="21"/>
          <w14:ligatures w14:val="none"/>
        </w:rPr>
        <w:br/>
      </w:r>
      <w:r w:rsidRPr="001E5542">
        <w:rPr>
          <w:rFonts w:ascii="Segoe UI" w:eastAsia="Times New Roman" w:hAnsi="Segoe UI" w:cs="Segoe UI"/>
          <w:b/>
          <w:bCs/>
          <w:kern w:val="0"/>
          <w:sz w:val="21"/>
          <w:szCs w:val="21"/>
          <w14:ligatures w14:val="none"/>
        </w:rPr>
        <w:t>Credits:</w:t>
      </w:r>
      <w:r w:rsidRPr="001E5542">
        <w:rPr>
          <w:rFonts w:ascii="Segoe UI" w:eastAsia="Times New Roman" w:hAnsi="Segoe UI" w:cs="Segoe UI"/>
          <w:kern w:val="0"/>
          <w:sz w:val="21"/>
          <w:szCs w:val="21"/>
          <w14:ligatures w14:val="none"/>
        </w:rPr>
        <w:t xml:space="preserve"> 3</w:t>
      </w:r>
    </w:p>
    <w:p w14:paraId="04134DEB"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Required Text:</w:t>
      </w:r>
      <w:r w:rsidRPr="001E5542">
        <w:rPr>
          <w:rFonts w:ascii="Segoe UI" w:eastAsia="Times New Roman" w:hAnsi="Segoe UI" w:cs="Segoe UI"/>
          <w:kern w:val="0"/>
          <w:sz w:val="21"/>
          <w:szCs w:val="21"/>
          <w14:ligatures w14:val="none"/>
        </w:rPr>
        <w:t xml:space="preserve"> Robert Katz, </w:t>
      </w:r>
      <w:r w:rsidRPr="001E5542">
        <w:rPr>
          <w:rFonts w:ascii="Segoe UI" w:eastAsia="Times New Roman" w:hAnsi="Segoe UI" w:cs="Segoe UI"/>
          <w:i/>
          <w:iCs/>
          <w:kern w:val="0"/>
          <w:sz w:val="21"/>
          <w:szCs w:val="21"/>
          <w14:ligatures w14:val="none"/>
        </w:rPr>
        <w:t>Antisemitism and the Law</w:t>
      </w:r>
      <w:r w:rsidRPr="001E5542">
        <w:rPr>
          <w:rFonts w:ascii="Segoe UI" w:eastAsia="Times New Roman" w:hAnsi="Segoe UI" w:cs="Segoe UI"/>
          <w:kern w:val="0"/>
          <w:sz w:val="21"/>
          <w:szCs w:val="21"/>
          <w14:ligatures w14:val="none"/>
        </w:rPr>
        <w:t xml:space="preserve"> (Carolina Academic Press, 2025)</w:t>
      </w:r>
    </w:p>
    <w:p w14:paraId="73A0D2AF"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045C380D">
          <v:rect id="Horizontal Line 1" o:spid="_x0000_s1043"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7BBF8B1E"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t>Course Description</w:t>
      </w:r>
    </w:p>
    <w:p w14:paraId="7E48EE5D"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Law has the power both to oppress and to liberate.</w:t>
      </w:r>
    </w:p>
    <w:p w14:paraId="4EED585A"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This course examines law's encounter with antisemitism and what that encounter reveals about both antisemitism and law itself. On the one hand, the course explores how legal systems have facilitated, tolerated, regulated, or resisted antisemitism across different times and places. On the other hand, it uses antisemitism as a lens through which to examine the strengths and limitations of familiar legal categories, doctrines, and institutions. Antisemitism often functions as a stress test for legal concepts that otherwise appear stable and uncontroversial.</w:t>
      </w:r>
    </w:p>
    <w:p w14:paraId="02634433"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Many of the course's recurring questions emerge from these two inquiries:</w:t>
      </w:r>
    </w:p>
    <w:p w14:paraId="353C014A" w14:textId="77777777" w:rsidR="001E5542" w:rsidRPr="001E5542" w:rsidRDefault="001E5542" w:rsidP="00A95E8D">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How have legal systems defined Jews and Jewish identity?</w:t>
      </w:r>
    </w:p>
    <w:p w14:paraId="5A0A4688" w14:textId="77777777" w:rsidR="001E5542" w:rsidRPr="001E5542" w:rsidRDefault="001E5542" w:rsidP="00A95E8D">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How have legal institutions facilitated, tolerated, regulated, ignored, or resisted antisemitism?</w:t>
      </w:r>
    </w:p>
    <w:p w14:paraId="5740A74C" w14:textId="77777777" w:rsidR="001E5542" w:rsidRPr="001E5542" w:rsidRDefault="001E5542" w:rsidP="00A95E8D">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How has antisemitism shaped legal doctrine and legal development?</w:t>
      </w:r>
    </w:p>
    <w:p w14:paraId="665EEAEB" w14:textId="77777777" w:rsidR="001E5542" w:rsidRPr="001E5542" w:rsidRDefault="001E5542" w:rsidP="00A95E8D">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How have Jews and their allies used law and advocacy to combat discrimination and exclusion?</w:t>
      </w:r>
    </w:p>
    <w:p w14:paraId="6267312E" w14:textId="77777777" w:rsidR="001E5542" w:rsidRPr="001E5542" w:rsidRDefault="001E5542" w:rsidP="00A95E8D">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What happens when legal categories do not fit comfortably with social reality?</w:t>
      </w:r>
    </w:p>
    <w:p w14:paraId="2BD69C8F"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The first portion of the course examines how legal systems define Jews and Jewish identity. The middle portion examines antisemitic ideas, speech, and expression, together with competing legal responses. The final portion examines antisemitic conduct, institutional responses, and contemporary efforts to combat antisemitism through law.</w:t>
      </w:r>
    </w:p>
    <w:p w14:paraId="6340F489"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lastRenderedPageBreak/>
        <w:t>Throughout the semester, students encounter antisemitic voices, Jewish voices, advocates, judges, legislators, religious authorities, and legal institutions. The course examines both legal doctrine and the advocacy strategies used to oppose antisemitism, including litigation, legislation, institutional reform, and non-legal responses.</w:t>
      </w:r>
    </w:p>
    <w:p w14:paraId="4DF21CC3"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40A13357">
          <v:rect id="Horizontal Line 2" o:spid="_x0000_s1042"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5C463B61"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t>Learning Objectives</w:t>
      </w:r>
    </w:p>
    <w:p w14:paraId="0D60F094"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By the end of the course, students should be able to:</w:t>
      </w:r>
    </w:p>
    <w:p w14:paraId="5AFA064D" w14:textId="77777777" w:rsidR="001E5542" w:rsidRPr="001E5542" w:rsidRDefault="001E5542" w:rsidP="00A95E8D">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Explain the principal legal frameworks used to define Jews and Jewish identity.</w:t>
      </w:r>
    </w:p>
    <w:p w14:paraId="44D09C14" w14:textId="77777777" w:rsidR="001E5542" w:rsidRPr="001E5542" w:rsidRDefault="001E5542" w:rsidP="00A95E8D">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Analyze major legal responses to antisemitism in the United States and abroad.</w:t>
      </w:r>
    </w:p>
    <w:p w14:paraId="12007885" w14:textId="77777777" w:rsidR="001E5542" w:rsidRPr="001E5542" w:rsidRDefault="001E5542" w:rsidP="00A95E8D">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Evaluate the strengths and limitations of legal interventions addressing antisemitic speech and conduct.</w:t>
      </w:r>
    </w:p>
    <w:p w14:paraId="371C4435" w14:textId="77777777" w:rsidR="001E5542" w:rsidRPr="001E5542" w:rsidRDefault="001E5542" w:rsidP="00A95E8D">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Compare American and non-American approaches to antisemitism and anti-discrimination law.</w:t>
      </w:r>
    </w:p>
    <w:p w14:paraId="52718071" w14:textId="77777777" w:rsidR="001E5542" w:rsidRPr="001E5542" w:rsidRDefault="001E5542" w:rsidP="00A95E8D">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Assess the relationship between antisemitism and broader questions of equality, citizenship, democracy, religious liberty, and civil rights.</w:t>
      </w:r>
    </w:p>
    <w:p w14:paraId="67594B10" w14:textId="77777777" w:rsidR="001E5542" w:rsidRPr="001E5542" w:rsidRDefault="001E5542" w:rsidP="00A95E8D">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Apply course concepts to contemporary controversies involving antisemitism and anti-discrimination law.</w:t>
      </w:r>
    </w:p>
    <w:p w14:paraId="67A180BF"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5A575767">
          <v:rect id="Horizontal Line 3" o:spid="_x0000_s1041"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39D51AB8"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t>Week 1</w:t>
      </w:r>
    </w:p>
    <w:p w14:paraId="3F6EDDEF" w14:textId="77777777" w:rsidR="001E5542" w:rsidRPr="001E5542" w:rsidRDefault="001E5542" w:rsidP="001E554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E5542">
        <w:rPr>
          <w:rFonts w:ascii="Segoe UI" w:eastAsia="Times New Roman" w:hAnsi="Segoe UI" w:cs="Segoe UI"/>
          <w:b/>
          <w:bCs/>
          <w:kern w:val="0"/>
          <w:sz w:val="36"/>
          <w:szCs w:val="36"/>
          <w14:ligatures w14:val="none"/>
        </w:rPr>
        <w:t>Antisemitism and Liberal Democracy</w:t>
      </w:r>
    </w:p>
    <w:p w14:paraId="1B44F28B"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Readings</w:t>
      </w:r>
    </w:p>
    <w:p w14:paraId="3F19745F"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13</w:t>
      </w:r>
    </w:p>
    <w:p w14:paraId="4E922AFD" w14:textId="77777777" w:rsidR="001E5542" w:rsidRPr="001E5542" w:rsidRDefault="001E5542" w:rsidP="00A95E8D">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Émile Zola v. Judet and Others</w:t>
      </w:r>
      <w:r w:rsidRPr="001E5542">
        <w:rPr>
          <w:rFonts w:ascii="Segoe UI" w:eastAsia="Times New Roman" w:hAnsi="Segoe UI" w:cs="Segoe UI"/>
          <w:kern w:val="0"/>
          <w:sz w:val="21"/>
          <w:szCs w:val="21"/>
          <w14:ligatures w14:val="none"/>
        </w:rPr>
        <w:t xml:space="preserve"> (Cour d'Assises de la Seine 1898)</w:t>
      </w:r>
    </w:p>
    <w:p w14:paraId="58881AE1"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Description</w:t>
      </w:r>
    </w:p>
    <w:p w14:paraId="787C03F3"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The course begins with the Dreyfus Affair, one of the defining events in the history of modern antisemitism. The Affair introduces many themes that recur throughout the semester, including citizenship, equality, nationalism, the role of public institutions, the influence of public opinion, and the vulnerability of legal systems during periods of political crisis. It also introduces the role that </w:t>
      </w:r>
      <w:r w:rsidRPr="001E5542">
        <w:rPr>
          <w:rFonts w:ascii="Segoe UI" w:eastAsia="Times New Roman" w:hAnsi="Segoe UI" w:cs="Segoe UI"/>
          <w:kern w:val="0"/>
          <w:sz w:val="21"/>
          <w:szCs w:val="21"/>
          <w14:ligatures w14:val="none"/>
        </w:rPr>
        <w:lastRenderedPageBreak/>
        <w:t>allies and defenders of liberal democracy can play when legal institutions fail to protect unpopular minorities.</w:t>
      </w:r>
    </w:p>
    <w:p w14:paraId="48B075CA"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2B5C7692">
          <v:rect id="Horizontal Line 4" o:spid="_x0000_s1040"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34A3B19B"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t>Week 2</w:t>
      </w:r>
    </w:p>
    <w:p w14:paraId="06E15E61" w14:textId="77777777" w:rsidR="001E5542" w:rsidRPr="001E5542" w:rsidRDefault="001E5542" w:rsidP="001E554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E5542">
        <w:rPr>
          <w:rFonts w:ascii="Segoe UI" w:eastAsia="Times New Roman" w:hAnsi="Segoe UI" w:cs="Segoe UI"/>
          <w:b/>
          <w:bCs/>
          <w:kern w:val="0"/>
          <w:sz w:val="36"/>
          <w:szCs w:val="36"/>
          <w14:ligatures w14:val="none"/>
        </w:rPr>
        <w:t>Jews as Non-White and Off-White</w:t>
      </w:r>
    </w:p>
    <w:p w14:paraId="0EEE6544"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Readings</w:t>
      </w:r>
    </w:p>
    <w:p w14:paraId="6AAF93C1"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1.A. Latinos as Non-White for Remedial Purposes</w:t>
      </w:r>
    </w:p>
    <w:p w14:paraId="6CC439D6" w14:textId="77777777" w:rsidR="001E5542" w:rsidRPr="001E5542" w:rsidRDefault="001E5542" w:rsidP="00A95E8D">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Manzanares v. Safeway Stores, Inc.</w:t>
      </w:r>
      <w:r w:rsidRPr="001E5542">
        <w:rPr>
          <w:rFonts w:ascii="Segoe UI" w:eastAsia="Times New Roman" w:hAnsi="Segoe UI" w:cs="Segoe UI"/>
          <w:kern w:val="0"/>
          <w:sz w:val="21"/>
          <w:szCs w:val="21"/>
          <w14:ligatures w14:val="none"/>
        </w:rPr>
        <w:t>, 593 F.2d 968 (10th Cir. 1979)</w:t>
      </w:r>
    </w:p>
    <w:p w14:paraId="3EEBC812"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1.B. Jews as Non-White for Remedial Purposes</w:t>
      </w:r>
    </w:p>
    <w:p w14:paraId="766721A5" w14:textId="77777777" w:rsidR="001E5542" w:rsidRPr="001E5542" w:rsidRDefault="001E5542" w:rsidP="00A95E8D">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Shaare Tefila Congregation v. Cobb</w:t>
      </w:r>
      <w:r w:rsidRPr="001E5542">
        <w:rPr>
          <w:rFonts w:ascii="Segoe UI" w:eastAsia="Times New Roman" w:hAnsi="Segoe UI" w:cs="Segoe UI"/>
          <w:kern w:val="0"/>
          <w:sz w:val="21"/>
          <w:szCs w:val="21"/>
          <w14:ligatures w14:val="none"/>
        </w:rPr>
        <w:t>, 785 F.2d 523 (4th Cir. 1986)</w:t>
      </w:r>
    </w:p>
    <w:p w14:paraId="6D829F3D" w14:textId="77777777" w:rsidR="001E5542" w:rsidRPr="001E5542" w:rsidRDefault="001E5542" w:rsidP="00A95E8D">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Transcript of Oral Argument, </w:t>
      </w:r>
      <w:r w:rsidRPr="001E5542">
        <w:rPr>
          <w:rFonts w:ascii="Segoe UI" w:eastAsia="Times New Roman" w:hAnsi="Segoe UI" w:cs="Segoe UI"/>
          <w:i/>
          <w:iCs/>
          <w:kern w:val="0"/>
          <w:sz w:val="21"/>
          <w:szCs w:val="21"/>
          <w14:ligatures w14:val="none"/>
        </w:rPr>
        <w:t>Shaare Tefila Congregation v. Cobb</w:t>
      </w:r>
      <w:r w:rsidRPr="001E5542">
        <w:rPr>
          <w:rFonts w:ascii="Segoe UI" w:eastAsia="Times New Roman" w:hAnsi="Segoe UI" w:cs="Segoe UI"/>
          <w:kern w:val="0"/>
          <w:sz w:val="21"/>
          <w:szCs w:val="21"/>
          <w14:ligatures w14:val="none"/>
        </w:rPr>
        <w:t xml:space="preserve"> (U.S. Supreme Court 1987)</w:t>
      </w:r>
    </w:p>
    <w:p w14:paraId="4723E15E" w14:textId="77777777" w:rsidR="001E5542" w:rsidRPr="001E5542" w:rsidRDefault="001E5542" w:rsidP="00A95E8D">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Shaare Tefila Congregation v. Cobb</w:t>
      </w:r>
      <w:r w:rsidRPr="001E5542">
        <w:rPr>
          <w:rFonts w:ascii="Segoe UI" w:eastAsia="Times New Roman" w:hAnsi="Segoe UI" w:cs="Segoe UI"/>
          <w:kern w:val="0"/>
          <w:sz w:val="21"/>
          <w:szCs w:val="21"/>
          <w14:ligatures w14:val="none"/>
        </w:rPr>
        <w:t>, 481 U.S. 615 (1987)</w:t>
      </w:r>
    </w:p>
    <w:p w14:paraId="4689B6E1" w14:textId="77777777" w:rsidR="001E5542" w:rsidRPr="001E5542" w:rsidRDefault="001E5542" w:rsidP="00A95E8D">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Saint Francis College v. Al-Khazraji</w:t>
      </w:r>
      <w:r w:rsidRPr="001E5542">
        <w:rPr>
          <w:rFonts w:ascii="Segoe UI" w:eastAsia="Times New Roman" w:hAnsi="Segoe UI" w:cs="Segoe UI"/>
          <w:kern w:val="0"/>
          <w:sz w:val="21"/>
          <w:szCs w:val="21"/>
          <w14:ligatures w14:val="none"/>
        </w:rPr>
        <w:t>, 481 U.S. 604 (1987)</w:t>
      </w:r>
    </w:p>
    <w:p w14:paraId="2C39A683"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Selected Materials from Chapter 2</w:t>
      </w:r>
    </w:p>
    <w:p w14:paraId="3AB5C216" w14:textId="77777777" w:rsidR="001E5542" w:rsidRPr="001E5542" w:rsidRDefault="001E5542" w:rsidP="00A95E8D">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Kenneth L. Marcus, </w:t>
      </w:r>
      <w:r w:rsidRPr="001E5542">
        <w:rPr>
          <w:rFonts w:ascii="Segoe UI" w:eastAsia="Times New Roman" w:hAnsi="Segoe UI" w:cs="Segoe UI"/>
          <w:i/>
          <w:iCs/>
          <w:kern w:val="0"/>
          <w:sz w:val="21"/>
          <w:szCs w:val="21"/>
          <w14:ligatures w14:val="none"/>
        </w:rPr>
        <w:t>The Jewish Racial Question</w:t>
      </w:r>
      <w:r w:rsidRPr="001E5542">
        <w:rPr>
          <w:rFonts w:ascii="Segoe UI" w:eastAsia="Times New Roman" w:hAnsi="Segoe UI" w:cs="Segoe UI"/>
          <w:kern w:val="0"/>
          <w:sz w:val="21"/>
          <w:szCs w:val="21"/>
          <w14:ligatures w14:val="none"/>
        </w:rPr>
        <w:t xml:space="preserve"> (2007)</w:t>
      </w:r>
    </w:p>
    <w:p w14:paraId="69E39F4E" w14:textId="77777777" w:rsidR="001E5542" w:rsidRPr="001E5542" w:rsidRDefault="001E5542" w:rsidP="00A95E8D">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Are Jews White?</w:t>
      </w:r>
      <w:r w:rsidRPr="001E5542">
        <w:rPr>
          <w:rFonts w:ascii="Segoe UI" w:eastAsia="Times New Roman" w:hAnsi="Segoe UI" w:cs="Segoe UI"/>
          <w:kern w:val="0"/>
          <w:sz w:val="21"/>
          <w:szCs w:val="21"/>
          <w14:ligatures w14:val="none"/>
        </w:rPr>
        <w:t xml:space="preserve"> (Adventures in Jewish Studies Podcast 2021)</w:t>
      </w:r>
    </w:p>
    <w:p w14:paraId="5C6360F4" w14:textId="77777777" w:rsidR="001E5542" w:rsidRPr="001E5542" w:rsidRDefault="001E5542" w:rsidP="00A95E8D">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David Schraub, </w:t>
      </w:r>
      <w:r w:rsidRPr="001E5542">
        <w:rPr>
          <w:rFonts w:ascii="Segoe UI" w:eastAsia="Times New Roman" w:hAnsi="Segoe UI" w:cs="Segoe UI"/>
          <w:i/>
          <w:iCs/>
          <w:kern w:val="0"/>
          <w:sz w:val="21"/>
          <w:szCs w:val="21"/>
          <w14:ligatures w14:val="none"/>
        </w:rPr>
        <w:t>White Jews: An Intersectional Approach</w:t>
      </w:r>
      <w:r w:rsidRPr="001E5542">
        <w:rPr>
          <w:rFonts w:ascii="Segoe UI" w:eastAsia="Times New Roman" w:hAnsi="Segoe UI" w:cs="Segoe UI"/>
          <w:kern w:val="0"/>
          <w:sz w:val="21"/>
          <w:szCs w:val="21"/>
          <w14:ligatures w14:val="none"/>
        </w:rPr>
        <w:t xml:space="preserve"> (2019)</w:t>
      </w:r>
    </w:p>
    <w:p w14:paraId="6B8B66E0"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Description</w:t>
      </w:r>
    </w:p>
    <w:p w14:paraId="5DF69157"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This week examines one of the foundational questions of the course: how anti-discrimination law classifies Jews. The materials explore whether statutes enacted to prohibit racial discrimination protect Jews and the competing theories courts have developed to answer that question. The cases reveal tensions among race, ancestry, ethnicity, religion, and peoplehood while illustrating how antisemitism often exposes the limitations of legal categories that appear clear and stable in other contexts. The week also introduces contemporary debates concerning Jewish whiteness, racialization, and intersectionality.</w:t>
      </w:r>
    </w:p>
    <w:p w14:paraId="57329B15"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2E608006">
          <v:rect id="Horizontal Line 5" o:spid="_x0000_s1039"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4B7464B9"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lastRenderedPageBreak/>
        <w:t>Week 3</w:t>
      </w:r>
    </w:p>
    <w:p w14:paraId="4B48DCDB" w14:textId="77777777" w:rsidR="001E5542" w:rsidRPr="001E5542" w:rsidRDefault="001E5542" w:rsidP="001E554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E5542">
        <w:rPr>
          <w:rFonts w:ascii="Segoe UI" w:eastAsia="Times New Roman" w:hAnsi="Segoe UI" w:cs="Segoe UI"/>
          <w:b/>
          <w:bCs/>
          <w:kern w:val="0"/>
          <w:sz w:val="36"/>
          <w:szCs w:val="36"/>
          <w14:ligatures w14:val="none"/>
        </w:rPr>
        <w:t>Jews as Off-White and Jews as Ethnic</w:t>
      </w:r>
    </w:p>
    <w:p w14:paraId="454D9A9F"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Readings</w:t>
      </w:r>
    </w:p>
    <w:p w14:paraId="4D31902A"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3.A. Jews as an Ethnoracial Group</w:t>
      </w:r>
    </w:p>
    <w:p w14:paraId="01748343" w14:textId="77777777" w:rsidR="001E5542" w:rsidRPr="001E5542" w:rsidRDefault="001E5542" w:rsidP="00A95E8D">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Mandla v. Dowell Lee</w:t>
      </w:r>
      <w:r w:rsidRPr="001E5542">
        <w:rPr>
          <w:rFonts w:ascii="Segoe UI" w:eastAsia="Times New Roman" w:hAnsi="Segoe UI" w:cs="Segoe UI"/>
          <w:kern w:val="0"/>
          <w:sz w:val="21"/>
          <w:szCs w:val="21"/>
          <w14:ligatures w14:val="none"/>
        </w:rPr>
        <w:t xml:space="preserve"> [1982] Q.B. 1 (C.A.)</w:t>
      </w:r>
    </w:p>
    <w:p w14:paraId="6DDC594F"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3.B. Jews as an Ethnoreligious Group</w:t>
      </w:r>
    </w:p>
    <w:p w14:paraId="395B1FD7" w14:textId="77777777" w:rsidR="001E5542" w:rsidRPr="001E5542" w:rsidRDefault="001E5542" w:rsidP="00A95E8D">
      <w:pPr>
        <w:numPr>
          <w:ilvl w:val="0"/>
          <w:numId w:val="8"/>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Mandla v. Dowell Lee</w:t>
      </w:r>
      <w:r w:rsidRPr="001E5542">
        <w:rPr>
          <w:rFonts w:ascii="Segoe UI" w:eastAsia="Times New Roman" w:hAnsi="Segoe UI" w:cs="Segoe UI"/>
          <w:kern w:val="0"/>
          <w:sz w:val="21"/>
          <w:szCs w:val="21"/>
          <w14:ligatures w14:val="none"/>
        </w:rPr>
        <w:t xml:space="preserve"> [1983] 2 A.C. 548 (H.L.)</w:t>
      </w:r>
    </w:p>
    <w:p w14:paraId="77E14EF2"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Description</w:t>
      </w:r>
    </w:p>
    <w:p w14:paraId="199EA3EF"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This week continues the examination of Jewish identity by focusing on ethnicity, peoplehood, and the relationship between legal classification and social reality. The materials compare American and British approaches to anti-discrimination law and demonstrate how different legal systems have attempted to explain why Jews merit protection. The readings illuminate recurring questions concerning the adequacy of conventional categories such as race, religion, ethnicity, and nationality.</w:t>
      </w:r>
    </w:p>
    <w:p w14:paraId="7603D1A0"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16F1C43C">
          <v:rect id="Horizontal Line 6" o:spid="_x0000_s1038"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0B8DE41C"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t>Week 4</w:t>
      </w:r>
    </w:p>
    <w:p w14:paraId="5D74B8BF" w14:textId="77777777" w:rsidR="001E5542" w:rsidRPr="001E5542" w:rsidRDefault="001E5542" w:rsidP="001E554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E5542">
        <w:rPr>
          <w:rFonts w:ascii="Segoe UI" w:eastAsia="Times New Roman" w:hAnsi="Segoe UI" w:cs="Segoe UI"/>
          <w:b/>
          <w:bCs/>
          <w:kern w:val="0"/>
          <w:sz w:val="36"/>
          <w:szCs w:val="36"/>
          <w14:ligatures w14:val="none"/>
        </w:rPr>
        <w:t>Jews as Jewish</w:t>
      </w:r>
    </w:p>
    <w:p w14:paraId="61E06887"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Readings</w:t>
      </w:r>
    </w:p>
    <w:p w14:paraId="7916E785"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4.A. The Definition of “Jew” Under the Law of Return</w:t>
      </w:r>
    </w:p>
    <w:p w14:paraId="7EBCC968" w14:textId="77777777" w:rsidR="001E5542" w:rsidRPr="001E5542" w:rsidRDefault="001E5542" w:rsidP="00A95E8D">
      <w:pPr>
        <w:numPr>
          <w:ilvl w:val="0"/>
          <w:numId w:val="9"/>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Rufeisen v. Minister of the Interior</w:t>
      </w:r>
      <w:r w:rsidRPr="001E5542">
        <w:rPr>
          <w:rFonts w:ascii="Segoe UI" w:eastAsia="Times New Roman" w:hAnsi="Segoe UI" w:cs="Segoe UI"/>
          <w:kern w:val="0"/>
          <w:sz w:val="21"/>
          <w:szCs w:val="21"/>
          <w14:ligatures w14:val="none"/>
        </w:rPr>
        <w:t xml:space="preserve"> (Brother Daniel Case), HCJ 72/62, 16 P.D. 2428 (1962)</w:t>
      </w:r>
    </w:p>
    <w:p w14:paraId="2B8790CB"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4.B. Jewish Status in Reform Judaism</w:t>
      </w:r>
    </w:p>
    <w:p w14:paraId="0ACA98E3" w14:textId="77777777" w:rsidR="001E5542" w:rsidRPr="001E5542" w:rsidRDefault="001E5542" w:rsidP="00A95E8D">
      <w:pPr>
        <w:numPr>
          <w:ilvl w:val="0"/>
          <w:numId w:val="10"/>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Central Conference of American Rabbis, </w:t>
      </w:r>
      <w:r w:rsidRPr="001E5542">
        <w:rPr>
          <w:rFonts w:ascii="Segoe UI" w:eastAsia="Times New Roman" w:hAnsi="Segoe UI" w:cs="Segoe UI"/>
          <w:i/>
          <w:iCs/>
          <w:kern w:val="0"/>
          <w:sz w:val="21"/>
          <w:szCs w:val="21"/>
          <w14:ligatures w14:val="none"/>
        </w:rPr>
        <w:t>The Status of Children of Mixed Marriages</w:t>
      </w:r>
      <w:r w:rsidRPr="001E5542">
        <w:rPr>
          <w:rFonts w:ascii="Segoe UI" w:eastAsia="Times New Roman" w:hAnsi="Segoe UI" w:cs="Segoe UI"/>
          <w:kern w:val="0"/>
          <w:sz w:val="21"/>
          <w:szCs w:val="21"/>
          <w14:ligatures w14:val="none"/>
        </w:rPr>
        <w:t xml:space="preserve"> (1983)</w:t>
      </w:r>
    </w:p>
    <w:p w14:paraId="1957E77A"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4.C. Zionism as a Jewish American Project</w:t>
      </w:r>
    </w:p>
    <w:p w14:paraId="5C57F0D6" w14:textId="77777777" w:rsidR="001E5542" w:rsidRPr="001E5542" w:rsidRDefault="001E5542" w:rsidP="00A95E8D">
      <w:pPr>
        <w:numPr>
          <w:ilvl w:val="0"/>
          <w:numId w:val="11"/>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lastRenderedPageBreak/>
        <w:t xml:space="preserve">Louis D. Brandeis, </w:t>
      </w:r>
      <w:r w:rsidRPr="001E5542">
        <w:rPr>
          <w:rFonts w:ascii="Segoe UI" w:eastAsia="Times New Roman" w:hAnsi="Segoe UI" w:cs="Segoe UI"/>
          <w:i/>
          <w:iCs/>
          <w:kern w:val="0"/>
          <w:sz w:val="21"/>
          <w:szCs w:val="21"/>
          <w14:ligatures w14:val="none"/>
        </w:rPr>
        <w:t>The Jewish Problem: How to Solve It</w:t>
      </w:r>
      <w:r w:rsidRPr="001E5542">
        <w:rPr>
          <w:rFonts w:ascii="Segoe UI" w:eastAsia="Times New Roman" w:hAnsi="Segoe UI" w:cs="Segoe UI"/>
          <w:kern w:val="0"/>
          <w:sz w:val="21"/>
          <w:szCs w:val="21"/>
          <w14:ligatures w14:val="none"/>
        </w:rPr>
        <w:t xml:space="preserve"> (1915)</w:t>
      </w:r>
    </w:p>
    <w:p w14:paraId="34BF2074"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Description</w:t>
      </w:r>
    </w:p>
    <w:p w14:paraId="234CCC66"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This week examines competing answers to the question “Who is a Jew?” Different legal, political, and religious institutions must develop rules governing Jewish membership, but they do not necessarily reach identical conclusions. The materials explore religious and secular definitions of Jewish identity before turning to Zionism as one influential understanding of Jewish peoplehood, nationhood, and collective self-determination.</w:t>
      </w:r>
    </w:p>
    <w:p w14:paraId="544A18C1"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09DF9AF2">
          <v:rect id="Horizontal Line 7" o:spid="_x0000_s1037"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39A48AB1"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t>Week 5</w:t>
      </w:r>
    </w:p>
    <w:p w14:paraId="78697553" w14:textId="77777777" w:rsidR="001E5542" w:rsidRPr="001E5542" w:rsidRDefault="001E5542" w:rsidP="001E554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E5542">
        <w:rPr>
          <w:rFonts w:ascii="Segoe UI" w:eastAsia="Times New Roman" w:hAnsi="Segoe UI" w:cs="Segoe UI"/>
          <w:b/>
          <w:bCs/>
          <w:kern w:val="0"/>
          <w:sz w:val="36"/>
          <w:szCs w:val="36"/>
          <w14:ligatures w14:val="none"/>
        </w:rPr>
        <w:t>Jews as Racist</w:t>
      </w:r>
    </w:p>
    <w:p w14:paraId="00C6E6DE"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Readings</w:t>
      </w:r>
    </w:p>
    <w:p w14:paraId="699393E9"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5.A. Are Jewish Clauses Racist?</w:t>
      </w:r>
    </w:p>
    <w:p w14:paraId="5D9E3380" w14:textId="77777777" w:rsidR="001E5542" w:rsidRPr="001E5542" w:rsidRDefault="001E5542" w:rsidP="00A95E8D">
      <w:pPr>
        <w:numPr>
          <w:ilvl w:val="0"/>
          <w:numId w:val="12"/>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Shapira v. Union National Bank</w:t>
      </w:r>
      <w:r w:rsidRPr="001E5542">
        <w:rPr>
          <w:rFonts w:ascii="Segoe UI" w:eastAsia="Times New Roman" w:hAnsi="Segoe UI" w:cs="Segoe UI"/>
          <w:kern w:val="0"/>
          <w:sz w:val="21"/>
          <w:szCs w:val="21"/>
          <w14:ligatures w14:val="none"/>
        </w:rPr>
        <w:t>, 39 Ohio Misc. 28, 315 N.E.2d 825 (Ct. Com. Pl. 1974)</w:t>
      </w:r>
    </w:p>
    <w:p w14:paraId="192AA359" w14:textId="77777777" w:rsidR="001E5542" w:rsidRPr="001E5542" w:rsidRDefault="001E5542" w:rsidP="00A95E8D">
      <w:pPr>
        <w:numPr>
          <w:ilvl w:val="0"/>
          <w:numId w:val="12"/>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In re Estate of Feinberg</w:t>
      </w:r>
      <w:r w:rsidRPr="001E5542">
        <w:rPr>
          <w:rFonts w:ascii="Segoe UI" w:eastAsia="Times New Roman" w:hAnsi="Segoe UI" w:cs="Segoe UI"/>
          <w:kern w:val="0"/>
          <w:sz w:val="21"/>
          <w:szCs w:val="21"/>
          <w14:ligatures w14:val="none"/>
        </w:rPr>
        <w:t>, 235 Ill. 2d 256, 919 N.E.2d 888 (2009)</w:t>
      </w:r>
    </w:p>
    <w:p w14:paraId="13C94BC0" w14:textId="77777777" w:rsidR="001E5542" w:rsidRPr="001E5542" w:rsidRDefault="001E5542" w:rsidP="00A95E8D">
      <w:pPr>
        <w:numPr>
          <w:ilvl w:val="0"/>
          <w:numId w:val="12"/>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Re Samuel, Jacobs v. Ramsden</w:t>
      </w:r>
      <w:r w:rsidRPr="001E5542">
        <w:rPr>
          <w:rFonts w:ascii="Segoe UI" w:eastAsia="Times New Roman" w:hAnsi="Segoe UI" w:cs="Segoe UI"/>
          <w:kern w:val="0"/>
          <w:sz w:val="21"/>
          <w:szCs w:val="21"/>
          <w14:ligatures w14:val="none"/>
        </w:rPr>
        <w:t xml:space="preserve"> [1943] Ch. 408</w:t>
      </w:r>
    </w:p>
    <w:p w14:paraId="2C6BC3FE" w14:textId="77777777" w:rsidR="001E5542" w:rsidRPr="001E5542" w:rsidRDefault="001E5542" w:rsidP="00A95E8D">
      <w:pPr>
        <w:numPr>
          <w:ilvl w:val="0"/>
          <w:numId w:val="12"/>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Clayton v. Ramsden</w:t>
      </w:r>
      <w:r w:rsidRPr="001E5542">
        <w:rPr>
          <w:rFonts w:ascii="Segoe UI" w:eastAsia="Times New Roman" w:hAnsi="Segoe UI" w:cs="Segoe UI"/>
          <w:kern w:val="0"/>
          <w:sz w:val="21"/>
          <w:szCs w:val="21"/>
          <w14:ligatures w14:val="none"/>
        </w:rPr>
        <w:t xml:space="preserve"> [1943] A.C. 320</w:t>
      </w:r>
    </w:p>
    <w:p w14:paraId="3D4AA670" w14:textId="77777777" w:rsidR="001E5542" w:rsidRPr="001E5542" w:rsidRDefault="001E5542" w:rsidP="00A95E8D">
      <w:pPr>
        <w:numPr>
          <w:ilvl w:val="0"/>
          <w:numId w:val="12"/>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Re Tuck's Settlement Trusts</w:t>
      </w:r>
      <w:r w:rsidRPr="001E5542">
        <w:rPr>
          <w:rFonts w:ascii="Segoe UI" w:eastAsia="Times New Roman" w:hAnsi="Segoe UI" w:cs="Segoe UI"/>
          <w:kern w:val="0"/>
          <w:sz w:val="21"/>
          <w:szCs w:val="21"/>
          <w14:ligatures w14:val="none"/>
        </w:rPr>
        <w:t xml:space="preserve"> [1978] Ch. 49</w:t>
      </w:r>
    </w:p>
    <w:p w14:paraId="73DFF53F"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5.B. Are Halakhically-Based Admissions Policies Racist?</w:t>
      </w:r>
    </w:p>
    <w:p w14:paraId="71D05491" w14:textId="77777777" w:rsidR="001E5542" w:rsidRPr="001E5542" w:rsidRDefault="001E5542" w:rsidP="00A95E8D">
      <w:pPr>
        <w:numPr>
          <w:ilvl w:val="0"/>
          <w:numId w:val="13"/>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R (E) v. Governing Body of JFS</w:t>
      </w:r>
      <w:r w:rsidRPr="001E5542">
        <w:rPr>
          <w:rFonts w:ascii="Segoe UI" w:eastAsia="Times New Roman" w:hAnsi="Segoe UI" w:cs="Segoe UI"/>
          <w:kern w:val="0"/>
          <w:sz w:val="21"/>
          <w:szCs w:val="21"/>
          <w14:ligatures w14:val="none"/>
        </w:rPr>
        <w:t xml:space="preserve"> [2009] UKSC 15</w:t>
      </w:r>
    </w:p>
    <w:p w14:paraId="6049210E"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5.C. Is Zionism Racist?</w:t>
      </w:r>
    </w:p>
    <w:p w14:paraId="708602F4" w14:textId="77777777" w:rsidR="001E5542" w:rsidRPr="001E5542" w:rsidRDefault="001E5542" w:rsidP="00A95E8D">
      <w:pPr>
        <w:numPr>
          <w:ilvl w:val="0"/>
          <w:numId w:val="14"/>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U.N. General Assembly Resolution 3379, U.N. Doc. A/RES/3379 (1975)</w:t>
      </w:r>
    </w:p>
    <w:p w14:paraId="602C47EB"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Description</w:t>
      </w:r>
    </w:p>
    <w:p w14:paraId="1DCFF730"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This week examines claims that Jewish institutions, practices, or collective projects are discriminatory or racist. The materials address marriage preferences, inheritance restrictions, admissions policies, and allegations that Zionism constitutes racism. These controversies cannot be understood without confronting the questions of identity, peoplehood, and collective existence explored in the preceding weeks.</w:t>
      </w:r>
    </w:p>
    <w:p w14:paraId="4E4AA6BB"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7CBA787D">
          <v:rect id="Horizontal Line 8" o:spid="_x0000_s103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20EB39EA"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t>Week 6</w:t>
      </w:r>
    </w:p>
    <w:p w14:paraId="7B1981A6" w14:textId="77777777" w:rsidR="001E5542" w:rsidRPr="001E5542" w:rsidRDefault="001E5542" w:rsidP="001E554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E5542">
        <w:rPr>
          <w:rFonts w:ascii="Segoe UI" w:eastAsia="Times New Roman" w:hAnsi="Segoe UI" w:cs="Segoe UI"/>
          <w:b/>
          <w:bCs/>
          <w:kern w:val="0"/>
          <w:sz w:val="36"/>
          <w:szCs w:val="36"/>
          <w14:ligatures w14:val="none"/>
        </w:rPr>
        <w:t>Jews as Diabolical and Defamation</w:t>
      </w:r>
    </w:p>
    <w:p w14:paraId="1C8FADA0"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Readings</w:t>
      </w:r>
    </w:p>
    <w:p w14:paraId="4F049164"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6.A. Jews as Heretical</w:t>
      </w:r>
    </w:p>
    <w:p w14:paraId="7D4A80FE" w14:textId="77777777" w:rsidR="001E5542" w:rsidRPr="001E5542" w:rsidRDefault="001E5542" w:rsidP="00A95E8D">
      <w:pPr>
        <w:numPr>
          <w:ilvl w:val="0"/>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The Trial of Juana González for Judaizing</w:t>
      </w:r>
      <w:r w:rsidRPr="001E5542">
        <w:rPr>
          <w:rFonts w:ascii="Segoe UI" w:eastAsia="Times New Roman" w:hAnsi="Segoe UI" w:cs="Segoe UI"/>
          <w:kern w:val="0"/>
          <w:sz w:val="21"/>
          <w:szCs w:val="21"/>
          <w14:ligatures w14:val="none"/>
        </w:rPr>
        <w:t xml:space="preserve"> (Spanish Inquisition, sixteenth century)</w:t>
      </w:r>
    </w:p>
    <w:p w14:paraId="2E437E0B"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6.B. Jews as Sub-Human</w:t>
      </w:r>
    </w:p>
    <w:p w14:paraId="6E4749E1" w14:textId="77777777" w:rsidR="001E5542" w:rsidRPr="001E5542" w:rsidRDefault="001E5542" w:rsidP="00A95E8D">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Judgment on the Jewish Status of a Mischling</w:t>
      </w:r>
      <w:r w:rsidRPr="001E5542">
        <w:rPr>
          <w:rFonts w:ascii="Segoe UI" w:eastAsia="Times New Roman" w:hAnsi="Segoe UI" w:cs="Segoe UI"/>
          <w:kern w:val="0"/>
          <w:sz w:val="21"/>
          <w:szCs w:val="21"/>
          <w14:ligatures w14:val="none"/>
        </w:rPr>
        <w:t xml:space="preserve"> (Nazi Germany 1942)</w:t>
      </w:r>
    </w:p>
    <w:p w14:paraId="3FEA2D6E"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7.A. Contesting the Blood Libel</w:t>
      </w:r>
    </w:p>
    <w:p w14:paraId="15DDB5FF" w14:textId="77777777" w:rsidR="001E5542" w:rsidRPr="001E5542" w:rsidRDefault="001E5542" w:rsidP="00A95E8D">
      <w:pPr>
        <w:numPr>
          <w:ilvl w:val="0"/>
          <w:numId w:val="17"/>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lang w:val="es-ES"/>
          <w14:ligatures w14:val="none"/>
        </w:rPr>
        <w:t>Ortenberg v. Plamondon</w:t>
      </w:r>
      <w:r w:rsidRPr="001E5542">
        <w:rPr>
          <w:rFonts w:ascii="Segoe UI" w:eastAsia="Times New Roman" w:hAnsi="Segoe UI" w:cs="Segoe UI"/>
          <w:kern w:val="0"/>
          <w:sz w:val="21"/>
          <w:szCs w:val="21"/>
          <w:lang w:val="es-ES"/>
          <w14:ligatures w14:val="none"/>
        </w:rPr>
        <w:t xml:space="preserve">, 41 Que. Super. </w:t>
      </w:r>
      <w:r w:rsidRPr="001E5542">
        <w:rPr>
          <w:rFonts w:ascii="Segoe UI" w:eastAsia="Times New Roman" w:hAnsi="Segoe UI" w:cs="Segoe UI"/>
          <w:kern w:val="0"/>
          <w:sz w:val="21"/>
          <w:szCs w:val="21"/>
          <w14:ligatures w14:val="none"/>
        </w:rPr>
        <w:t>Ct. 71 (1910)</w:t>
      </w:r>
    </w:p>
    <w:p w14:paraId="759BB3BA"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7.B. Debunking the Protocols</w:t>
      </w:r>
    </w:p>
    <w:p w14:paraId="714ADA55" w14:textId="77777777" w:rsidR="001E5542" w:rsidRPr="001E5542" w:rsidRDefault="001E5542" w:rsidP="00A95E8D">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Levy v. von Moltke</w:t>
      </w:r>
      <w:r w:rsidRPr="001E5542">
        <w:rPr>
          <w:rFonts w:ascii="Segoe UI" w:eastAsia="Times New Roman" w:hAnsi="Segoe UI" w:cs="Segoe UI"/>
          <w:kern w:val="0"/>
          <w:sz w:val="21"/>
          <w:szCs w:val="21"/>
          <w14:ligatures w14:val="none"/>
        </w:rPr>
        <w:t xml:space="preserve"> (Berlin District Court 1928)</w:t>
      </w:r>
    </w:p>
    <w:p w14:paraId="5FA6E125"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7.C. Debunking Holocaust Denial</w:t>
      </w:r>
    </w:p>
    <w:p w14:paraId="2018226F" w14:textId="77777777" w:rsidR="001E5542" w:rsidRPr="001E5542" w:rsidRDefault="001E5542" w:rsidP="00A95E8D">
      <w:pPr>
        <w:numPr>
          <w:ilvl w:val="0"/>
          <w:numId w:val="19"/>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Irving v. Penguin Books Ltd. &amp; Deborah Lipstadt</w:t>
      </w:r>
      <w:r w:rsidRPr="001E5542">
        <w:rPr>
          <w:rFonts w:ascii="Segoe UI" w:eastAsia="Times New Roman" w:hAnsi="Segoe UI" w:cs="Segoe UI"/>
          <w:kern w:val="0"/>
          <w:sz w:val="21"/>
          <w:szCs w:val="21"/>
          <w14:ligatures w14:val="none"/>
        </w:rPr>
        <w:t xml:space="preserve"> [2000] EWHC QB 115</w:t>
      </w:r>
    </w:p>
    <w:p w14:paraId="58EDB591"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Description</w:t>
      </w:r>
    </w:p>
    <w:p w14:paraId="325B7330"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This week explores some of the most influential legal manifestations of antisemitism. The materials move from medieval and early modern anti-Jewish measures to Nazi racial law and modern litigation involving blood libels, conspiracy theories, and Holocaust denial. Together they illustrate both the capacity of legal systems to facilitate antisemitism and the capacity of law to challenge and repudiate antisemitic falsehoods.</w:t>
      </w:r>
    </w:p>
    <w:p w14:paraId="795EC769"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7BE6E57E">
          <v:rect id="Horizontal Line 9" o:spid="_x0000_s1035"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4414F238"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t>Week 7</w:t>
      </w:r>
    </w:p>
    <w:p w14:paraId="729D178C" w14:textId="77777777" w:rsidR="001E5542" w:rsidRPr="001E5542" w:rsidRDefault="001E5542" w:rsidP="001E554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E5542">
        <w:rPr>
          <w:rFonts w:ascii="Segoe UI" w:eastAsia="Times New Roman" w:hAnsi="Segoe UI" w:cs="Segoe UI"/>
          <w:b/>
          <w:bCs/>
          <w:kern w:val="0"/>
          <w:sz w:val="36"/>
          <w:szCs w:val="36"/>
          <w14:ligatures w14:val="none"/>
        </w:rPr>
        <w:lastRenderedPageBreak/>
        <w:t>Hate Speech</w:t>
      </w:r>
    </w:p>
    <w:p w14:paraId="0F9D4176"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Readings</w:t>
      </w:r>
    </w:p>
    <w:p w14:paraId="1EE4F90D"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8.A. Non-Litigation Responses to Antisemitic Speech</w:t>
      </w:r>
    </w:p>
    <w:p w14:paraId="51332F81" w14:textId="77777777" w:rsidR="001E5542" w:rsidRPr="001E5542" w:rsidRDefault="001E5542" w:rsidP="00A95E8D">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Henry Ford, </w:t>
      </w:r>
      <w:r w:rsidRPr="001E5542">
        <w:rPr>
          <w:rFonts w:ascii="Segoe UI" w:eastAsia="Times New Roman" w:hAnsi="Segoe UI" w:cs="Segoe UI"/>
          <w:i/>
          <w:iCs/>
          <w:kern w:val="0"/>
          <w:sz w:val="21"/>
          <w:szCs w:val="21"/>
          <w14:ligatures w14:val="none"/>
        </w:rPr>
        <w:t>Statement Regarding Charges Against Jews Made in His Publications</w:t>
      </w:r>
      <w:r w:rsidRPr="001E5542">
        <w:rPr>
          <w:rFonts w:ascii="Segoe UI" w:eastAsia="Times New Roman" w:hAnsi="Segoe UI" w:cs="Segoe UI"/>
          <w:kern w:val="0"/>
          <w:sz w:val="21"/>
          <w:szCs w:val="21"/>
          <w14:ligatures w14:val="none"/>
        </w:rPr>
        <w:t xml:space="preserve"> (1927)</w:t>
      </w:r>
    </w:p>
    <w:p w14:paraId="33B24227" w14:textId="77777777" w:rsidR="001E5542" w:rsidRPr="001E5542" w:rsidRDefault="001E5542" w:rsidP="00A95E8D">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Louis Marshall, </w:t>
      </w:r>
      <w:r w:rsidRPr="001E5542">
        <w:rPr>
          <w:rFonts w:ascii="Segoe UI" w:eastAsia="Times New Roman" w:hAnsi="Segoe UI" w:cs="Segoe UI"/>
          <w:i/>
          <w:iCs/>
          <w:kern w:val="0"/>
          <w:sz w:val="21"/>
          <w:szCs w:val="21"/>
          <w14:ligatures w14:val="none"/>
        </w:rPr>
        <w:t>Reply to Mr. Ford</w:t>
      </w:r>
      <w:r w:rsidRPr="001E5542">
        <w:rPr>
          <w:rFonts w:ascii="Segoe UI" w:eastAsia="Times New Roman" w:hAnsi="Segoe UI" w:cs="Segoe UI"/>
          <w:kern w:val="0"/>
          <w:sz w:val="21"/>
          <w:szCs w:val="21"/>
          <w14:ligatures w14:val="none"/>
        </w:rPr>
        <w:t xml:space="preserve"> (1927)</w:t>
      </w:r>
    </w:p>
    <w:p w14:paraId="58A0A749"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8.B. Antisemitic Speech as Protected Speech</w:t>
      </w:r>
    </w:p>
    <w:p w14:paraId="263E828C" w14:textId="77777777" w:rsidR="001E5542" w:rsidRPr="001E5542" w:rsidRDefault="001E5542" w:rsidP="00A95E8D">
      <w:pPr>
        <w:numPr>
          <w:ilvl w:val="0"/>
          <w:numId w:val="21"/>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Collin v. Smith</w:t>
      </w:r>
      <w:r w:rsidRPr="001E5542">
        <w:rPr>
          <w:rFonts w:ascii="Segoe UI" w:eastAsia="Times New Roman" w:hAnsi="Segoe UI" w:cs="Segoe UI"/>
          <w:kern w:val="0"/>
          <w:sz w:val="21"/>
          <w:szCs w:val="21"/>
          <w14:ligatures w14:val="none"/>
        </w:rPr>
        <w:t>, 578 F.2d 1197 (7th Cir. 1978)</w:t>
      </w:r>
    </w:p>
    <w:p w14:paraId="47230555"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Description</w:t>
      </w:r>
    </w:p>
    <w:p w14:paraId="25906ADE"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This week examines antisemitic speech through the lens of American free-speech doctrine. The materials explore both legal and non-legal responses to antisemitic advocacy, the constitutional protection of hateful expression, and the difficult balance between freedom of expression and protection against the harms caused by antisemitic speech. The Skokie litigation remains one of the most important examples of how American law confronts that tension.</w:t>
      </w:r>
    </w:p>
    <w:p w14:paraId="30608A16"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16296F8A">
          <v:rect id="Horizontal Line 10" o:spid="_x0000_s1034"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029E33C1"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t>Week 8</w:t>
      </w:r>
    </w:p>
    <w:p w14:paraId="0A342AB7" w14:textId="77777777" w:rsidR="001E5542" w:rsidRPr="001E5542" w:rsidRDefault="001E5542" w:rsidP="001E554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E5542">
        <w:rPr>
          <w:rFonts w:ascii="Segoe UI" w:eastAsia="Times New Roman" w:hAnsi="Segoe UI" w:cs="Segoe UI"/>
          <w:b/>
          <w:bCs/>
          <w:kern w:val="0"/>
          <w:sz w:val="36"/>
          <w:szCs w:val="36"/>
          <w14:ligatures w14:val="none"/>
        </w:rPr>
        <w:t>Online Hate Speech and Comparative Hate Speech</w:t>
      </w:r>
    </w:p>
    <w:p w14:paraId="0E57596C"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Readings</w:t>
      </w:r>
    </w:p>
    <w:p w14:paraId="480E2B6A"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9.A. Applying Defamation Law to Platform Regulation</w:t>
      </w:r>
    </w:p>
    <w:p w14:paraId="62A44C06" w14:textId="77777777" w:rsidR="001E5542" w:rsidRPr="001E5542" w:rsidRDefault="001E5542" w:rsidP="00A95E8D">
      <w:pPr>
        <w:numPr>
          <w:ilvl w:val="0"/>
          <w:numId w:val="22"/>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Stratton Oakmont, Inc. v. Prodigy Services Co.</w:t>
      </w:r>
      <w:r w:rsidRPr="001E5542">
        <w:rPr>
          <w:rFonts w:ascii="Segoe UI" w:eastAsia="Times New Roman" w:hAnsi="Segoe UI" w:cs="Segoe UI"/>
          <w:kern w:val="0"/>
          <w:sz w:val="21"/>
          <w:szCs w:val="21"/>
          <w14:ligatures w14:val="none"/>
        </w:rPr>
        <w:t>, 1995 WL 323710 (N.Y. Sup. Ct. May 24, 1995)</w:t>
      </w:r>
    </w:p>
    <w:p w14:paraId="5405617D"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9.B. Platform Regulation Under Section 230</w:t>
      </w:r>
    </w:p>
    <w:p w14:paraId="6D79D40C" w14:textId="77777777" w:rsidR="001E5542" w:rsidRPr="001E5542" w:rsidRDefault="001E5542" w:rsidP="00A95E8D">
      <w:pPr>
        <w:numPr>
          <w:ilvl w:val="0"/>
          <w:numId w:val="23"/>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Zeran v. America Online, Inc.</w:t>
      </w:r>
      <w:r w:rsidRPr="001E5542">
        <w:rPr>
          <w:rFonts w:ascii="Segoe UI" w:eastAsia="Times New Roman" w:hAnsi="Segoe UI" w:cs="Segoe UI"/>
          <w:kern w:val="0"/>
          <w:sz w:val="21"/>
          <w:szCs w:val="21"/>
          <w14:ligatures w14:val="none"/>
        </w:rPr>
        <w:t>, 129 F.3d 327 (4th Cir. 1997)</w:t>
      </w:r>
    </w:p>
    <w:p w14:paraId="75C8AFD1"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9.C. Challenges to Broad Immunity for Platforms</w:t>
      </w:r>
    </w:p>
    <w:p w14:paraId="2F0DCE80" w14:textId="77777777" w:rsidR="001E5542" w:rsidRPr="001E5542" w:rsidRDefault="001E5542" w:rsidP="00A95E8D">
      <w:pPr>
        <w:numPr>
          <w:ilvl w:val="0"/>
          <w:numId w:val="24"/>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Force v. Facebook, Inc.</w:t>
      </w:r>
      <w:r w:rsidRPr="001E5542">
        <w:rPr>
          <w:rFonts w:ascii="Segoe UI" w:eastAsia="Times New Roman" w:hAnsi="Segoe UI" w:cs="Segoe UI"/>
          <w:kern w:val="0"/>
          <w:sz w:val="21"/>
          <w:szCs w:val="21"/>
          <w14:ligatures w14:val="none"/>
        </w:rPr>
        <w:t>, 934 F.3d 53 (2d Cir. 2019)</w:t>
      </w:r>
    </w:p>
    <w:p w14:paraId="3FB7DBCB"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lastRenderedPageBreak/>
        <w:t>Chapter 10.A. Incitement to Genocide</w:t>
      </w:r>
    </w:p>
    <w:p w14:paraId="0B77C5AE" w14:textId="77777777" w:rsidR="001E5542" w:rsidRPr="001E5542" w:rsidRDefault="001E5542" w:rsidP="00A95E8D">
      <w:pPr>
        <w:numPr>
          <w:ilvl w:val="0"/>
          <w:numId w:val="25"/>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United States v. Streicher</w:t>
      </w:r>
      <w:r w:rsidRPr="001E5542">
        <w:rPr>
          <w:rFonts w:ascii="Segoe UI" w:eastAsia="Times New Roman" w:hAnsi="Segoe UI" w:cs="Segoe UI"/>
          <w:kern w:val="0"/>
          <w:sz w:val="21"/>
          <w:szCs w:val="21"/>
          <w14:ligatures w14:val="none"/>
        </w:rPr>
        <w:t>, Trial of the Major War Criminals Before the International Military Tribunal, Vol. 22 (1946)</w:t>
      </w:r>
    </w:p>
    <w:p w14:paraId="0CE749E7"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10.B. Willful Promotion of Hatred</w:t>
      </w:r>
    </w:p>
    <w:p w14:paraId="200AE468" w14:textId="77777777" w:rsidR="001E5542" w:rsidRPr="001E5542" w:rsidRDefault="001E5542" w:rsidP="00A95E8D">
      <w:pPr>
        <w:numPr>
          <w:ilvl w:val="0"/>
          <w:numId w:val="26"/>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R. v. Keegstra</w:t>
      </w:r>
      <w:r w:rsidRPr="001E5542">
        <w:rPr>
          <w:rFonts w:ascii="Segoe UI" w:eastAsia="Times New Roman" w:hAnsi="Segoe UI" w:cs="Segoe UI"/>
          <w:kern w:val="0"/>
          <w:sz w:val="21"/>
          <w:szCs w:val="21"/>
          <w14:ligatures w14:val="none"/>
        </w:rPr>
        <w:t xml:space="preserve"> [1990] 3 S.C.R. 697</w:t>
      </w:r>
    </w:p>
    <w:p w14:paraId="5CE93A2E"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10.C. Glorification of the Nazi Regime</w:t>
      </w:r>
    </w:p>
    <w:p w14:paraId="7A69CCBA" w14:textId="77777777" w:rsidR="001E5542" w:rsidRPr="001E5542" w:rsidRDefault="001E5542" w:rsidP="00A95E8D">
      <w:pPr>
        <w:numPr>
          <w:ilvl w:val="0"/>
          <w:numId w:val="27"/>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Order of 4 November 2009 (The Wunsiedel Decision)</w:t>
      </w:r>
      <w:r w:rsidRPr="001E5542">
        <w:rPr>
          <w:rFonts w:ascii="Segoe UI" w:eastAsia="Times New Roman" w:hAnsi="Segoe UI" w:cs="Segoe UI"/>
          <w:kern w:val="0"/>
          <w:sz w:val="21"/>
          <w:szCs w:val="21"/>
          <w14:ligatures w14:val="none"/>
        </w:rPr>
        <w:t>, 1 BvR 2150/08 (German Federal Constitutional Court 2009)</w:t>
      </w:r>
    </w:p>
    <w:p w14:paraId="47DFE97D"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Description</w:t>
      </w:r>
    </w:p>
    <w:p w14:paraId="740D4C3B"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This week examines legal responses to antisemitic speech in both digital environments and comparative legal systems. The online speech materials focus on platform liability, intermediary immunity, and content moderation, while the comparative materials examine approaches adopted in international, Canadian, and German law. The readings highlight competing understandings of the relationship between free expression and protection from hate.</w:t>
      </w:r>
    </w:p>
    <w:p w14:paraId="3D325BE2"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734BE326">
          <v:rect id="Horizontal Line 11" o:spid="_x0000_s1033"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4FFBCEE2"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t>Week 9</w:t>
      </w:r>
    </w:p>
    <w:p w14:paraId="0A3C8F85" w14:textId="77777777" w:rsidR="001E5542" w:rsidRPr="001E5542" w:rsidRDefault="001E5542" w:rsidP="001E554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E5542">
        <w:rPr>
          <w:rFonts w:ascii="Segoe UI" w:eastAsia="Times New Roman" w:hAnsi="Segoe UI" w:cs="Segoe UI"/>
          <w:b/>
          <w:bCs/>
          <w:kern w:val="0"/>
          <w:sz w:val="36"/>
          <w:szCs w:val="36"/>
          <w14:ligatures w14:val="none"/>
        </w:rPr>
        <w:t>Hate Crimes</w:t>
      </w:r>
    </w:p>
    <w:p w14:paraId="505A8582"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Readings</w:t>
      </w:r>
    </w:p>
    <w:p w14:paraId="3BC09BCD"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11.A. The Role of Jewish Advocates in the Leo Frank Affair</w:t>
      </w:r>
    </w:p>
    <w:p w14:paraId="6725DD90" w14:textId="77777777" w:rsidR="001E5542" w:rsidRPr="001E5542" w:rsidRDefault="001E5542" w:rsidP="00A95E8D">
      <w:pPr>
        <w:numPr>
          <w:ilvl w:val="0"/>
          <w:numId w:val="28"/>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Matthew Silver, </w:t>
      </w:r>
      <w:r w:rsidRPr="001E5542">
        <w:rPr>
          <w:rFonts w:ascii="Segoe UI" w:eastAsia="Times New Roman" w:hAnsi="Segoe UI" w:cs="Segoe UI"/>
          <w:i/>
          <w:iCs/>
          <w:kern w:val="0"/>
          <w:sz w:val="21"/>
          <w:szCs w:val="21"/>
          <w14:ligatures w14:val="none"/>
        </w:rPr>
        <w:t>The Leo Frank Affair: Louis Marshall and the ADL vs. the KKK</w:t>
      </w:r>
      <w:r w:rsidRPr="001E5542">
        <w:rPr>
          <w:rFonts w:ascii="Segoe UI" w:eastAsia="Times New Roman" w:hAnsi="Segoe UI" w:cs="Segoe UI"/>
          <w:kern w:val="0"/>
          <w:sz w:val="21"/>
          <w:szCs w:val="21"/>
          <w14:ligatures w14:val="none"/>
        </w:rPr>
        <w:t xml:space="preserve"> (2024)</w:t>
      </w:r>
    </w:p>
    <w:p w14:paraId="32B1D234"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11.B. Hate Crimes Statute Protects Jews</w:t>
      </w:r>
    </w:p>
    <w:p w14:paraId="6AD9D627" w14:textId="77777777" w:rsidR="001E5542" w:rsidRPr="001E5542" w:rsidRDefault="001E5542" w:rsidP="00A95E8D">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United States v. Nelson</w:t>
      </w:r>
      <w:r w:rsidRPr="001E5542">
        <w:rPr>
          <w:rFonts w:ascii="Segoe UI" w:eastAsia="Times New Roman" w:hAnsi="Segoe UI" w:cs="Segoe UI"/>
          <w:kern w:val="0"/>
          <w:sz w:val="21"/>
          <w:szCs w:val="21"/>
          <w14:ligatures w14:val="none"/>
        </w:rPr>
        <w:t>, 277 F.3d 164 (2d Cir. 2002)</w:t>
      </w:r>
    </w:p>
    <w:p w14:paraId="41F97806"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11.C. Hate Crimes Statute Does Not Violate the First Amendment</w:t>
      </w:r>
    </w:p>
    <w:p w14:paraId="1A7E6090" w14:textId="77777777" w:rsidR="001E5542" w:rsidRPr="001E5542" w:rsidRDefault="001E5542" w:rsidP="00A95E8D">
      <w:pPr>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Wisconsin v. Mitchell</w:t>
      </w:r>
      <w:r w:rsidRPr="001E5542">
        <w:rPr>
          <w:rFonts w:ascii="Segoe UI" w:eastAsia="Times New Roman" w:hAnsi="Segoe UI" w:cs="Segoe UI"/>
          <w:kern w:val="0"/>
          <w:sz w:val="21"/>
          <w:szCs w:val="21"/>
          <w14:ligatures w14:val="none"/>
        </w:rPr>
        <w:t>, 508 U.S. 476 (1993)</w:t>
      </w:r>
    </w:p>
    <w:p w14:paraId="7D4B3ABE"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lastRenderedPageBreak/>
        <w:t>Chapter 11.D. Hate Crimes Law in Practice</w:t>
      </w:r>
    </w:p>
    <w:p w14:paraId="4A198156" w14:textId="77777777" w:rsidR="001E5542" w:rsidRPr="001E5542" w:rsidRDefault="001E5542" w:rsidP="00A95E8D">
      <w:pPr>
        <w:numPr>
          <w:ilvl w:val="0"/>
          <w:numId w:val="31"/>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Indiana Senate Bill 198 (2019)</w:t>
      </w:r>
    </w:p>
    <w:p w14:paraId="4F8392E3" w14:textId="77777777" w:rsidR="001E5542" w:rsidRPr="001E5542" w:rsidRDefault="001E5542" w:rsidP="00A95E8D">
      <w:pPr>
        <w:numPr>
          <w:ilvl w:val="0"/>
          <w:numId w:val="31"/>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United States v. Sechriest</w:t>
      </w:r>
      <w:r w:rsidRPr="001E5542">
        <w:rPr>
          <w:rFonts w:ascii="Segoe UI" w:eastAsia="Times New Roman" w:hAnsi="Segoe UI" w:cs="Segoe UI"/>
          <w:kern w:val="0"/>
          <w:sz w:val="21"/>
          <w:szCs w:val="21"/>
          <w14:ligatures w14:val="none"/>
        </w:rPr>
        <w:t xml:space="preserve"> (Government's Sentencing Memorandum 2023)</w:t>
      </w:r>
    </w:p>
    <w:p w14:paraId="05A6F5B8"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11.E. Does German Hate Crimes Law Under-Protect Jews from Anti-Zionist Violence?</w:t>
      </w:r>
    </w:p>
    <w:p w14:paraId="712D52DB" w14:textId="77777777" w:rsidR="001E5542" w:rsidRPr="001E5542" w:rsidRDefault="001E5542" w:rsidP="00A95E8D">
      <w:pPr>
        <w:numPr>
          <w:ilvl w:val="0"/>
          <w:numId w:val="32"/>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The Thuringian Decision</w:t>
      </w:r>
      <w:r w:rsidRPr="001E5542">
        <w:rPr>
          <w:rFonts w:ascii="Segoe UI" w:eastAsia="Times New Roman" w:hAnsi="Segoe UI" w:cs="Segoe UI"/>
          <w:kern w:val="0"/>
          <w:sz w:val="21"/>
          <w:szCs w:val="21"/>
          <w14:ligatures w14:val="none"/>
        </w:rPr>
        <w:t xml:space="preserve"> (Thuringian Higher Regional Court 2002)</w:t>
      </w:r>
    </w:p>
    <w:p w14:paraId="72D0928B" w14:textId="77777777" w:rsidR="001E5542" w:rsidRPr="001E5542" w:rsidRDefault="001E5542" w:rsidP="00A95E8D">
      <w:pPr>
        <w:numPr>
          <w:ilvl w:val="0"/>
          <w:numId w:val="32"/>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The Wuppertal Decision</w:t>
      </w:r>
      <w:r w:rsidRPr="001E5542">
        <w:rPr>
          <w:rFonts w:ascii="Segoe UI" w:eastAsia="Times New Roman" w:hAnsi="Segoe UI" w:cs="Segoe UI"/>
          <w:kern w:val="0"/>
          <w:sz w:val="21"/>
          <w:szCs w:val="21"/>
          <w14:ligatures w14:val="none"/>
        </w:rPr>
        <w:t xml:space="preserve"> (Regional Court of Wuppertal 2015)</w:t>
      </w:r>
    </w:p>
    <w:p w14:paraId="4692C96B"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Description</w:t>
      </w:r>
    </w:p>
    <w:p w14:paraId="0845EF82"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This week focuses on antisemitic violence and the legal responses developed to address it. The materials examine the justification for hate-crime legislation, constitutional objections to enhanced penalties, contemporary enforcement efforts, and comparative approaches. The chapter asks whether bias-motivated crimes cause distinctive harms and whether those harms warrant distinctive legal treatment.</w:t>
      </w:r>
    </w:p>
    <w:p w14:paraId="7E01F556"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666B3C65">
          <v:rect id="Horizontal Line 12" o:spid="_x0000_s1032"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2C2DDD67"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t>Week 10</w:t>
      </w:r>
    </w:p>
    <w:p w14:paraId="76938751" w14:textId="77777777" w:rsidR="001E5542" w:rsidRPr="001E5542" w:rsidRDefault="001E5542" w:rsidP="001E554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E5542">
        <w:rPr>
          <w:rFonts w:ascii="Segoe UI" w:eastAsia="Times New Roman" w:hAnsi="Segoe UI" w:cs="Segoe UI"/>
          <w:b/>
          <w:bCs/>
          <w:kern w:val="0"/>
          <w:sz w:val="36"/>
          <w:szCs w:val="36"/>
          <w14:ligatures w14:val="none"/>
        </w:rPr>
        <w:t>Campus Antisemitism I</w:t>
      </w:r>
    </w:p>
    <w:p w14:paraId="14BB1288"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Readings</w:t>
      </w:r>
    </w:p>
    <w:p w14:paraId="67C2B8A8"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12.A. Title VI Protects Jewish Students</w:t>
      </w:r>
    </w:p>
    <w:p w14:paraId="3432E949" w14:textId="77777777" w:rsidR="001E5542" w:rsidRPr="001E5542" w:rsidRDefault="001E5542" w:rsidP="00A95E8D">
      <w:pPr>
        <w:numPr>
          <w:ilvl w:val="0"/>
          <w:numId w:val="33"/>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T.E. v. Pine Bush Central School District</w:t>
      </w:r>
      <w:r w:rsidRPr="001E5542">
        <w:rPr>
          <w:rFonts w:ascii="Segoe UI" w:eastAsia="Times New Roman" w:hAnsi="Segoe UI" w:cs="Segoe UI"/>
          <w:kern w:val="0"/>
          <w:sz w:val="21"/>
          <w:szCs w:val="21"/>
          <w14:ligatures w14:val="none"/>
        </w:rPr>
        <w:t>, 58 F. Supp. 3d 332 (S.D.N.Y. 2014)</w:t>
      </w:r>
    </w:p>
    <w:p w14:paraId="202C70B6"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12.B. Don't Roll Your Eyes: Listen to Jews When They Perceive Antisemitism</w:t>
      </w:r>
    </w:p>
    <w:p w14:paraId="63ECABC4" w14:textId="77777777" w:rsidR="001E5542" w:rsidRPr="001E5542" w:rsidRDefault="001E5542" w:rsidP="00A95E8D">
      <w:pPr>
        <w:numPr>
          <w:ilvl w:val="0"/>
          <w:numId w:val="34"/>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Jewish Students at the University of Vermont, </w:t>
      </w:r>
      <w:r w:rsidRPr="001E5542">
        <w:rPr>
          <w:rFonts w:ascii="Segoe UI" w:eastAsia="Times New Roman" w:hAnsi="Segoe UI" w:cs="Segoe UI"/>
          <w:i/>
          <w:iCs/>
          <w:kern w:val="0"/>
          <w:sz w:val="21"/>
          <w:szCs w:val="21"/>
          <w14:ligatures w14:val="none"/>
        </w:rPr>
        <w:t>Personal Reports</w:t>
      </w:r>
      <w:r w:rsidRPr="001E5542">
        <w:rPr>
          <w:rFonts w:ascii="Segoe UI" w:eastAsia="Times New Roman" w:hAnsi="Segoe UI" w:cs="Segoe UI"/>
          <w:kern w:val="0"/>
          <w:sz w:val="21"/>
          <w:szCs w:val="21"/>
          <w14:ligatures w14:val="none"/>
        </w:rPr>
        <w:t xml:space="preserve"> (2021)</w:t>
      </w:r>
    </w:p>
    <w:p w14:paraId="09865A25" w14:textId="77777777" w:rsidR="001E5542" w:rsidRPr="001E5542" w:rsidRDefault="001E5542" w:rsidP="00A95E8D">
      <w:pPr>
        <w:numPr>
          <w:ilvl w:val="0"/>
          <w:numId w:val="34"/>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President Suresh V. Garimella, </w:t>
      </w:r>
      <w:r w:rsidRPr="001E5542">
        <w:rPr>
          <w:rFonts w:ascii="Segoe UI" w:eastAsia="Times New Roman" w:hAnsi="Segoe UI" w:cs="Segoe UI"/>
          <w:i/>
          <w:iCs/>
          <w:kern w:val="0"/>
          <w:sz w:val="21"/>
          <w:szCs w:val="21"/>
          <w14:ligatures w14:val="none"/>
        </w:rPr>
        <w:t>Letter to the UVM Community</w:t>
      </w:r>
      <w:r w:rsidRPr="001E5542">
        <w:rPr>
          <w:rFonts w:ascii="Segoe UI" w:eastAsia="Times New Roman" w:hAnsi="Segoe UI" w:cs="Segoe UI"/>
          <w:kern w:val="0"/>
          <w:sz w:val="21"/>
          <w:szCs w:val="21"/>
          <w14:ligatures w14:val="none"/>
        </w:rPr>
        <w:t xml:space="preserve"> (2021)</w:t>
      </w:r>
    </w:p>
    <w:p w14:paraId="023CEC0D"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Description</w:t>
      </w:r>
    </w:p>
    <w:p w14:paraId="76386172"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This week introduces contemporary campus antisemitism through both legal doctrine and student experience. The materials examine Title VI protections for Jewish students, institutional obligations, and the challenges universities face when confronting allegations of antisemitism. The readings also </w:t>
      </w:r>
      <w:r w:rsidRPr="001E5542">
        <w:rPr>
          <w:rFonts w:ascii="Segoe UI" w:eastAsia="Times New Roman" w:hAnsi="Segoe UI" w:cs="Segoe UI"/>
          <w:kern w:val="0"/>
          <w:sz w:val="21"/>
          <w:szCs w:val="21"/>
          <w14:ligatures w14:val="none"/>
        </w:rPr>
        <w:lastRenderedPageBreak/>
        <w:t>raise questions about perception, lived experience, and how educational institutions evaluate and respond to claims of discrimination.</w:t>
      </w:r>
    </w:p>
    <w:p w14:paraId="6BFF517E"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35FE38DC">
          <v:rect id="Horizontal Line 13" o:spid="_x0000_s1031"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3CE641F0"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t>Week 11</w:t>
      </w:r>
    </w:p>
    <w:p w14:paraId="687C7511" w14:textId="77777777" w:rsidR="001E5542" w:rsidRPr="001E5542" w:rsidRDefault="001E5542" w:rsidP="001E554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E5542">
        <w:rPr>
          <w:rFonts w:ascii="Segoe UI" w:eastAsia="Times New Roman" w:hAnsi="Segoe UI" w:cs="Segoe UI"/>
          <w:b/>
          <w:bCs/>
          <w:kern w:val="0"/>
          <w:sz w:val="36"/>
          <w:szCs w:val="36"/>
          <w14:ligatures w14:val="none"/>
        </w:rPr>
        <w:t>Campus Antisemitism II</w:t>
      </w:r>
    </w:p>
    <w:p w14:paraId="09A40810"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Readings</w:t>
      </w:r>
    </w:p>
    <w:p w14:paraId="74D5FD17"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12.C. Anti-Zionist Activity</w:t>
      </w:r>
    </w:p>
    <w:p w14:paraId="505B4CCC" w14:textId="77777777" w:rsidR="001E5542" w:rsidRPr="001E5542" w:rsidRDefault="001E5542" w:rsidP="00A95E8D">
      <w:pPr>
        <w:numPr>
          <w:ilvl w:val="0"/>
          <w:numId w:val="35"/>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U.S. Department of Education, Office for Civil Rights, </w:t>
      </w:r>
      <w:r w:rsidRPr="001E5542">
        <w:rPr>
          <w:rFonts w:ascii="Segoe UI" w:eastAsia="Times New Roman" w:hAnsi="Segoe UI" w:cs="Segoe UI"/>
          <w:i/>
          <w:iCs/>
          <w:kern w:val="0"/>
          <w:sz w:val="21"/>
          <w:szCs w:val="21"/>
          <w14:ligatures w14:val="none"/>
        </w:rPr>
        <w:t>Letter to the University of Vermont</w:t>
      </w:r>
      <w:r w:rsidRPr="001E5542">
        <w:rPr>
          <w:rFonts w:ascii="Segoe UI" w:eastAsia="Times New Roman" w:hAnsi="Segoe UI" w:cs="Segoe UI"/>
          <w:kern w:val="0"/>
          <w:sz w:val="21"/>
          <w:szCs w:val="21"/>
          <w14:ligatures w14:val="none"/>
        </w:rPr>
        <w:t xml:space="preserve"> (2024)</w:t>
      </w:r>
    </w:p>
    <w:p w14:paraId="599E0819"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12.D. UC Berkeley School of Law: A Case Study</w:t>
      </w:r>
    </w:p>
    <w:p w14:paraId="1EA986B1" w14:textId="77777777" w:rsidR="001E5542" w:rsidRPr="001E5542" w:rsidRDefault="001E5542" w:rsidP="00A95E8D">
      <w:pPr>
        <w:numPr>
          <w:ilvl w:val="0"/>
          <w:numId w:val="36"/>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Berkeley Law Students for Justice in Palestine, </w:t>
      </w:r>
      <w:r w:rsidRPr="001E5542">
        <w:rPr>
          <w:rFonts w:ascii="Segoe UI" w:eastAsia="Times New Roman" w:hAnsi="Segoe UI" w:cs="Segoe UI"/>
          <w:i/>
          <w:iCs/>
          <w:kern w:val="0"/>
          <w:sz w:val="21"/>
          <w:szCs w:val="21"/>
          <w14:ligatures w14:val="none"/>
        </w:rPr>
        <w:t>Bylaw</w:t>
      </w:r>
      <w:r w:rsidRPr="001E5542">
        <w:rPr>
          <w:rFonts w:ascii="Segoe UI" w:eastAsia="Times New Roman" w:hAnsi="Segoe UI" w:cs="Segoe UI"/>
          <w:kern w:val="0"/>
          <w:sz w:val="21"/>
          <w:szCs w:val="21"/>
          <w14:ligatures w14:val="none"/>
        </w:rPr>
        <w:t xml:space="preserve"> (2022)</w:t>
      </w:r>
    </w:p>
    <w:p w14:paraId="68A10572" w14:textId="77777777" w:rsidR="001E5542" w:rsidRPr="001E5542" w:rsidRDefault="001E5542" w:rsidP="00A95E8D">
      <w:pPr>
        <w:numPr>
          <w:ilvl w:val="0"/>
          <w:numId w:val="36"/>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Dean Erwin Chemerinsky, </w:t>
      </w:r>
      <w:r w:rsidRPr="001E5542">
        <w:rPr>
          <w:rFonts w:ascii="Segoe UI" w:eastAsia="Times New Roman" w:hAnsi="Segoe UI" w:cs="Segoe UI"/>
          <w:i/>
          <w:iCs/>
          <w:kern w:val="0"/>
          <w:sz w:val="21"/>
          <w:szCs w:val="21"/>
          <w14:ligatures w14:val="none"/>
        </w:rPr>
        <w:t>Statement to the UC Berkeley Law Community</w:t>
      </w:r>
      <w:r w:rsidRPr="001E5542">
        <w:rPr>
          <w:rFonts w:ascii="Segoe UI" w:eastAsia="Times New Roman" w:hAnsi="Segoe UI" w:cs="Segoe UI"/>
          <w:kern w:val="0"/>
          <w:sz w:val="21"/>
          <w:szCs w:val="21"/>
          <w14:ligatures w14:val="none"/>
        </w:rPr>
        <w:t xml:space="preserve"> (2022)</w:t>
      </w:r>
    </w:p>
    <w:p w14:paraId="045ADBC1"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12.E. Free Speech and Anti-Discrimination Law</w:t>
      </w:r>
    </w:p>
    <w:p w14:paraId="2CAD3FD3" w14:textId="77777777" w:rsidR="001E5542" w:rsidRPr="001E5542" w:rsidRDefault="001E5542" w:rsidP="00A95E8D">
      <w:pPr>
        <w:numPr>
          <w:ilvl w:val="0"/>
          <w:numId w:val="37"/>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Alexander Kestenbaum &amp; Students Against Antisemitism, Inc. v. President &amp; Fellows of Harvard College</w:t>
      </w:r>
      <w:r w:rsidRPr="001E5542">
        <w:rPr>
          <w:rFonts w:ascii="Segoe UI" w:eastAsia="Times New Roman" w:hAnsi="Segoe UI" w:cs="Segoe UI"/>
          <w:kern w:val="0"/>
          <w:sz w:val="21"/>
          <w:szCs w:val="21"/>
          <w14:ligatures w14:val="none"/>
        </w:rPr>
        <w:t xml:space="preserve"> (D. Mass. 2024)</w:t>
      </w:r>
    </w:p>
    <w:p w14:paraId="0D764AC9"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Description</w:t>
      </w:r>
    </w:p>
    <w:p w14:paraId="0E1FBF4A"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This week examines contemporary disputes involving anti-Zionism, harassment, Title VI, university governance, and free expression. The materials bring together many of the recurring themes of the course, including the difficulty of defining antisemitism, the strengths and limitations of legal categories, and the challenge of balancing anti-discrimination principles with commitments to free speech and academic freedom.</w:t>
      </w:r>
    </w:p>
    <w:p w14:paraId="72FA2B2F"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1F411BCB">
          <v:rect id="Horizontal Line 14" o:spid="_x0000_s1030"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025797D9"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t>Week 12</w:t>
      </w:r>
    </w:p>
    <w:p w14:paraId="7569175A" w14:textId="77777777" w:rsidR="001E5542" w:rsidRPr="001E5542" w:rsidRDefault="001E5542" w:rsidP="001E554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E5542">
        <w:rPr>
          <w:rFonts w:ascii="Segoe UI" w:eastAsia="Times New Roman" w:hAnsi="Segoe UI" w:cs="Segoe UI"/>
          <w:b/>
          <w:bCs/>
          <w:kern w:val="0"/>
          <w:sz w:val="36"/>
          <w:szCs w:val="36"/>
          <w14:ligatures w14:val="none"/>
        </w:rPr>
        <w:lastRenderedPageBreak/>
        <w:t>The Dreyfus Affair: Antisemitism, Zola, and the Limits of Law</w:t>
      </w:r>
    </w:p>
    <w:p w14:paraId="5BB1C863"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Readings</w:t>
      </w:r>
    </w:p>
    <w:p w14:paraId="4E6175ED"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13</w:t>
      </w:r>
    </w:p>
    <w:p w14:paraId="0BF5D786" w14:textId="77777777" w:rsidR="001E5542" w:rsidRPr="001E5542" w:rsidRDefault="001E5542" w:rsidP="00A95E8D">
      <w:pPr>
        <w:numPr>
          <w:ilvl w:val="0"/>
          <w:numId w:val="38"/>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i/>
          <w:iCs/>
          <w:kern w:val="0"/>
          <w:sz w:val="21"/>
          <w:szCs w:val="21"/>
          <w14:ligatures w14:val="none"/>
        </w:rPr>
        <w:t>Émile Zola v. Judet and Others</w:t>
      </w:r>
      <w:r w:rsidRPr="001E5542">
        <w:rPr>
          <w:rFonts w:ascii="Segoe UI" w:eastAsia="Times New Roman" w:hAnsi="Segoe UI" w:cs="Segoe UI"/>
          <w:kern w:val="0"/>
          <w:sz w:val="21"/>
          <w:szCs w:val="21"/>
          <w14:ligatures w14:val="none"/>
        </w:rPr>
        <w:t xml:space="preserve"> (Cour d'Assises de la Seine 1898)</w:t>
      </w:r>
    </w:p>
    <w:p w14:paraId="7159DBA9"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Description</w:t>
      </w:r>
    </w:p>
    <w:p w14:paraId="1F4CD423"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This week examines the Dreyfus Affair and its enduring significance for law and democratic governance. The materials explore the relationship between antisemitism, citizenship, due process, public opinion, and the rule of law. The Affair provides one of the clearest demonstrations of how antisemitism can threaten the foundations of a liberal democratic order.</w:t>
      </w:r>
    </w:p>
    <w:p w14:paraId="61731236"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4A933366">
          <v:rect id="Horizontal Line 15" o:spid="_x0000_s1029"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168E971C"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t>Week 13</w:t>
      </w:r>
    </w:p>
    <w:p w14:paraId="7747B974" w14:textId="77777777" w:rsidR="001E5542" w:rsidRPr="001E5542" w:rsidRDefault="001E5542" w:rsidP="001E554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E5542">
        <w:rPr>
          <w:rFonts w:ascii="Segoe UI" w:eastAsia="Times New Roman" w:hAnsi="Segoe UI" w:cs="Segoe UI"/>
          <w:b/>
          <w:bCs/>
          <w:kern w:val="0"/>
          <w:sz w:val="36"/>
          <w:szCs w:val="36"/>
          <w14:ligatures w14:val="none"/>
        </w:rPr>
        <w:t>The Catholic Church, Antisemitism, and Jewish-Christian Reconciliation</w:t>
      </w:r>
    </w:p>
    <w:p w14:paraId="15A27E65"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Readings</w:t>
      </w:r>
    </w:p>
    <w:p w14:paraId="15D7A7B6"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14.A. The Lamentable Complaint of the Jews</w:t>
      </w:r>
    </w:p>
    <w:p w14:paraId="0D499B61" w14:textId="77777777" w:rsidR="001E5542" w:rsidRPr="001E5542" w:rsidRDefault="001E5542" w:rsidP="00A95E8D">
      <w:pPr>
        <w:numPr>
          <w:ilvl w:val="0"/>
          <w:numId w:val="39"/>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Pope Innocent IV, </w:t>
      </w:r>
      <w:r w:rsidRPr="001E5542">
        <w:rPr>
          <w:rFonts w:ascii="Segoe UI" w:eastAsia="Times New Roman" w:hAnsi="Segoe UI" w:cs="Segoe UI"/>
          <w:i/>
          <w:iCs/>
          <w:kern w:val="0"/>
          <w:sz w:val="21"/>
          <w:szCs w:val="21"/>
          <w14:ligatures w14:val="none"/>
        </w:rPr>
        <w:t>The Lamentable Complaint of the Jews</w:t>
      </w:r>
      <w:r w:rsidRPr="001E5542">
        <w:rPr>
          <w:rFonts w:ascii="Segoe UI" w:eastAsia="Times New Roman" w:hAnsi="Segoe UI" w:cs="Segoe UI"/>
          <w:kern w:val="0"/>
          <w:sz w:val="21"/>
          <w:szCs w:val="21"/>
          <w14:ligatures w14:val="none"/>
        </w:rPr>
        <w:t xml:space="preserve"> (1247)</w:t>
      </w:r>
    </w:p>
    <w:p w14:paraId="5BDA9CCC"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14.B. Report of Cardinal Ganganelli</w:t>
      </w:r>
    </w:p>
    <w:p w14:paraId="6CBE1FAA" w14:textId="77777777" w:rsidR="001E5542" w:rsidRPr="001E5542" w:rsidRDefault="001E5542" w:rsidP="00A95E8D">
      <w:pPr>
        <w:numPr>
          <w:ilvl w:val="0"/>
          <w:numId w:val="40"/>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Cardinal Lorenzo Ganganelli, </w:t>
      </w:r>
      <w:r w:rsidRPr="001E5542">
        <w:rPr>
          <w:rFonts w:ascii="Segoe UI" w:eastAsia="Times New Roman" w:hAnsi="Segoe UI" w:cs="Segoe UI"/>
          <w:i/>
          <w:iCs/>
          <w:kern w:val="0"/>
          <w:sz w:val="21"/>
          <w:szCs w:val="21"/>
          <w14:ligatures w14:val="none"/>
        </w:rPr>
        <w:t>Report on the Blood Libel</w:t>
      </w:r>
      <w:r w:rsidRPr="001E5542">
        <w:rPr>
          <w:rFonts w:ascii="Segoe UI" w:eastAsia="Times New Roman" w:hAnsi="Segoe UI" w:cs="Segoe UI"/>
          <w:kern w:val="0"/>
          <w:sz w:val="21"/>
          <w:szCs w:val="21"/>
          <w14:ligatures w14:val="none"/>
        </w:rPr>
        <w:t xml:space="preserve"> (1759)</w:t>
      </w:r>
    </w:p>
    <w:p w14:paraId="54D1A9A1"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14.C. Nostra Aetate</w:t>
      </w:r>
    </w:p>
    <w:p w14:paraId="0A655C7C" w14:textId="77777777" w:rsidR="001E5542" w:rsidRPr="001E5542" w:rsidRDefault="001E5542" w:rsidP="00A95E8D">
      <w:pPr>
        <w:numPr>
          <w:ilvl w:val="0"/>
          <w:numId w:val="41"/>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 xml:space="preserve">Second Vatican Council, </w:t>
      </w:r>
      <w:r w:rsidRPr="001E5542">
        <w:rPr>
          <w:rFonts w:ascii="Segoe UI" w:eastAsia="Times New Roman" w:hAnsi="Segoe UI" w:cs="Segoe UI"/>
          <w:i/>
          <w:iCs/>
          <w:kern w:val="0"/>
          <w:sz w:val="21"/>
          <w:szCs w:val="21"/>
          <w14:ligatures w14:val="none"/>
        </w:rPr>
        <w:t>Nostra Aetate</w:t>
      </w:r>
      <w:r w:rsidRPr="001E5542">
        <w:rPr>
          <w:rFonts w:ascii="Segoe UI" w:eastAsia="Times New Roman" w:hAnsi="Segoe UI" w:cs="Segoe UI"/>
          <w:kern w:val="0"/>
          <w:sz w:val="21"/>
          <w:szCs w:val="21"/>
          <w14:ligatures w14:val="none"/>
        </w:rPr>
        <w:t xml:space="preserve"> (1965)</w:t>
      </w:r>
    </w:p>
    <w:p w14:paraId="6D99B019"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b/>
          <w:bCs/>
          <w:kern w:val="0"/>
          <w:sz w:val="21"/>
          <w:szCs w:val="21"/>
          <w14:ligatures w14:val="none"/>
        </w:rPr>
        <w:t>Chapter 14.D. The Relationship Between the Holy See and the State of Israel</w:t>
      </w:r>
    </w:p>
    <w:p w14:paraId="3C05B1FB" w14:textId="77777777" w:rsidR="001E5542" w:rsidRPr="001E5542" w:rsidRDefault="001E5542" w:rsidP="00A95E8D">
      <w:pPr>
        <w:numPr>
          <w:ilvl w:val="0"/>
          <w:numId w:val="42"/>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Declaration of the Establishment of the State of Israel (1948)</w:t>
      </w:r>
    </w:p>
    <w:p w14:paraId="4189D09C" w14:textId="77777777" w:rsidR="001E5542" w:rsidRPr="001E5542" w:rsidRDefault="001E5542" w:rsidP="00A95E8D">
      <w:pPr>
        <w:numPr>
          <w:ilvl w:val="0"/>
          <w:numId w:val="42"/>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lastRenderedPageBreak/>
        <w:t>Fundamental Agreement Between the Holy See and the State of Israel (1993)</w:t>
      </w:r>
    </w:p>
    <w:p w14:paraId="5F14D620" w14:textId="77777777" w:rsidR="001E5542" w:rsidRPr="001E5542" w:rsidRDefault="001E5542" w:rsidP="001E554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E5542">
        <w:rPr>
          <w:rFonts w:ascii="Segoe UI" w:eastAsia="Times New Roman" w:hAnsi="Segoe UI" w:cs="Segoe UI"/>
          <w:b/>
          <w:bCs/>
          <w:kern w:val="0"/>
          <w:sz w:val="27"/>
          <w:szCs w:val="27"/>
          <w14:ligatures w14:val="none"/>
        </w:rPr>
        <w:t>Description</w:t>
      </w:r>
    </w:p>
    <w:p w14:paraId="3D676137"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The course concludes by examining the role of institutions and allies in resisting antisemitism. These materials trace the evolution of Catholic responses to Jews and Judaism from the medieval period to the modern era and explore one of the most significant examples of institutional reform in the history of Jewish-Christian relations. The final week returns to a theme introduced in the Dreyfus Affair: the capacity of institutions, legal change, and non-Jewish allies to challenge antisemitism and promote equality.</w:t>
      </w:r>
    </w:p>
    <w:p w14:paraId="420961C8"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00DE5EDA">
          <v:rect id="Horizontal Line 16" o:spid="_x0000_s1028"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7CF91796" w14:textId="77777777" w:rsidR="001E5542" w:rsidRPr="001E5542" w:rsidRDefault="001E5542" w:rsidP="001E554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E5542">
        <w:rPr>
          <w:rFonts w:ascii="Segoe UI" w:eastAsia="Times New Roman" w:hAnsi="Segoe UI" w:cs="Segoe UI"/>
          <w:b/>
          <w:bCs/>
          <w:kern w:val="36"/>
          <w:sz w:val="48"/>
          <w:szCs w:val="48"/>
          <w14:ligatures w14:val="none"/>
        </w:rPr>
        <w:t>Week 14</w:t>
      </w:r>
    </w:p>
    <w:p w14:paraId="7B0ABED7" w14:textId="77777777" w:rsidR="001E5542" w:rsidRPr="001E5542" w:rsidRDefault="001E5542" w:rsidP="001E554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E5542">
        <w:rPr>
          <w:rFonts w:ascii="Segoe UI" w:eastAsia="Times New Roman" w:hAnsi="Segoe UI" w:cs="Segoe UI"/>
          <w:b/>
          <w:bCs/>
          <w:kern w:val="0"/>
          <w:sz w:val="36"/>
          <w:szCs w:val="36"/>
          <w14:ligatures w14:val="none"/>
        </w:rPr>
        <w:t>Paper Presentations</w:t>
      </w:r>
    </w:p>
    <w:p w14:paraId="664826C7"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No readings assigned.</w:t>
      </w:r>
    </w:p>
    <w:p w14:paraId="7904970D"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rPr>
          <w:noProof/>
        </w:rPr>
      </w:r>
      <w:r>
        <w:pict w14:anchorId="194D4E89">
          <v:rect id="Horizontal Line 17" o:spid="_x0000_s1027"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4023CA1B" w14:textId="77777777" w:rsidR="001E5542" w:rsidRPr="001E5542" w:rsidRDefault="001E5542" w:rsidP="001E554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E5542">
        <w:rPr>
          <w:rFonts w:ascii="Segoe UI" w:eastAsia="Times New Roman" w:hAnsi="Segoe UI" w:cs="Segoe UI"/>
          <w:b/>
          <w:bCs/>
          <w:kern w:val="0"/>
          <w:sz w:val="36"/>
          <w:szCs w:val="36"/>
          <w14:ligatures w14:val="none"/>
        </w:rPr>
        <w:t>Grading and Assessment</w:t>
      </w:r>
    </w:p>
    <w:p w14:paraId="380D355E" w14:textId="77777777" w:rsidR="001E5542" w:rsidRPr="001E5542" w:rsidRDefault="001E5542" w:rsidP="00A95E8D">
      <w:pPr>
        <w:numPr>
          <w:ilvl w:val="0"/>
          <w:numId w:val="43"/>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Class Participation: 30%</w:t>
      </w:r>
    </w:p>
    <w:p w14:paraId="6DC51C88" w14:textId="77777777" w:rsidR="001E5542" w:rsidRPr="001E5542" w:rsidRDefault="001E5542" w:rsidP="00A95E8D">
      <w:pPr>
        <w:numPr>
          <w:ilvl w:val="0"/>
          <w:numId w:val="43"/>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Weekly Short Responses/Discussion Posts: 30%</w:t>
      </w:r>
    </w:p>
    <w:p w14:paraId="3DE46EE3" w14:textId="77777777" w:rsidR="001E5542" w:rsidRPr="001E5542" w:rsidRDefault="001E5542" w:rsidP="00A95E8D">
      <w:pPr>
        <w:numPr>
          <w:ilvl w:val="0"/>
          <w:numId w:val="43"/>
        </w:num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Final Paper/Project (10-12 pages or class presentation): 40%</w:t>
      </w:r>
    </w:p>
    <w:p w14:paraId="7F7EE070" w14:textId="77777777" w:rsidR="001E5542" w:rsidRPr="001E5542" w:rsidRDefault="001E5542" w:rsidP="001E5542">
      <w:pPr>
        <w:spacing w:before="100" w:beforeAutospacing="1" w:after="100" w:afterAutospacing="1" w:line="300" w:lineRule="atLeast"/>
        <w:rPr>
          <w:rFonts w:ascii="Segoe UI" w:eastAsia="Times New Roman" w:hAnsi="Segoe UI" w:cs="Segoe UI"/>
          <w:kern w:val="0"/>
          <w:sz w:val="21"/>
          <w:szCs w:val="21"/>
          <w14:ligatures w14:val="none"/>
        </w:rPr>
      </w:pPr>
      <w:r w:rsidRPr="001E5542">
        <w:rPr>
          <w:rFonts w:ascii="Segoe UI" w:eastAsia="Times New Roman" w:hAnsi="Segoe UI" w:cs="Segoe UI"/>
          <w:kern w:val="0"/>
          <w:sz w:val="21"/>
          <w:szCs w:val="21"/>
          <w14:ligatures w14:val="none"/>
        </w:rPr>
        <w:t>Regular attendance, full preparation, and active participation are mandatory. More than two unexcused absences may adversely affect the final grade.</w:t>
      </w:r>
    </w:p>
    <w:p w14:paraId="4175310F" w14:textId="77777777" w:rsidR="001E5542" w:rsidRPr="001E5542" w:rsidRDefault="006824AA" w:rsidP="001E5542">
      <w:pPr>
        <w:spacing w:after="0" w:line="300" w:lineRule="atLeast"/>
        <w:rPr>
          <w:rFonts w:ascii="Segoe UI" w:eastAsia="Times New Roman" w:hAnsi="Segoe UI" w:cs="Segoe UI"/>
          <w:kern w:val="0"/>
          <w:sz w:val="21"/>
          <w:szCs w:val="21"/>
          <w14:ligatures w14:val="none"/>
        </w:rPr>
      </w:pPr>
      <w:r>
        <w:pict w14:anchorId="64177FB8">
          <v:rect id="Horizontal Line 62" o:spid="_x0000_s10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7B0A5F7" w14:textId="41CFB11E" w:rsidR="00EE714B" w:rsidRDefault="001E5542">
      <w:r>
        <w:rPr>
          <w:rFonts w:ascii="Segoe UI" w:eastAsia="Times New Roman" w:hAnsi="Segoe UI" w:cs="Segoe UI"/>
          <w:b/>
          <w:bCs/>
          <w:kern w:val="0"/>
          <w:sz w:val="36"/>
          <w:szCs w:val="36"/>
          <w14:ligatures w14:val="none"/>
        </w:rPr>
        <w:t xml:space="preserve"> </w:t>
      </w:r>
    </w:p>
    <w:sectPr w:rsidR="00EE714B" w:rsidSect="00A010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FC5B91"/>
    <w:multiLevelType w:val="multilevel"/>
    <w:tmpl w:val="0E2E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878E1"/>
    <w:multiLevelType w:val="multilevel"/>
    <w:tmpl w:val="40A4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A6BB6"/>
    <w:multiLevelType w:val="multilevel"/>
    <w:tmpl w:val="EF1E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E105D"/>
    <w:multiLevelType w:val="multilevel"/>
    <w:tmpl w:val="DE06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77590"/>
    <w:multiLevelType w:val="multilevel"/>
    <w:tmpl w:val="F29A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22B8F"/>
    <w:multiLevelType w:val="multilevel"/>
    <w:tmpl w:val="8486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017A7"/>
    <w:multiLevelType w:val="multilevel"/>
    <w:tmpl w:val="4C9C6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5A2937"/>
    <w:multiLevelType w:val="multilevel"/>
    <w:tmpl w:val="9D649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B2C19"/>
    <w:multiLevelType w:val="multilevel"/>
    <w:tmpl w:val="F672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B9247F"/>
    <w:multiLevelType w:val="multilevel"/>
    <w:tmpl w:val="B122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74524C"/>
    <w:multiLevelType w:val="multilevel"/>
    <w:tmpl w:val="F4C00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D35B9A"/>
    <w:multiLevelType w:val="multilevel"/>
    <w:tmpl w:val="C3C6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E8761D"/>
    <w:multiLevelType w:val="multilevel"/>
    <w:tmpl w:val="35820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670153"/>
    <w:multiLevelType w:val="multilevel"/>
    <w:tmpl w:val="EE00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800554"/>
    <w:multiLevelType w:val="multilevel"/>
    <w:tmpl w:val="0C1A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186F45"/>
    <w:multiLevelType w:val="multilevel"/>
    <w:tmpl w:val="0390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A67882"/>
    <w:multiLevelType w:val="multilevel"/>
    <w:tmpl w:val="AE70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673667"/>
    <w:multiLevelType w:val="multilevel"/>
    <w:tmpl w:val="8ECC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2F647C"/>
    <w:multiLevelType w:val="multilevel"/>
    <w:tmpl w:val="45E6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794A10"/>
    <w:multiLevelType w:val="multilevel"/>
    <w:tmpl w:val="F696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8A0B66"/>
    <w:multiLevelType w:val="multilevel"/>
    <w:tmpl w:val="EB98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4F27F0"/>
    <w:multiLevelType w:val="multilevel"/>
    <w:tmpl w:val="D568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741BD6"/>
    <w:multiLevelType w:val="multilevel"/>
    <w:tmpl w:val="4C2A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7B0081"/>
    <w:multiLevelType w:val="multilevel"/>
    <w:tmpl w:val="2976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B93FE6"/>
    <w:multiLevelType w:val="multilevel"/>
    <w:tmpl w:val="3CA8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0D7A36"/>
    <w:multiLevelType w:val="multilevel"/>
    <w:tmpl w:val="8B3E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3B7509"/>
    <w:multiLevelType w:val="multilevel"/>
    <w:tmpl w:val="54C0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6D49F3"/>
    <w:multiLevelType w:val="multilevel"/>
    <w:tmpl w:val="6FBCF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701160"/>
    <w:multiLevelType w:val="multilevel"/>
    <w:tmpl w:val="9BF20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0B7809"/>
    <w:multiLevelType w:val="multilevel"/>
    <w:tmpl w:val="7BA6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604145"/>
    <w:multiLevelType w:val="multilevel"/>
    <w:tmpl w:val="851A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7027CA"/>
    <w:multiLevelType w:val="multilevel"/>
    <w:tmpl w:val="7108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134EE3"/>
    <w:multiLevelType w:val="multilevel"/>
    <w:tmpl w:val="44AC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4C7204"/>
    <w:multiLevelType w:val="multilevel"/>
    <w:tmpl w:val="C406A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693CA3"/>
    <w:multiLevelType w:val="multilevel"/>
    <w:tmpl w:val="EF8E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5A7F3E"/>
    <w:multiLevelType w:val="multilevel"/>
    <w:tmpl w:val="A720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BE3DC2"/>
    <w:multiLevelType w:val="multilevel"/>
    <w:tmpl w:val="0626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C8107C"/>
    <w:multiLevelType w:val="multilevel"/>
    <w:tmpl w:val="3B18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1E73F5"/>
    <w:multiLevelType w:val="multilevel"/>
    <w:tmpl w:val="9BF4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CB79A1"/>
    <w:multiLevelType w:val="multilevel"/>
    <w:tmpl w:val="BA18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9A31AC"/>
    <w:multiLevelType w:val="multilevel"/>
    <w:tmpl w:val="B43E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B7075E"/>
    <w:multiLevelType w:val="multilevel"/>
    <w:tmpl w:val="AEC8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5B2D71"/>
    <w:multiLevelType w:val="multilevel"/>
    <w:tmpl w:val="EE8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074178">
    <w:abstractNumId w:val="17"/>
  </w:num>
  <w:num w:numId="2" w16cid:durableId="24447508">
    <w:abstractNumId w:val="14"/>
  </w:num>
  <w:num w:numId="3" w16cid:durableId="1773698442">
    <w:abstractNumId w:val="23"/>
  </w:num>
  <w:num w:numId="4" w16cid:durableId="504175565">
    <w:abstractNumId w:val="34"/>
  </w:num>
  <w:num w:numId="5" w16cid:durableId="853152553">
    <w:abstractNumId w:val="18"/>
  </w:num>
  <w:num w:numId="6" w16cid:durableId="253132399">
    <w:abstractNumId w:val="20"/>
  </w:num>
  <w:num w:numId="7" w16cid:durableId="1407729334">
    <w:abstractNumId w:val="16"/>
  </w:num>
  <w:num w:numId="8" w16cid:durableId="773790948">
    <w:abstractNumId w:val="8"/>
  </w:num>
  <w:num w:numId="9" w16cid:durableId="199827734">
    <w:abstractNumId w:val="0"/>
  </w:num>
  <w:num w:numId="10" w16cid:durableId="2072801079">
    <w:abstractNumId w:val="36"/>
  </w:num>
  <w:num w:numId="11" w16cid:durableId="1611234317">
    <w:abstractNumId w:val="27"/>
  </w:num>
  <w:num w:numId="12" w16cid:durableId="820463183">
    <w:abstractNumId w:val="26"/>
  </w:num>
  <w:num w:numId="13" w16cid:durableId="1545171275">
    <w:abstractNumId w:val="42"/>
  </w:num>
  <w:num w:numId="14" w16cid:durableId="1221860900">
    <w:abstractNumId w:val="2"/>
  </w:num>
  <w:num w:numId="15" w16cid:durableId="1963413544">
    <w:abstractNumId w:val="6"/>
  </w:num>
  <w:num w:numId="16" w16cid:durableId="583800644">
    <w:abstractNumId w:val="29"/>
  </w:num>
  <w:num w:numId="17" w16cid:durableId="250701179">
    <w:abstractNumId w:val="15"/>
  </w:num>
  <w:num w:numId="18" w16cid:durableId="659382603">
    <w:abstractNumId w:val="30"/>
  </w:num>
  <w:num w:numId="19" w16cid:durableId="1630699248">
    <w:abstractNumId w:val="24"/>
  </w:num>
  <w:num w:numId="20" w16cid:durableId="234509865">
    <w:abstractNumId w:val="12"/>
  </w:num>
  <w:num w:numId="21" w16cid:durableId="1778745204">
    <w:abstractNumId w:val="11"/>
  </w:num>
  <w:num w:numId="22" w16cid:durableId="1408769239">
    <w:abstractNumId w:val="35"/>
  </w:num>
  <w:num w:numId="23" w16cid:durableId="565141315">
    <w:abstractNumId w:val="3"/>
  </w:num>
  <w:num w:numId="24" w16cid:durableId="38172865">
    <w:abstractNumId w:val="32"/>
  </w:num>
  <w:num w:numId="25" w16cid:durableId="2134976395">
    <w:abstractNumId w:val="21"/>
  </w:num>
  <w:num w:numId="26" w16cid:durableId="1540582674">
    <w:abstractNumId w:val="19"/>
  </w:num>
  <w:num w:numId="27" w16cid:durableId="1463228677">
    <w:abstractNumId w:val="13"/>
  </w:num>
  <w:num w:numId="28" w16cid:durableId="872765819">
    <w:abstractNumId w:val="5"/>
  </w:num>
  <w:num w:numId="29" w16cid:durableId="1108162449">
    <w:abstractNumId w:val="4"/>
  </w:num>
  <w:num w:numId="30" w16cid:durableId="1437292295">
    <w:abstractNumId w:val="39"/>
  </w:num>
  <w:num w:numId="31" w16cid:durableId="846410620">
    <w:abstractNumId w:val="33"/>
  </w:num>
  <w:num w:numId="32" w16cid:durableId="1030376215">
    <w:abstractNumId w:val="28"/>
  </w:num>
  <w:num w:numId="33" w16cid:durableId="2137526048">
    <w:abstractNumId w:val="40"/>
  </w:num>
  <w:num w:numId="34" w16cid:durableId="1913730805">
    <w:abstractNumId w:val="38"/>
  </w:num>
  <w:num w:numId="35" w16cid:durableId="1061175800">
    <w:abstractNumId w:val="1"/>
  </w:num>
  <w:num w:numId="36" w16cid:durableId="472868780">
    <w:abstractNumId w:val="7"/>
  </w:num>
  <w:num w:numId="37" w16cid:durableId="2029331720">
    <w:abstractNumId w:val="41"/>
  </w:num>
  <w:num w:numId="38" w16cid:durableId="638611967">
    <w:abstractNumId w:val="37"/>
  </w:num>
  <w:num w:numId="39" w16cid:durableId="348945830">
    <w:abstractNumId w:val="10"/>
  </w:num>
  <w:num w:numId="40" w16cid:durableId="340352004">
    <w:abstractNumId w:val="9"/>
  </w:num>
  <w:num w:numId="41" w16cid:durableId="171527534">
    <w:abstractNumId w:val="25"/>
  </w:num>
  <w:num w:numId="42" w16cid:durableId="1175345143">
    <w:abstractNumId w:val="22"/>
  </w:num>
  <w:num w:numId="43" w16cid:durableId="1651252702">
    <w:abstractNumId w:val="31"/>
  </w:num>
  <w:numIdMacAtCleanup w:val="4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1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542"/>
    <w:rsid w:val="001E5542"/>
    <w:rsid w:val="001F42B1"/>
    <w:rsid w:val="00280944"/>
    <w:rsid w:val="002F2B98"/>
    <w:rsid w:val="00510BBD"/>
    <w:rsid w:val="0051707A"/>
    <w:rsid w:val="005575AA"/>
    <w:rsid w:val="00610328"/>
    <w:rsid w:val="00650162"/>
    <w:rsid w:val="006824AA"/>
    <w:rsid w:val="00714AC7"/>
    <w:rsid w:val="008B7274"/>
    <w:rsid w:val="008D3F9A"/>
    <w:rsid w:val="00A01011"/>
    <w:rsid w:val="00A24537"/>
    <w:rsid w:val="00A61C0C"/>
    <w:rsid w:val="00A95E8D"/>
    <w:rsid w:val="00EE7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0951E812"/>
  <w15:chartTrackingRefBased/>
  <w15:docId w15:val="{91D09F8A-4ACD-EA42-9951-44977173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5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55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55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5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5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5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5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5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5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5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E55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E55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5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5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5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5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5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542"/>
    <w:rPr>
      <w:rFonts w:eastAsiaTheme="majorEastAsia" w:cstheme="majorBidi"/>
      <w:color w:val="272727" w:themeColor="text1" w:themeTint="D8"/>
    </w:rPr>
  </w:style>
  <w:style w:type="paragraph" w:styleId="Title">
    <w:name w:val="Title"/>
    <w:basedOn w:val="Normal"/>
    <w:next w:val="Normal"/>
    <w:link w:val="TitleChar"/>
    <w:uiPriority w:val="10"/>
    <w:qFormat/>
    <w:rsid w:val="001E55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5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5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5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542"/>
    <w:pPr>
      <w:spacing w:before="160"/>
      <w:jc w:val="center"/>
    </w:pPr>
    <w:rPr>
      <w:i/>
      <w:iCs/>
      <w:color w:val="404040" w:themeColor="text1" w:themeTint="BF"/>
    </w:rPr>
  </w:style>
  <w:style w:type="character" w:customStyle="1" w:styleId="QuoteChar">
    <w:name w:val="Quote Char"/>
    <w:basedOn w:val="DefaultParagraphFont"/>
    <w:link w:val="Quote"/>
    <w:uiPriority w:val="29"/>
    <w:rsid w:val="001E5542"/>
    <w:rPr>
      <w:i/>
      <w:iCs/>
      <w:color w:val="404040" w:themeColor="text1" w:themeTint="BF"/>
    </w:rPr>
  </w:style>
  <w:style w:type="paragraph" w:styleId="ListParagraph">
    <w:name w:val="List Paragraph"/>
    <w:basedOn w:val="Normal"/>
    <w:uiPriority w:val="34"/>
    <w:qFormat/>
    <w:rsid w:val="001E5542"/>
    <w:pPr>
      <w:ind w:left="720"/>
      <w:contextualSpacing/>
    </w:pPr>
  </w:style>
  <w:style w:type="character" w:styleId="IntenseEmphasis">
    <w:name w:val="Intense Emphasis"/>
    <w:basedOn w:val="DefaultParagraphFont"/>
    <w:uiPriority w:val="21"/>
    <w:qFormat/>
    <w:rsid w:val="001E5542"/>
    <w:rPr>
      <w:i/>
      <w:iCs/>
      <w:color w:val="0F4761" w:themeColor="accent1" w:themeShade="BF"/>
    </w:rPr>
  </w:style>
  <w:style w:type="paragraph" w:styleId="IntenseQuote">
    <w:name w:val="Intense Quote"/>
    <w:basedOn w:val="Normal"/>
    <w:next w:val="Normal"/>
    <w:link w:val="IntenseQuoteChar"/>
    <w:uiPriority w:val="30"/>
    <w:qFormat/>
    <w:rsid w:val="001E55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542"/>
    <w:rPr>
      <w:i/>
      <w:iCs/>
      <w:color w:val="0F4761" w:themeColor="accent1" w:themeShade="BF"/>
    </w:rPr>
  </w:style>
  <w:style w:type="character" w:styleId="IntenseReference">
    <w:name w:val="Intense Reference"/>
    <w:basedOn w:val="DefaultParagraphFont"/>
    <w:uiPriority w:val="32"/>
    <w:qFormat/>
    <w:rsid w:val="001E5542"/>
    <w:rPr>
      <w:b/>
      <w:bCs/>
      <w:smallCaps/>
      <w:color w:val="0F4761" w:themeColor="accent1" w:themeShade="BF"/>
      <w:spacing w:val="5"/>
    </w:rPr>
  </w:style>
  <w:style w:type="paragraph" w:styleId="NormalWeb">
    <w:name w:val="Normal (Web)"/>
    <w:basedOn w:val="Normal"/>
    <w:uiPriority w:val="99"/>
    <w:semiHidden/>
    <w:unhideWhenUsed/>
    <w:rsid w:val="001E554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E5542"/>
    <w:rPr>
      <w:b/>
      <w:bCs/>
    </w:rPr>
  </w:style>
  <w:style w:type="character" w:styleId="Emphasis">
    <w:name w:val="Emphasis"/>
    <w:basedOn w:val="DefaultParagraphFont"/>
    <w:uiPriority w:val="20"/>
    <w:qFormat/>
    <w:rsid w:val="001E55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2351</Words>
  <Characters>13401</Characters>
  <Application>Microsoft Office Word</Application>
  <DocSecurity>0</DocSecurity>
  <Lines>111</Lines>
  <Paragraphs>31</Paragraphs>
  <ScaleCrop>false</ScaleCrop>
  <Company/>
  <LinksUpToDate>false</LinksUpToDate>
  <CharactersWithSpaces>15721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Katz, Robert A.</dc:creator>
  <cp:keywords/>
  <dc:description/>
  <cp:lastModifiedBy>Katz, Robert A.</cp:lastModifiedBy>
  <cp:revision>2</cp:revision>
  <dcterms:created xsi:type="dcterms:W3CDTF">2026-07-28T01:58:00Z</dcterms:created>
  <dcterms:modified xsi:type="dcterms:W3CDTF">2026-07-28T01:58:00Z</dcterms:modified>
</cp:coreProperties>
</file>