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0A2072"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ANTISEMITISM AND LEGAL RESPONSES</w:t>
      </w:r>
    </w:p>
    <w:p w14:paraId="378BBC5C"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(2-Credit Seminar)</w:t>
      </w:r>
    </w:p>
    <w:p w14:paraId="06C5F482"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Professor:</w:t>
      </w:r>
      <w:r w:rsidRPr="00896761">
        <w:rPr>
          <w:rFonts w:ascii="Calibri" w:hAnsi="Calibri" w:cs="Calibri"/>
          <w:sz w:val="22"/>
          <w:szCs w:val="22"/>
        </w:rPr>
        <w:t xml:space="preserve"> Robert A. Katz</w:t>
      </w:r>
      <w:r w:rsidRPr="00896761">
        <w:rPr>
          <w:rFonts w:ascii="Calibri" w:hAnsi="Calibri" w:cs="Calibri"/>
          <w:sz w:val="22"/>
          <w:szCs w:val="22"/>
        </w:rPr>
        <w:br/>
      </w:r>
      <w:r w:rsidRPr="00896761">
        <w:rPr>
          <w:rStyle w:val="Strong"/>
          <w:rFonts w:ascii="Calibri" w:hAnsi="Calibri" w:cs="Calibri"/>
          <w:sz w:val="22"/>
          <w:szCs w:val="22"/>
        </w:rPr>
        <w:t>Institution:</w:t>
      </w:r>
      <w:r w:rsidRPr="00896761">
        <w:rPr>
          <w:rFonts w:ascii="Calibri" w:hAnsi="Calibri" w:cs="Calibri"/>
          <w:sz w:val="22"/>
          <w:szCs w:val="22"/>
        </w:rPr>
        <w:t xml:space="preserve"> Indiana University Robert H. McKinney School of Law</w:t>
      </w:r>
      <w:r w:rsidRPr="00896761">
        <w:rPr>
          <w:rFonts w:ascii="Calibri" w:hAnsi="Calibri" w:cs="Calibri"/>
          <w:sz w:val="22"/>
          <w:szCs w:val="22"/>
        </w:rPr>
        <w:br/>
      </w:r>
      <w:r w:rsidRPr="00896761">
        <w:rPr>
          <w:rStyle w:val="Strong"/>
          <w:rFonts w:ascii="Calibri" w:hAnsi="Calibri" w:cs="Calibri"/>
          <w:sz w:val="22"/>
          <w:szCs w:val="22"/>
        </w:rPr>
        <w:t>Email:</w:t>
      </w:r>
      <w:r w:rsidRPr="00896761">
        <w:rPr>
          <w:rFonts w:ascii="Calibri" w:hAnsi="Calibri" w:cs="Calibri"/>
          <w:sz w:val="22"/>
          <w:szCs w:val="22"/>
        </w:rPr>
        <w:t xml:space="preserve"> </w:t>
      </w:r>
      <w:hyperlink r:id="rId5" w:history="1">
        <w:r w:rsidRPr="00896761">
          <w:rPr>
            <w:rStyle w:val="Hyperlink"/>
            <w:rFonts w:ascii="Calibri" w:hAnsi="Calibri" w:cs="Calibri"/>
            <w:sz w:val="22"/>
            <w:szCs w:val="22"/>
          </w:rPr>
          <w:t>rokatz@iu.edu</w:t>
        </w:r>
      </w:hyperlink>
      <w:r w:rsidRPr="00896761">
        <w:rPr>
          <w:rFonts w:ascii="Calibri" w:hAnsi="Calibri" w:cs="Calibri"/>
          <w:sz w:val="22"/>
          <w:szCs w:val="22"/>
        </w:rPr>
        <w:br/>
      </w:r>
      <w:r w:rsidRPr="00896761">
        <w:rPr>
          <w:rStyle w:val="Strong"/>
          <w:rFonts w:ascii="Calibri" w:hAnsi="Calibri" w:cs="Calibri"/>
          <w:sz w:val="22"/>
          <w:szCs w:val="22"/>
        </w:rPr>
        <w:t>Office Hours:</w:t>
      </w:r>
      <w:r w:rsidRPr="00896761">
        <w:rPr>
          <w:rFonts w:ascii="Calibri" w:hAnsi="Calibri" w:cs="Calibri"/>
          <w:sz w:val="22"/>
          <w:szCs w:val="22"/>
        </w:rPr>
        <w:t xml:space="preserve"> By Appointment</w:t>
      </w:r>
    </w:p>
    <w:p w14:paraId="7341E5F5"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Required Text:</w:t>
      </w:r>
      <w:r w:rsidRPr="00896761">
        <w:rPr>
          <w:rFonts w:ascii="Calibri" w:hAnsi="Calibri" w:cs="Calibri"/>
          <w:sz w:val="22"/>
          <w:szCs w:val="22"/>
        </w:rPr>
        <w:t xml:space="preserve"> Robert Katz, </w:t>
      </w:r>
      <w:r w:rsidRPr="00896761">
        <w:rPr>
          <w:rStyle w:val="Emphasis"/>
          <w:rFonts w:ascii="Calibri" w:hAnsi="Calibri" w:cs="Calibri"/>
          <w:sz w:val="22"/>
          <w:szCs w:val="22"/>
        </w:rPr>
        <w:t>Antisemitism and the Law</w:t>
      </w:r>
      <w:r w:rsidRPr="00896761">
        <w:rPr>
          <w:rFonts w:ascii="Calibri" w:hAnsi="Calibri" w:cs="Calibri"/>
          <w:sz w:val="22"/>
          <w:szCs w:val="22"/>
        </w:rPr>
        <w:t xml:space="preserve"> (Carolina Academic Press 2025)</w:t>
      </w:r>
    </w:p>
    <w:p w14:paraId="421FD3D3" w14:textId="77777777" w:rsidR="00896761" w:rsidRPr="00896761" w:rsidRDefault="007F1969" w:rsidP="00896761">
      <w:pPr>
        <w:spacing w:line="300" w:lineRule="atLeast"/>
        <w:rPr>
          <w:rFonts w:ascii="Calibri" w:hAnsi="Calibri" w:cs="Calibri"/>
          <w:sz w:val="22"/>
          <w:szCs w:val="22"/>
        </w:rPr>
      </w:pPr>
      <w:r w:rsidRPr="007F1969">
        <w:rPr>
          <w:rFonts w:ascii="Calibri" w:hAnsi="Calibri" w:cs="Calibri"/>
          <w:noProof/>
          <w:sz w:val="22"/>
          <w:szCs w:val="22"/>
        </w:rPr>
        <w:pict w14:anchorId="15656CAA">
          <v:rect id="_x0000_i1035" alt="" style="width:468pt;height:.05pt;mso-width-percent:0;mso-height-percent:0;mso-width-percent:0;mso-height-percent:0" o:hralign="center" o:hrstd="t" o:hr="t" fillcolor="#a0a0a0" stroked="f"/>
        </w:pict>
      </w:r>
    </w:p>
    <w:p w14:paraId="5A0E2E2D"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Course Description</w:t>
      </w:r>
    </w:p>
    <w:p w14:paraId="6D0E5D18"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Law has the power both to oppress and to liberate.</w:t>
      </w:r>
    </w:p>
    <w:p w14:paraId="5B165F5F"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This course examines how legal systems respond to antisemitism. It explores both the possibilities and the limits of legal intervention, considering when law successfully combats antisemitism, when it fails, and when legal responses create tensions with competing values such as free speech, academic freedom, religious liberty, and democratic self-government.</w:t>
      </w:r>
    </w:p>
    <w:p w14:paraId="0455B0E2"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It also examines the advocacy strategies that Jews and their allies have developed to combat discrimination and exclusion, including litigation, legislation, institutional reform, and non-legal responses.</w:t>
      </w:r>
    </w:p>
    <w:p w14:paraId="666F7AC2"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The course begins with antisemitic speech, including defamation, hate speech, online expression, and comparative approaches to speech regulation. It then turns to antisemitic conduct, including hate crimes and campus antisemitism, before concluding with two foundational claims: that antisemitism is antithetical to liberal democracy and that antisemitism is antithetical to Christianity.</w:t>
      </w:r>
    </w:p>
    <w:p w14:paraId="5DC54834"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Recurring questions include:</w:t>
      </w:r>
    </w:p>
    <w:p w14:paraId="746FEA06" w14:textId="77777777" w:rsidR="00896761" w:rsidRPr="00896761" w:rsidRDefault="00896761" w:rsidP="007F1969">
      <w:pPr>
        <w:numPr>
          <w:ilvl w:val="0"/>
          <w:numId w:val="1"/>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How should legal systems respond to antisemitism?</w:t>
      </w:r>
    </w:p>
    <w:p w14:paraId="0471E10B" w14:textId="77777777" w:rsidR="00896761" w:rsidRPr="00896761" w:rsidRDefault="00896761" w:rsidP="007F1969">
      <w:pPr>
        <w:numPr>
          <w:ilvl w:val="0"/>
          <w:numId w:val="1"/>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What distinguishes antisemitic speech from antisemitic conduct?</w:t>
      </w:r>
    </w:p>
    <w:p w14:paraId="1FD31606" w14:textId="77777777" w:rsidR="00896761" w:rsidRPr="00896761" w:rsidRDefault="00896761" w:rsidP="007F1969">
      <w:pPr>
        <w:numPr>
          <w:ilvl w:val="0"/>
          <w:numId w:val="1"/>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What are the strengths and weaknesses of the American free speech tradition?</w:t>
      </w:r>
    </w:p>
    <w:p w14:paraId="0000B269" w14:textId="77777777" w:rsidR="00896761" w:rsidRPr="00896761" w:rsidRDefault="00896761" w:rsidP="007F1969">
      <w:pPr>
        <w:numPr>
          <w:ilvl w:val="0"/>
          <w:numId w:val="1"/>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When does antisemitism justify legal intervention?</w:t>
      </w:r>
    </w:p>
    <w:p w14:paraId="35C90B89" w14:textId="77777777" w:rsidR="00896761" w:rsidRPr="00896761" w:rsidRDefault="00896761" w:rsidP="007F1969">
      <w:pPr>
        <w:numPr>
          <w:ilvl w:val="0"/>
          <w:numId w:val="1"/>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What role should educational institutions play in combating antisemitism?</w:t>
      </w:r>
    </w:p>
    <w:p w14:paraId="7CCC52BF" w14:textId="77777777" w:rsidR="00896761" w:rsidRPr="00896761" w:rsidRDefault="00896761" w:rsidP="007F1969">
      <w:pPr>
        <w:numPr>
          <w:ilvl w:val="0"/>
          <w:numId w:val="1"/>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How have Jews and their allies used law and advocacy to combat discrimination and exclusion?</w:t>
      </w:r>
    </w:p>
    <w:p w14:paraId="458F580E" w14:textId="77777777" w:rsidR="00896761" w:rsidRPr="00896761" w:rsidRDefault="00896761" w:rsidP="007F1969">
      <w:pPr>
        <w:numPr>
          <w:ilvl w:val="0"/>
          <w:numId w:val="1"/>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What can antisemitism teach us about the strengths and limitations of legal institutions?</w:t>
      </w:r>
    </w:p>
    <w:p w14:paraId="2731F5DE" w14:textId="77777777" w:rsidR="00896761" w:rsidRPr="00896761" w:rsidRDefault="007F1969" w:rsidP="00896761">
      <w:pPr>
        <w:spacing w:after="0" w:line="300" w:lineRule="atLeast"/>
        <w:rPr>
          <w:rFonts w:ascii="Calibri" w:hAnsi="Calibri" w:cs="Calibri"/>
          <w:sz w:val="22"/>
          <w:szCs w:val="22"/>
        </w:rPr>
      </w:pPr>
      <w:r w:rsidRPr="007F1969">
        <w:rPr>
          <w:rFonts w:ascii="Calibri" w:hAnsi="Calibri" w:cs="Calibri"/>
          <w:noProof/>
          <w:sz w:val="22"/>
          <w:szCs w:val="22"/>
        </w:rPr>
        <w:pict w14:anchorId="66B87629">
          <v:rect id="_x0000_i1034" alt="" style="width:468pt;height:.05pt;mso-width-percent:0;mso-height-percent:0;mso-width-percent:0;mso-height-percent:0" o:hralign="center" o:hrstd="t" o:hr="t" fillcolor="#a0a0a0" stroked="f"/>
        </w:pict>
      </w:r>
    </w:p>
    <w:p w14:paraId="42B204E3"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lastRenderedPageBreak/>
        <w:t>Learning Objectives</w:t>
      </w:r>
    </w:p>
    <w:p w14:paraId="42725DFE"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By the end of the course, students should be able to:</w:t>
      </w:r>
    </w:p>
    <w:p w14:paraId="388CB7D5" w14:textId="77777777" w:rsidR="00896761" w:rsidRPr="00896761" w:rsidRDefault="00896761" w:rsidP="007F1969">
      <w:pPr>
        <w:numPr>
          <w:ilvl w:val="0"/>
          <w:numId w:val="2"/>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Evaluate competing legal responses to antisemitic speech and conduct.</w:t>
      </w:r>
    </w:p>
    <w:p w14:paraId="09754910" w14:textId="77777777" w:rsidR="00896761" w:rsidRPr="00896761" w:rsidRDefault="00896761" w:rsidP="007F1969">
      <w:pPr>
        <w:numPr>
          <w:ilvl w:val="0"/>
          <w:numId w:val="2"/>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Analyze the relationship between free-speech principles and efforts to combat antisemitism.</w:t>
      </w:r>
    </w:p>
    <w:p w14:paraId="7380A6C1" w14:textId="77777777" w:rsidR="00896761" w:rsidRPr="00896761" w:rsidRDefault="00896761" w:rsidP="007F1969">
      <w:pPr>
        <w:numPr>
          <w:ilvl w:val="0"/>
          <w:numId w:val="2"/>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Assess the strengths and limitations of hate-speech and hate-crime laws.</w:t>
      </w:r>
    </w:p>
    <w:p w14:paraId="298A1FF1" w14:textId="77777777" w:rsidR="00896761" w:rsidRPr="00896761" w:rsidRDefault="00896761" w:rsidP="007F1969">
      <w:pPr>
        <w:numPr>
          <w:ilvl w:val="0"/>
          <w:numId w:val="2"/>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Compare American and non-American approaches to regulating antisemitism.</w:t>
      </w:r>
    </w:p>
    <w:p w14:paraId="32F834B2" w14:textId="77777777" w:rsidR="00896761" w:rsidRPr="00896761" w:rsidRDefault="00896761" w:rsidP="007F1969">
      <w:pPr>
        <w:numPr>
          <w:ilvl w:val="0"/>
          <w:numId w:val="2"/>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Analyze contemporary controversies involving campus antisemitism and Title VI.</w:t>
      </w:r>
    </w:p>
    <w:p w14:paraId="770A69D3" w14:textId="77777777" w:rsidR="00896761" w:rsidRPr="00896761" w:rsidRDefault="00896761" w:rsidP="007F1969">
      <w:pPr>
        <w:numPr>
          <w:ilvl w:val="0"/>
          <w:numId w:val="2"/>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Explain the relationship between antisemitism, liberal democracy, and institutional legitimacy.</w:t>
      </w:r>
    </w:p>
    <w:p w14:paraId="658AC9B2" w14:textId="77777777" w:rsidR="00896761" w:rsidRPr="00896761" w:rsidRDefault="00896761" w:rsidP="007F1969">
      <w:pPr>
        <w:numPr>
          <w:ilvl w:val="0"/>
          <w:numId w:val="2"/>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Assess the role of allies and institutions in combating antisemitism.</w:t>
      </w:r>
    </w:p>
    <w:p w14:paraId="1868B038" w14:textId="77777777" w:rsidR="00896761" w:rsidRPr="00896761" w:rsidRDefault="007F1969" w:rsidP="00896761">
      <w:pPr>
        <w:spacing w:after="0" w:line="300" w:lineRule="atLeast"/>
        <w:rPr>
          <w:rFonts w:ascii="Calibri" w:hAnsi="Calibri" w:cs="Calibri"/>
          <w:sz w:val="22"/>
          <w:szCs w:val="22"/>
        </w:rPr>
      </w:pPr>
      <w:r w:rsidRPr="007F1969">
        <w:rPr>
          <w:rFonts w:ascii="Calibri" w:hAnsi="Calibri" w:cs="Calibri"/>
          <w:noProof/>
          <w:sz w:val="22"/>
          <w:szCs w:val="22"/>
        </w:rPr>
        <w:pict w14:anchorId="63CBFE47">
          <v:rect id="_x0000_i1033" alt="" style="width:468pt;height:.05pt;mso-width-percent:0;mso-height-percent:0;mso-width-percent:0;mso-height-percent:0" o:hralign="center" o:hrstd="t" o:hr="t" fillcolor="#a0a0a0" stroked="f"/>
        </w:pict>
      </w:r>
    </w:p>
    <w:p w14:paraId="033D262B"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Week 1</w:t>
      </w:r>
    </w:p>
    <w:p w14:paraId="5BEE0095"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Defamation</w:t>
      </w:r>
    </w:p>
    <w:p w14:paraId="5499407A"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Readings</w:t>
      </w:r>
    </w:p>
    <w:p w14:paraId="164B6BD4"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7.A. Contesting the Blood Libel</w:t>
      </w:r>
    </w:p>
    <w:p w14:paraId="66745FE2" w14:textId="77777777" w:rsidR="00896761" w:rsidRPr="00896761" w:rsidRDefault="00896761" w:rsidP="007F1969">
      <w:pPr>
        <w:numPr>
          <w:ilvl w:val="0"/>
          <w:numId w:val="3"/>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lang w:val="es-ES"/>
        </w:rPr>
        <w:t>Ortenberg v. Plamondon</w:t>
      </w:r>
      <w:r w:rsidRPr="00896761">
        <w:rPr>
          <w:rFonts w:ascii="Calibri" w:hAnsi="Calibri" w:cs="Calibri"/>
          <w:sz w:val="22"/>
          <w:szCs w:val="22"/>
          <w:lang w:val="es-ES"/>
        </w:rPr>
        <w:t xml:space="preserve">, 41 Que. Super. </w:t>
      </w:r>
      <w:r w:rsidRPr="00896761">
        <w:rPr>
          <w:rFonts w:ascii="Calibri" w:hAnsi="Calibri" w:cs="Calibri"/>
          <w:sz w:val="22"/>
          <w:szCs w:val="22"/>
        </w:rPr>
        <w:t>Ct. 71 (1910)</w:t>
      </w:r>
    </w:p>
    <w:p w14:paraId="198F3FF7"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7.B. Debunking the Protocols</w:t>
      </w:r>
    </w:p>
    <w:p w14:paraId="2795988F" w14:textId="77777777" w:rsidR="00896761" w:rsidRPr="00896761" w:rsidRDefault="00896761" w:rsidP="007F1969">
      <w:pPr>
        <w:numPr>
          <w:ilvl w:val="0"/>
          <w:numId w:val="4"/>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Levy v. von Moltke</w:t>
      </w:r>
      <w:r w:rsidRPr="00896761">
        <w:rPr>
          <w:rFonts w:ascii="Calibri" w:hAnsi="Calibri" w:cs="Calibri"/>
          <w:sz w:val="22"/>
          <w:szCs w:val="22"/>
        </w:rPr>
        <w:t xml:space="preserve"> (Berlin District Court 1928)</w:t>
      </w:r>
    </w:p>
    <w:p w14:paraId="310A77C6"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7.C. Debunking Holocaust Denial</w:t>
      </w:r>
    </w:p>
    <w:p w14:paraId="79A1A7E4" w14:textId="77777777" w:rsidR="00896761" w:rsidRPr="00896761" w:rsidRDefault="00896761" w:rsidP="007F1969">
      <w:pPr>
        <w:numPr>
          <w:ilvl w:val="0"/>
          <w:numId w:val="5"/>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Irving v. Penguin Books Ltd. &amp; Deborah Lipstadt</w:t>
      </w:r>
      <w:r w:rsidRPr="00896761">
        <w:rPr>
          <w:rFonts w:ascii="Calibri" w:hAnsi="Calibri" w:cs="Calibri"/>
          <w:sz w:val="22"/>
          <w:szCs w:val="22"/>
        </w:rPr>
        <w:t xml:space="preserve"> [2000] EWHC QB 115</w:t>
      </w:r>
    </w:p>
    <w:p w14:paraId="49B2C22D"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Description</w:t>
      </w:r>
    </w:p>
    <w:p w14:paraId="69D004D9"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The course begins with legal responses to some of the most enduring antisemitic falsehoods in history. The materials address blood libels, conspiracy theories, and Holocaust denial while exploring the role courts can play in exposing and repudiating antisemitic claims. The readings introduce a recurring theme of the course: law can combat antisemitism, but it cannot eradicate it.</w:t>
      </w:r>
    </w:p>
    <w:p w14:paraId="6C56E421" w14:textId="77777777" w:rsidR="00896761" w:rsidRPr="00896761" w:rsidRDefault="007F1969" w:rsidP="00896761">
      <w:pPr>
        <w:spacing w:line="300" w:lineRule="atLeast"/>
        <w:rPr>
          <w:rFonts w:ascii="Calibri" w:hAnsi="Calibri" w:cs="Calibri"/>
          <w:sz w:val="22"/>
          <w:szCs w:val="22"/>
        </w:rPr>
      </w:pPr>
      <w:r w:rsidRPr="007F1969">
        <w:rPr>
          <w:rFonts w:ascii="Calibri" w:hAnsi="Calibri" w:cs="Calibri"/>
          <w:noProof/>
          <w:sz w:val="22"/>
          <w:szCs w:val="22"/>
        </w:rPr>
        <w:pict w14:anchorId="5648C3BA">
          <v:rect id="_x0000_i1032" alt="" style="width:468pt;height:.05pt;mso-width-percent:0;mso-height-percent:0;mso-width-percent:0;mso-height-percent:0" o:hralign="center" o:hrstd="t" o:hr="t" fillcolor="#a0a0a0" stroked="f"/>
        </w:pict>
      </w:r>
    </w:p>
    <w:p w14:paraId="5C7AA406"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lastRenderedPageBreak/>
        <w:t>Week 2</w:t>
      </w:r>
    </w:p>
    <w:p w14:paraId="67F35285"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Hate Speech</w:t>
      </w:r>
    </w:p>
    <w:p w14:paraId="7CB19812"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Readings</w:t>
      </w:r>
    </w:p>
    <w:p w14:paraId="4423EFFD"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8.A. Non-Litigation Responses to Antisemitic Speech</w:t>
      </w:r>
    </w:p>
    <w:p w14:paraId="31BA83B8" w14:textId="77777777" w:rsidR="00896761" w:rsidRPr="00896761" w:rsidRDefault="00896761" w:rsidP="007F1969">
      <w:pPr>
        <w:numPr>
          <w:ilvl w:val="0"/>
          <w:numId w:val="6"/>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Henry Ford, </w:t>
      </w:r>
      <w:r w:rsidRPr="00896761">
        <w:rPr>
          <w:rStyle w:val="Emphasis"/>
          <w:rFonts w:ascii="Calibri" w:hAnsi="Calibri" w:cs="Calibri"/>
          <w:sz w:val="22"/>
          <w:szCs w:val="22"/>
        </w:rPr>
        <w:t>Statement Regarding Charges Against Jews Made in His Publications</w:t>
      </w:r>
      <w:r w:rsidRPr="00896761">
        <w:rPr>
          <w:rFonts w:ascii="Calibri" w:hAnsi="Calibri" w:cs="Calibri"/>
          <w:sz w:val="22"/>
          <w:szCs w:val="22"/>
        </w:rPr>
        <w:t xml:space="preserve"> (1927)</w:t>
      </w:r>
    </w:p>
    <w:p w14:paraId="5B5BF645" w14:textId="77777777" w:rsidR="00896761" w:rsidRPr="00896761" w:rsidRDefault="00896761" w:rsidP="007F1969">
      <w:pPr>
        <w:numPr>
          <w:ilvl w:val="0"/>
          <w:numId w:val="6"/>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Louis Marshall, </w:t>
      </w:r>
      <w:r w:rsidRPr="00896761">
        <w:rPr>
          <w:rStyle w:val="Emphasis"/>
          <w:rFonts w:ascii="Calibri" w:hAnsi="Calibri" w:cs="Calibri"/>
          <w:sz w:val="22"/>
          <w:szCs w:val="22"/>
        </w:rPr>
        <w:t>Reply to Mr. Ford</w:t>
      </w:r>
      <w:r w:rsidRPr="00896761">
        <w:rPr>
          <w:rFonts w:ascii="Calibri" w:hAnsi="Calibri" w:cs="Calibri"/>
          <w:sz w:val="22"/>
          <w:szCs w:val="22"/>
        </w:rPr>
        <w:t xml:space="preserve"> (1927)</w:t>
      </w:r>
    </w:p>
    <w:p w14:paraId="72039965"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8.B. Antisemitic Speech as Protected Speech</w:t>
      </w:r>
    </w:p>
    <w:p w14:paraId="0F2099DA" w14:textId="77777777" w:rsidR="00896761" w:rsidRPr="00896761" w:rsidRDefault="00896761" w:rsidP="007F1969">
      <w:pPr>
        <w:numPr>
          <w:ilvl w:val="0"/>
          <w:numId w:val="7"/>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Collin v. Smith</w:t>
      </w:r>
      <w:r w:rsidRPr="00896761">
        <w:rPr>
          <w:rFonts w:ascii="Calibri" w:hAnsi="Calibri" w:cs="Calibri"/>
          <w:sz w:val="22"/>
          <w:szCs w:val="22"/>
        </w:rPr>
        <w:t>, 578 F.2d 1197 (7th Cir. 1978)</w:t>
      </w:r>
    </w:p>
    <w:p w14:paraId="70BAF1B8"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Description</w:t>
      </w:r>
    </w:p>
    <w:p w14:paraId="4ED82285"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This week examines the American response to antisemitic speech. The materials contrast legal and non-legal responses to antisemitic advocacy and place core First Amendment principles into direct confrontation with the harms experienced by targeted communities. The Skokie litigation remains one of the most important examples of the costs and benefits of robust free-speech protection.</w:t>
      </w:r>
    </w:p>
    <w:p w14:paraId="54B119C3" w14:textId="77777777" w:rsidR="00896761" w:rsidRPr="00896761" w:rsidRDefault="007F1969" w:rsidP="00896761">
      <w:pPr>
        <w:spacing w:line="300" w:lineRule="atLeast"/>
        <w:rPr>
          <w:rFonts w:ascii="Calibri" w:hAnsi="Calibri" w:cs="Calibri"/>
          <w:sz w:val="22"/>
          <w:szCs w:val="22"/>
        </w:rPr>
      </w:pPr>
      <w:r w:rsidRPr="007F1969">
        <w:rPr>
          <w:rFonts w:ascii="Calibri" w:hAnsi="Calibri" w:cs="Calibri"/>
          <w:noProof/>
          <w:sz w:val="22"/>
          <w:szCs w:val="22"/>
        </w:rPr>
        <w:pict w14:anchorId="06AFB5E4">
          <v:rect id="_x0000_i1031" alt="" style="width:468pt;height:.05pt;mso-width-percent:0;mso-height-percent:0;mso-width-percent:0;mso-height-percent:0" o:hralign="center" o:hrstd="t" o:hr="t" fillcolor="#a0a0a0" stroked="f"/>
        </w:pict>
      </w:r>
    </w:p>
    <w:p w14:paraId="293638B0"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Week 3</w:t>
      </w:r>
    </w:p>
    <w:p w14:paraId="20299287"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Online Hate Speech</w:t>
      </w:r>
    </w:p>
    <w:p w14:paraId="75E70FAB"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Readings</w:t>
      </w:r>
    </w:p>
    <w:p w14:paraId="3C511007"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9.A. Applying Defamation Law to Platform Regulation</w:t>
      </w:r>
    </w:p>
    <w:p w14:paraId="0CE0AE98" w14:textId="77777777" w:rsidR="00896761" w:rsidRPr="00896761" w:rsidRDefault="00896761" w:rsidP="007F1969">
      <w:pPr>
        <w:numPr>
          <w:ilvl w:val="0"/>
          <w:numId w:val="8"/>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Stratton Oakmont, Inc. v. Prodigy Services Co.</w:t>
      </w:r>
      <w:r w:rsidRPr="00896761">
        <w:rPr>
          <w:rFonts w:ascii="Calibri" w:hAnsi="Calibri" w:cs="Calibri"/>
          <w:sz w:val="22"/>
          <w:szCs w:val="22"/>
        </w:rPr>
        <w:t>, 1995 WL 323710 (N.Y. Sup. Ct. May 24, 1995)</w:t>
      </w:r>
    </w:p>
    <w:p w14:paraId="2296ACBA"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9.B. Platform Regulation Under Section 230</w:t>
      </w:r>
    </w:p>
    <w:p w14:paraId="096D1532" w14:textId="77777777" w:rsidR="00896761" w:rsidRPr="00896761" w:rsidRDefault="00896761" w:rsidP="007F1969">
      <w:pPr>
        <w:numPr>
          <w:ilvl w:val="0"/>
          <w:numId w:val="9"/>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Zeran v. America Online, Inc.</w:t>
      </w:r>
      <w:r w:rsidRPr="00896761">
        <w:rPr>
          <w:rFonts w:ascii="Calibri" w:hAnsi="Calibri" w:cs="Calibri"/>
          <w:sz w:val="22"/>
          <w:szCs w:val="22"/>
        </w:rPr>
        <w:t>, 129 F.3d 327 (4th Cir. 1997)</w:t>
      </w:r>
    </w:p>
    <w:p w14:paraId="38D2C66D"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9.C. Challenges to Broad Immunity for Platforms</w:t>
      </w:r>
    </w:p>
    <w:p w14:paraId="09132455" w14:textId="77777777" w:rsidR="00896761" w:rsidRPr="00896761" w:rsidRDefault="00896761" w:rsidP="007F1969">
      <w:pPr>
        <w:numPr>
          <w:ilvl w:val="0"/>
          <w:numId w:val="10"/>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Force v. Facebook, Inc.</w:t>
      </w:r>
      <w:r w:rsidRPr="00896761">
        <w:rPr>
          <w:rFonts w:ascii="Calibri" w:hAnsi="Calibri" w:cs="Calibri"/>
          <w:sz w:val="22"/>
          <w:szCs w:val="22"/>
        </w:rPr>
        <w:t>, 934 F.3d 53 (2d Cir. 2019)</w:t>
      </w:r>
    </w:p>
    <w:p w14:paraId="3E659776"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9.F. Regulation to Promote Transparency and Counter Bias</w:t>
      </w:r>
    </w:p>
    <w:p w14:paraId="5A7067C0" w14:textId="77777777" w:rsidR="00896761" w:rsidRPr="00896761" w:rsidRDefault="00896761" w:rsidP="007F1969">
      <w:pPr>
        <w:numPr>
          <w:ilvl w:val="0"/>
          <w:numId w:val="11"/>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Moody v. NetChoice, LLC</w:t>
      </w:r>
      <w:r w:rsidRPr="00896761">
        <w:rPr>
          <w:rFonts w:ascii="Calibri" w:hAnsi="Calibri" w:cs="Calibri"/>
          <w:sz w:val="22"/>
          <w:szCs w:val="22"/>
        </w:rPr>
        <w:t>, 603 U.S. ___ (2024)</w:t>
      </w:r>
    </w:p>
    <w:p w14:paraId="25492172"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lastRenderedPageBreak/>
        <w:t>Description</w:t>
      </w:r>
    </w:p>
    <w:p w14:paraId="0194CD16"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This week examines antisemitism in digital spaces. The readings explore intermediary liability, platform immunity, content moderation, and the role of social media companies in regulating hateful expression. The materials ask whether legal doctrines developed before the internet remain adequate for addressing contemporary forms of antisemitism.</w:t>
      </w:r>
    </w:p>
    <w:p w14:paraId="448C8116" w14:textId="77777777" w:rsidR="00896761" w:rsidRPr="00896761" w:rsidRDefault="007F1969" w:rsidP="00896761">
      <w:pPr>
        <w:spacing w:line="300" w:lineRule="atLeast"/>
        <w:rPr>
          <w:rFonts w:ascii="Calibri" w:hAnsi="Calibri" w:cs="Calibri"/>
          <w:sz w:val="22"/>
          <w:szCs w:val="22"/>
        </w:rPr>
      </w:pPr>
      <w:r w:rsidRPr="007F1969">
        <w:rPr>
          <w:rFonts w:ascii="Calibri" w:hAnsi="Calibri" w:cs="Calibri"/>
          <w:noProof/>
          <w:sz w:val="22"/>
          <w:szCs w:val="22"/>
        </w:rPr>
        <w:pict w14:anchorId="4657BADF">
          <v:rect id="_x0000_i1030" alt="" style="width:468pt;height:.05pt;mso-width-percent:0;mso-height-percent:0;mso-width-percent:0;mso-height-percent:0" o:hralign="center" o:hrstd="t" o:hr="t" fillcolor="#a0a0a0" stroked="f"/>
        </w:pict>
      </w:r>
    </w:p>
    <w:p w14:paraId="5D40F665"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Week 4</w:t>
      </w:r>
    </w:p>
    <w:p w14:paraId="203957FC"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Comparative Hate Speech</w:t>
      </w:r>
    </w:p>
    <w:p w14:paraId="52F12979"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Readings</w:t>
      </w:r>
    </w:p>
    <w:p w14:paraId="08D0F960"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10.A. Incitement to Genocide</w:t>
      </w:r>
    </w:p>
    <w:p w14:paraId="53FB995D" w14:textId="77777777" w:rsidR="00896761" w:rsidRPr="00896761" w:rsidRDefault="00896761" w:rsidP="007F1969">
      <w:pPr>
        <w:numPr>
          <w:ilvl w:val="0"/>
          <w:numId w:val="12"/>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United States v. Streicher</w:t>
      </w:r>
      <w:r w:rsidRPr="00896761">
        <w:rPr>
          <w:rFonts w:ascii="Calibri" w:hAnsi="Calibri" w:cs="Calibri"/>
          <w:sz w:val="22"/>
          <w:szCs w:val="22"/>
        </w:rPr>
        <w:t xml:space="preserve">, </w:t>
      </w:r>
      <w:r w:rsidRPr="00896761">
        <w:rPr>
          <w:rStyle w:val="Emphasis"/>
          <w:rFonts w:ascii="Calibri" w:hAnsi="Calibri" w:cs="Calibri"/>
          <w:sz w:val="22"/>
          <w:szCs w:val="22"/>
        </w:rPr>
        <w:t>Trial of the Major War Criminals Before the International Military Tribunal</w:t>
      </w:r>
      <w:r w:rsidRPr="00896761">
        <w:rPr>
          <w:rFonts w:ascii="Calibri" w:hAnsi="Calibri" w:cs="Calibri"/>
          <w:sz w:val="22"/>
          <w:szCs w:val="22"/>
        </w:rPr>
        <w:t>, Vol. 22 (1946)</w:t>
      </w:r>
    </w:p>
    <w:p w14:paraId="7637552E"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10.B. Willful Promotion of Hatred</w:t>
      </w:r>
    </w:p>
    <w:p w14:paraId="43CBC218" w14:textId="77777777" w:rsidR="00896761" w:rsidRPr="00896761" w:rsidRDefault="00896761" w:rsidP="007F1969">
      <w:pPr>
        <w:numPr>
          <w:ilvl w:val="0"/>
          <w:numId w:val="13"/>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R. v. Keegstra</w:t>
      </w:r>
      <w:r w:rsidRPr="00896761">
        <w:rPr>
          <w:rFonts w:ascii="Calibri" w:hAnsi="Calibri" w:cs="Calibri"/>
          <w:sz w:val="22"/>
          <w:szCs w:val="22"/>
        </w:rPr>
        <w:t xml:space="preserve"> [1990] 3 S.C.R. 697</w:t>
      </w:r>
    </w:p>
    <w:p w14:paraId="7AE1DA46"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10.C. Glorification of the Nazi Regime</w:t>
      </w:r>
    </w:p>
    <w:p w14:paraId="457F9B2D" w14:textId="77777777" w:rsidR="00896761" w:rsidRPr="00896761" w:rsidRDefault="00896761" w:rsidP="007F1969">
      <w:pPr>
        <w:numPr>
          <w:ilvl w:val="0"/>
          <w:numId w:val="14"/>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Order of 4 November 2009 (The Wunsiedel Decision)</w:t>
      </w:r>
      <w:r w:rsidRPr="00896761">
        <w:rPr>
          <w:rFonts w:ascii="Calibri" w:hAnsi="Calibri" w:cs="Calibri"/>
          <w:sz w:val="22"/>
          <w:szCs w:val="22"/>
        </w:rPr>
        <w:t>, 1 BvR 2150/08 (German Federal Constitutional Court 2009)</w:t>
      </w:r>
    </w:p>
    <w:p w14:paraId="4B70EED4"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Description</w:t>
      </w:r>
    </w:p>
    <w:p w14:paraId="468720EB"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This week compares American approaches to hateful expression with legal models adopted elsewhere. The readings examine international criminal law, Canadian hate-speech law, and German restrictions on Nazi advocacy. Together, they highlight competing understandings of democracy, dignity, equality, and freedom of expression.</w:t>
      </w:r>
    </w:p>
    <w:p w14:paraId="4906B269" w14:textId="77777777" w:rsidR="00896761" w:rsidRPr="00896761" w:rsidRDefault="007F1969" w:rsidP="00896761">
      <w:pPr>
        <w:spacing w:line="300" w:lineRule="atLeast"/>
        <w:rPr>
          <w:rFonts w:ascii="Calibri" w:hAnsi="Calibri" w:cs="Calibri"/>
          <w:sz w:val="22"/>
          <w:szCs w:val="22"/>
        </w:rPr>
      </w:pPr>
      <w:r w:rsidRPr="007F1969">
        <w:rPr>
          <w:rFonts w:ascii="Calibri" w:hAnsi="Calibri" w:cs="Calibri"/>
          <w:noProof/>
          <w:sz w:val="22"/>
          <w:szCs w:val="22"/>
        </w:rPr>
        <w:pict w14:anchorId="2D12258C">
          <v:rect id="_x0000_i1029" alt="" style="width:468pt;height:.05pt;mso-width-percent:0;mso-height-percent:0;mso-width-percent:0;mso-height-percent:0" o:hralign="center" o:hrstd="t" o:hr="t" fillcolor="#a0a0a0" stroked="f"/>
        </w:pict>
      </w:r>
    </w:p>
    <w:p w14:paraId="20F73439"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Week 5</w:t>
      </w:r>
    </w:p>
    <w:p w14:paraId="469B2C86"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Hate Crimes</w:t>
      </w:r>
    </w:p>
    <w:p w14:paraId="4A07E4E6"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Readings</w:t>
      </w:r>
    </w:p>
    <w:p w14:paraId="2BE52BB0"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11.A. The Role of Jewish Advocates in the Leo Frank Affair</w:t>
      </w:r>
    </w:p>
    <w:p w14:paraId="11C9DA81" w14:textId="77777777" w:rsidR="00896761" w:rsidRPr="00896761" w:rsidRDefault="00896761" w:rsidP="007F1969">
      <w:pPr>
        <w:numPr>
          <w:ilvl w:val="0"/>
          <w:numId w:val="15"/>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lastRenderedPageBreak/>
        <w:t xml:space="preserve">Matthew Silver, </w:t>
      </w:r>
      <w:r w:rsidRPr="00896761">
        <w:rPr>
          <w:rStyle w:val="Emphasis"/>
          <w:rFonts w:ascii="Calibri" w:hAnsi="Calibri" w:cs="Calibri"/>
          <w:sz w:val="22"/>
          <w:szCs w:val="22"/>
        </w:rPr>
        <w:t>The Leo Frank Affair: Louis Marshall and the ADL vs. the KKK</w:t>
      </w:r>
      <w:r w:rsidRPr="00896761">
        <w:rPr>
          <w:rFonts w:ascii="Calibri" w:hAnsi="Calibri" w:cs="Calibri"/>
          <w:sz w:val="22"/>
          <w:szCs w:val="22"/>
        </w:rPr>
        <w:t xml:space="preserve"> (2024)</w:t>
      </w:r>
    </w:p>
    <w:p w14:paraId="07D038FE"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11.B. Hate Crimes Statute Protects Jews</w:t>
      </w:r>
    </w:p>
    <w:p w14:paraId="5A272F9B" w14:textId="77777777" w:rsidR="00896761" w:rsidRPr="00896761" w:rsidRDefault="00896761" w:rsidP="007F1969">
      <w:pPr>
        <w:numPr>
          <w:ilvl w:val="0"/>
          <w:numId w:val="16"/>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United States v. Nelson</w:t>
      </w:r>
      <w:r w:rsidRPr="00896761">
        <w:rPr>
          <w:rFonts w:ascii="Calibri" w:hAnsi="Calibri" w:cs="Calibri"/>
          <w:sz w:val="22"/>
          <w:szCs w:val="22"/>
        </w:rPr>
        <w:t>, 277 F.3d 164 (2d Cir. 2002)</w:t>
      </w:r>
    </w:p>
    <w:p w14:paraId="2C5A2427"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11.C. Hate Crimes Statute Does Not Violate the First Amendment</w:t>
      </w:r>
    </w:p>
    <w:p w14:paraId="1929B3A7" w14:textId="77777777" w:rsidR="00896761" w:rsidRPr="00896761" w:rsidRDefault="00896761" w:rsidP="007F1969">
      <w:pPr>
        <w:numPr>
          <w:ilvl w:val="0"/>
          <w:numId w:val="17"/>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Wisconsin v. Mitchell</w:t>
      </w:r>
      <w:r w:rsidRPr="00896761">
        <w:rPr>
          <w:rFonts w:ascii="Calibri" w:hAnsi="Calibri" w:cs="Calibri"/>
          <w:sz w:val="22"/>
          <w:szCs w:val="22"/>
        </w:rPr>
        <w:t>, 508 U.S. 476 (1993)</w:t>
      </w:r>
    </w:p>
    <w:p w14:paraId="6FDDCC15"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Description</w:t>
      </w:r>
    </w:p>
    <w:p w14:paraId="2AEB273C"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This week turns from antisemitic speech to antisemitic violence. The materials examine the development of hate-crime legislation, the role of Jewish advocacy in that development, and constitutional objections to enhanced penalties. The readings raise broader questions about motive, harm, and the proper purposes of criminal punishment.</w:t>
      </w:r>
    </w:p>
    <w:p w14:paraId="1A4CE7F7" w14:textId="77777777" w:rsidR="00896761" w:rsidRPr="00896761" w:rsidRDefault="007F1969" w:rsidP="00896761">
      <w:pPr>
        <w:spacing w:line="300" w:lineRule="atLeast"/>
        <w:rPr>
          <w:rFonts w:ascii="Calibri" w:hAnsi="Calibri" w:cs="Calibri"/>
          <w:sz w:val="22"/>
          <w:szCs w:val="22"/>
        </w:rPr>
      </w:pPr>
      <w:r w:rsidRPr="007F1969">
        <w:rPr>
          <w:rFonts w:ascii="Calibri" w:hAnsi="Calibri" w:cs="Calibri"/>
          <w:noProof/>
          <w:sz w:val="22"/>
          <w:szCs w:val="22"/>
        </w:rPr>
        <w:pict w14:anchorId="7AE17AE6">
          <v:rect id="_x0000_i1028" alt="" style="width:468pt;height:.05pt;mso-width-percent:0;mso-height-percent:0;mso-width-percent:0;mso-height-percent:0" o:hralign="center" o:hrstd="t" o:hr="t" fillcolor="#a0a0a0" stroked="f"/>
        </w:pict>
      </w:r>
    </w:p>
    <w:p w14:paraId="136BA6EE"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Week 6</w:t>
      </w:r>
    </w:p>
    <w:p w14:paraId="23EFB4C8"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Campus Antisemitism</w:t>
      </w:r>
    </w:p>
    <w:p w14:paraId="3DF71899"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Readings</w:t>
      </w:r>
    </w:p>
    <w:p w14:paraId="4B778B69"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12.C. Anti-Zionist Activity</w:t>
      </w:r>
    </w:p>
    <w:p w14:paraId="442C0F37" w14:textId="77777777" w:rsidR="00896761" w:rsidRPr="00896761" w:rsidRDefault="00896761" w:rsidP="007F1969">
      <w:pPr>
        <w:numPr>
          <w:ilvl w:val="0"/>
          <w:numId w:val="18"/>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U.S. Department of Education, Office for Civil Rights, </w:t>
      </w:r>
      <w:r w:rsidRPr="00896761">
        <w:rPr>
          <w:rStyle w:val="Emphasis"/>
          <w:rFonts w:ascii="Calibri" w:hAnsi="Calibri" w:cs="Calibri"/>
          <w:sz w:val="22"/>
          <w:szCs w:val="22"/>
        </w:rPr>
        <w:t>Letter to the University of Vermont</w:t>
      </w:r>
      <w:r w:rsidRPr="00896761">
        <w:rPr>
          <w:rFonts w:ascii="Calibri" w:hAnsi="Calibri" w:cs="Calibri"/>
          <w:sz w:val="22"/>
          <w:szCs w:val="22"/>
        </w:rPr>
        <w:t xml:space="preserve"> (2024)</w:t>
      </w:r>
    </w:p>
    <w:p w14:paraId="6950832D" w14:textId="77777777" w:rsidR="00896761" w:rsidRPr="00896761" w:rsidRDefault="00896761" w:rsidP="007F1969">
      <w:pPr>
        <w:numPr>
          <w:ilvl w:val="0"/>
          <w:numId w:val="18"/>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Alyza D. Lewin, </w:t>
      </w:r>
      <w:r w:rsidRPr="00896761">
        <w:rPr>
          <w:rStyle w:val="Emphasis"/>
          <w:rFonts w:ascii="Calibri" w:hAnsi="Calibri" w:cs="Calibri"/>
          <w:sz w:val="22"/>
          <w:szCs w:val="22"/>
        </w:rPr>
        <w:t>Anti-Zionist Harassment Is Against the Law, Too</w:t>
      </w:r>
      <w:r w:rsidRPr="00896761">
        <w:rPr>
          <w:rFonts w:ascii="Calibri" w:hAnsi="Calibri" w:cs="Calibri"/>
          <w:sz w:val="22"/>
          <w:szCs w:val="22"/>
        </w:rPr>
        <w:t xml:space="preserve"> (2024)</w:t>
      </w:r>
    </w:p>
    <w:p w14:paraId="50C53927"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12.D. UC Berkeley School of Law: A Case Study</w:t>
      </w:r>
    </w:p>
    <w:p w14:paraId="392E64E9" w14:textId="77777777" w:rsidR="00896761" w:rsidRPr="00896761" w:rsidRDefault="00896761" w:rsidP="007F1969">
      <w:pPr>
        <w:numPr>
          <w:ilvl w:val="0"/>
          <w:numId w:val="19"/>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Berkeley Law Students for Justice in Palestine, </w:t>
      </w:r>
      <w:r w:rsidRPr="00896761">
        <w:rPr>
          <w:rStyle w:val="Emphasis"/>
          <w:rFonts w:ascii="Calibri" w:hAnsi="Calibri" w:cs="Calibri"/>
          <w:sz w:val="22"/>
          <w:szCs w:val="22"/>
        </w:rPr>
        <w:t>Bylaw</w:t>
      </w:r>
      <w:r w:rsidRPr="00896761">
        <w:rPr>
          <w:rFonts w:ascii="Calibri" w:hAnsi="Calibri" w:cs="Calibri"/>
          <w:sz w:val="22"/>
          <w:szCs w:val="22"/>
        </w:rPr>
        <w:t xml:space="preserve"> (2022)</w:t>
      </w:r>
    </w:p>
    <w:p w14:paraId="43E20D05" w14:textId="77777777" w:rsidR="00896761" w:rsidRPr="00896761" w:rsidRDefault="00896761" w:rsidP="007F1969">
      <w:pPr>
        <w:numPr>
          <w:ilvl w:val="0"/>
          <w:numId w:val="19"/>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Dean Erwin Chemerinsky, </w:t>
      </w:r>
      <w:r w:rsidRPr="00896761">
        <w:rPr>
          <w:rStyle w:val="Emphasis"/>
          <w:rFonts w:ascii="Calibri" w:hAnsi="Calibri" w:cs="Calibri"/>
          <w:sz w:val="22"/>
          <w:szCs w:val="22"/>
        </w:rPr>
        <w:t>Statement to the UC Berkeley Law Community</w:t>
      </w:r>
      <w:r w:rsidRPr="00896761">
        <w:rPr>
          <w:rFonts w:ascii="Calibri" w:hAnsi="Calibri" w:cs="Calibri"/>
          <w:sz w:val="22"/>
          <w:szCs w:val="22"/>
        </w:rPr>
        <w:t xml:space="preserve"> (2022)</w:t>
      </w:r>
    </w:p>
    <w:p w14:paraId="521A5281"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12.E. Free Speech and Anti-Discrimination Law</w:t>
      </w:r>
    </w:p>
    <w:p w14:paraId="56DC08F6" w14:textId="77777777" w:rsidR="00896761" w:rsidRPr="00896761" w:rsidRDefault="00896761" w:rsidP="007F1969">
      <w:pPr>
        <w:numPr>
          <w:ilvl w:val="0"/>
          <w:numId w:val="20"/>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Alexander Kestenbaum &amp; Students Against Antisemitism, Inc. v. President &amp; Fellows of Harvard College</w:t>
      </w:r>
      <w:r w:rsidRPr="00896761">
        <w:rPr>
          <w:rFonts w:ascii="Calibri" w:hAnsi="Calibri" w:cs="Calibri"/>
          <w:sz w:val="22"/>
          <w:szCs w:val="22"/>
        </w:rPr>
        <w:t xml:space="preserve"> (D. Mass. 2024)</w:t>
      </w:r>
    </w:p>
    <w:p w14:paraId="5250A6FF"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Description</w:t>
      </w:r>
    </w:p>
    <w:p w14:paraId="7B237879"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 xml:space="preserve">This week examines one of the most contested contemporary applications of antisemitism law. The materials explore Title VI, anti-Zionist activity, free speech, harassment, institutional responsibility, and </w:t>
      </w:r>
      <w:r w:rsidRPr="00896761">
        <w:rPr>
          <w:rFonts w:ascii="Calibri" w:hAnsi="Calibri" w:cs="Calibri"/>
          <w:sz w:val="22"/>
          <w:szCs w:val="22"/>
        </w:rPr>
        <w:lastRenderedPageBreak/>
        <w:t>university governance. The chapter brings together many issues encountered earlier in the seminar and asks whether existing legal frameworks are adequate to address contemporary manifestations of antisemitism.</w:t>
      </w:r>
    </w:p>
    <w:p w14:paraId="1AD1B31E" w14:textId="77777777" w:rsidR="00896761" w:rsidRPr="00896761" w:rsidRDefault="007F1969" w:rsidP="00896761">
      <w:pPr>
        <w:spacing w:line="300" w:lineRule="atLeast"/>
        <w:rPr>
          <w:rFonts w:ascii="Calibri" w:hAnsi="Calibri" w:cs="Calibri"/>
          <w:sz w:val="22"/>
          <w:szCs w:val="22"/>
        </w:rPr>
      </w:pPr>
      <w:r w:rsidRPr="007F1969">
        <w:rPr>
          <w:rFonts w:ascii="Calibri" w:hAnsi="Calibri" w:cs="Calibri"/>
          <w:noProof/>
          <w:sz w:val="22"/>
          <w:szCs w:val="22"/>
        </w:rPr>
        <w:pict w14:anchorId="24F7C996">
          <v:rect id="_x0000_i1027" alt="" style="width:468pt;height:.05pt;mso-width-percent:0;mso-height-percent:0;mso-width-percent:0;mso-height-percent:0" o:hralign="center" o:hrstd="t" o:hr="t" fillcolor="#a0a0a0" stroked="f"/>
        </w:pict>
      </w:r>
    </w:p>
    <w:p w14:paraId="79D154CB"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Week 7</w:t>
      </w:r>
    </w:p>
    <w:p w14:paraId="6EAEFA36"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Antisemitism and Liberal Democracy</w:t>
      </w:r>
    </w:p>
    <w:p w14:paraId="49C1DD3B"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Readings</w:t>
      </w:r>
    </w:p>
    <w:p w14:paraId="2D5104C4"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13</w:t>
      </w:r>
    </w:p>
    <w:p w14:paraId="18308F00" w14:textId="77777777" w:rsidR="00896761" w:rsidRPr="00896761" w:rsidRDefault="00896761" w:rsidP="007F1969">
      <w:pPr>
        <w:numPr>
          <w:ilvl w:val="0"/>
          <w:numId w:val="21"/>
        </w:numPr>
        <w:spacing w:before="100" w:beforeAutospacing="1" w:after="100" w:afterAutospacing="1" w:line="300" w:lineRule="atLeast"/>
        <w:rPr>
          <w:rFonts w:ascii="Calibri" w:hAnsi="Calibri" w:cs="Calibri"/>
          <w:sz w:val="22"/>
          <w:szCs w:val="22"/>
        </w:rPr>
      </w:pPr>
      <w:r w:rsidRPr="00896761">
        <w:rPr>
          <w:rStyle w:val="Emphasis"/>
          <w:rFonts w:ascii="Calibri" w:hAnsi="Calibri" w:cs="Calibri"/>
          <w:sz w:val="22"/>
          <w:szCs w:val="22"/>
        </w:rPr>
        <w:t>Émile Zola v. Judet and Others</w:t>
      </w:r>
      <w:r w:rsidRPr="00896761">
        <w:rPr>
          <w:rFonts w:ascii="Calibri" w:hAnsi="Calibri" w:cs="Calibri"/>
          <w:sz w:val="22"/>
          <w:szCs w:val="22"/>
        </w:rPr>
        <w:t xml:space="preserve"> (Cour d'Assises de la Seine 1898)</w:t>
      </w:r>
    </w:p>
    <w:p w14:paraId="19EAA488"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Description</w:t>
      </w:r>
    </w:p>
    <w:p w14:paraId="59B6AB5A"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This week examines the Dreyfus Affair and its enduring significance for law and democratic governance. The materials explore the relationship between antisemitism, citizenship, due process, public opinion, and the rule of law. The Affair provides one of the clearest demonstrations of how antisemitism can threaten the foundations of a liberal democratic order.</w:t>
      </w:r>
    </w:p>
    <w:p w14:paraId="4FD89381" w14:textId="77777777" w:rsidR="00896761" w:rsidRPr="00896761" w:rsidRDefault="007F1969" w:rsidP="00896761">
      <w:pPr>
        <w:spacing w:line="300" w:lineRule="atLeast"/>
        <w:rPr>
          <w:rFonts w:ascii="Calibri" w:hAnsi="Calibri" w:cs="Calibri"/>
          <w:sz w:val="22"/>
          <w:szCs w:val="22"/>
        </w:rPr>
      </w:pPr>
      <w:r w:rsidRPr="007F1969">
        <w:rPr>
          <w:rFonts w:ascii="Calibri" w:hAnsi="Calibri" w:cs="Calibri"/>
          <w:noProof/>
          <w:sz w:val="22"/>
          <w:szCs w:val="22"/>
        </w:rPr>
        <w:pict w14:anchorId="28B817F3">
          <v:rect id="_x0000_i1026" alt="" style="width:468pt;height:.05pt;mso-width-percent:0;mso-height-percent:0;mso-width-percent:0;mso-height-percent:0" o:hralign="center" o:hrstd="t" o:hr="t" fillcolor="#a0a0a0" stroked="f"/>
        </w:pict>
      </w:r>
    </w:p>
    <w:p w14:paraId="429FA6B6"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Week 8</w:t>
      </w:r>
    </w:p>
    <w:p w14:paraId="01CB6EB6" w14:textId="77777777" w:rsidR="00896761" w:rsidRPr="00896761" w:rsidRDefault="00896761" w:rsidP="00896761">
      <w:pPr>
        <w:pStyle w:val="Heading2"/>
        <w:spacing w:line="300" w:lineRule="atLeast"/>
        <w:rPr>
          <w:rFonts w:ascii="Calibri" w:hAnsi="Calibri" w:cs="Calibri"/>
          <w:sz w:val="22"/>
          <w:szCs w:val="22"/>
        </w:rPr>
      </w:pPr>
      <w:r w:rsidRPr="00896761">
        <w:rPr>
          <w:rFonts w:ascii="Calibri" w:hAnsi="Calibri" w:cs="Calibri"/>
          <w:sz w:val="22"/>
          <w:szCs w:val="22"/>
        </w:rPr>
        <w:t>Antisemitism and Christianity</w:t>
      </w:r>
    </w:p>
    <w:p w14:paraId="7462E061"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Readings</w:t>
      </w:r>
    </w:p>
    <w:p w14:paraId="1046E626"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14.A. The Blood Libel Is False</w:t>
      </w:r>
    </w:p>
    <w:p w14:paraId="0AF8026B" w14:textId="77777777" w:rsidR="00896761" w:rsidRPr="00896761" w:rsidRDefault="00896761" w:rsidP="007F1969">
      <w:pPr>
        <w:numPr>
          <w:ilvl w:val="0"/>
          <w:numId w:val="22"/>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Pope Innocent IV, </w:t>
      </w:r>
      <w:r w:rsidRPr="00896761">
        <w:rPr>
          <w:rStyle w:val="Emphasis"/>
          <w:rFonts w:ascii="Calibri" w:hAnsi="Calibri" w:cs="Calibri"/>
          <w:sz w:val="22"/>
          <w:szCs w:val="22"/>
        </w:rPr>
        <w:t>The Lamentable Complaint of the Jews</w:t>
      </w:r>
      <w:r w:rsidRPr="00896761">
        <w:rPr>
          <w:rFonts w:ascii="Calibri" w:hAnsi="Calibri" w:cs="Calibri"/>
          <w:sz w:val="22"/>
          <w:szCs w:val="22"/>
        </w:rPr>
        <w:t xml:space="preserve"> (1247)</w:t>
      </w:r>
    </w:p>
    <w:p w14:paraId="678188B4"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14.B. A Missed Opportunity to Debunk the Blood Libel</w:t>
      </w:r>
    </w:p>
    <w:p w14:paraId="6F664651" w14:textId="77777777" w:rsidR="00896761" w:rsidRPr="00896761" w:rsidRDefault="00896761" w:rsidP="007F1969">
      <w:pPr>
        <w:numPr>
          <w:ilvl w:val="0"/>
          <w:numId w:val="23"/>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Cardinal Lorenzo Ganganelli, </w:t>
      </w:r>
      <w:r w:rsidRPr="00896761">
        <w:rPr>
          <w:rStyle w:val="Emphasis"/>
          <w:rFonts w:ascii="Calibri" w:hAnsi="Calibri" w:cs="Calibri"/>
          <w:sz w:val="22"/>
          <w:szCs w:val="22"/>
        </w:rPr>
        <w:t>Report of Cardinal Ganganelli</w:t>
      </w:r>
      <w:r w:rsidRPr="00896761">
        <w:rPr>
          <w:rFonts w:ascii="Calibri" w:hAnsi="Calibri" w:cs="Calibri"/>
          <w:sz w:val="22"/>
          <w:szCs w:val="22"/>
        </w:rPr>
        <w:t xml:space="preserve"> (1759)</w:t>
      </w:r>
    </w:p>
    <w:p w14:paraId="41A484F7"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14.C. Vatican II</w:t>
      </w:r>
    </w:p>
    <w:p w14:paraId="5F8DD504" w14:textId="77777777" w:rsidR="00896761" w:rsidRPr="00896761" w:rsidRDefault="00896761" w:rsidP="007F1969">
      <w:pPr>
        <w:numPr>
          <w:ilvl w:val="0"/>
          <w:numId w:val="24"/>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 xml:space="preserve">Second Vatican Council, </w:t>
      </w:r>
      <w:r w:rsidRPr="00896761">
        <w:rPr>
          <w:rStyle w:val="Emphasis"/>
          <w:rFonts w:ascii="Calibri" w:hAnsi="Calibri" w:cs="Calibri"/>
          <w:sz w:val="22"/>
          <w:szCs w:val="22"/>
        </w:rPr>
        <w:t>Nostra Aetate</w:t>
      </w:r>
      <w:r w:rsidRPr="00896761">
        <w:rPr>
          <w:rFonts w:ascii="Calibri" w:hAnsi="Calibri" w:cs="Calibri"/>
          <w:sz w:val="22"/>
          <w:szCs w:val="22"/>
        </w:rPr>
        <w:t xml:space="preserve"> (1965)</w:t>
      </w:r>
    </w:p>
    <w:p w14:paraId="5F31D9C3" w14:textId="77777777" w:rsidR="00896761" w:rsidRPr="00896761" w:rsidRDefault="00896761" w:rsidP="00896761">
      <w:pPr>
        <w:pStyle w:val="NormalWeb"/>
        <w:spacing w:line="300" w:lineRule="atLeast"/>
        <w:rPr>
          <w:rFonts w:ascii="Calibri" w:hAnsi="Calibri" w:cs="Calibri"/>
          <w:sz w:val="22"/>
          <w:szCs w:val="22"/>
        </w:rPr>
      </w:pPr>
      <w:r w:rsidRPr="00896761">
        <w:rPr>
          <w:rStyle w:val="Strong"/>
          <w:rFonts w:ascii="Calibri" w:hAnsi="Calibri" w:cs="Calibri"/>
          <w:sz w:val="22"/>
          <w:szCs w:val="22"/>
        </w:rPr>
        <w:t>Chapter 14.D. The Relationship Between the Holy See and the State of Israel</w:t>
      </w:r>
    </w:p>
    <w:p w14:paraId="167BE97B" w14:textId="77777777" w:rsidR="00896761" w:rsidRPr="00896761" w:rsidRDefault="00896761" w:rsidP="007F1969">
      <w:pPr>
        <w:numPr>
          <w:ilvl w:val="0"/>
          <w:numId w:val="25"/>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lastRenderedPageBreak/>
        <w:t>Declaration of the Establishment of the State of Israel (1948)</w:t>
      </w:r>
    </w:p>
    <w:p w14:paraId="2AB8CCC8" w14:textId="77777777" w:rsidR="00896761" w:rsidRPr="00896761" w:rsidRDefault="00896761" w:rsidP="007F1969">
      <w:pPr>
        <w:numPr>
          <w:ilvl w:val="0"/>
          <w:numId w:val="25"/>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Fundamental Agreement Between the Holy See and the State of Israel (1993)</w:t>
      </w:r>
    </w:p>
    <w:p w14:paraId="0E94D7DF" w14:textId="77777777" w:rsidR="00896761" w:rsidRPr="00896761" w:rsidRDefault="00896761" w:rsidP="00896761">
      <w:pPr>
        <w:pStyle w:val="Heading3"/>
        <w:spacing w:line="300" w:lineRule="atLeast"/>
        <w:rPr>
          <w:rFonts w:ascii="Calibri" w:hAnsi="Calibri" w:cs="Calibri"/>
          <w:sz w:val="22"/>
          <w:szCs w:val="22"/>
        </w:rPr>
      </w:pPr>
      <w:r w:rsidRPr="00896761">
        <w:rPr>
          <w:rFonts w:ascii="Calibri" w:hAnsi="Calibri" w:cs="Calibri"/>
          <w:sz w:val="22"/>
          <w:szCs w:val="22"/>
        </w:rPr>
        <w:t>Description</w:t>
      </w:r>
    </w:p>
    <w:p w14:paraId="7F2A36DD"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 xml:space="preserve">The seminar concludes by examining one of the most important examples of institutional reform in the history of antisemitism. The materials trace the evolution of Catholic responses to Jews and Judaism, culminating in </w:t>
      </w:r>
      <w:r w:rsidRPr="00896761">
        <w:rPr>
          <w:rStyle w:val="Emphasis"/>
          <w:rFonts w:ascii="Calibri" w:hAnsi="Calibri" w:cs="Calibri"/>
          <w:sz w:val="22"/>
          <w:szCs w:val="22"/>
        </w:rPr>
        <w:t>Nostra Aetate</w:t>
      </w:r>
      <w:r w:rsidRPr="00896761">
        <w:rPr>
          <w:rFonts w:ascii="Calibri" w:hAnsi="Calibri" w:cs="Calibri"/>
          <w:sz w:val="22"/>
          <w:szCs w:val="22"/>
        </w:rPr>
        <w:t xml:space="preserve"> and the establishment of formal relations between the Holy See and the State of Israel. The readings ask how institutions can acknowledge past failures, reform themselves, and become allies in combating antisemitism.</w:t>
      </w:r>
    </w:p>
    <w:p w14:paraId="1187A69D" w14:textId="77777777" w:rsidR="00896761" w:rsidRPr="00896761" w:rsidRDefault="007F1969" w:rsidP="00896761">
      <w:pPr>
        <w:spacing w:line="300" w:lineRule="atLeast"/>
        <w:rPr>
          <w:rFonts w:ascii="Calibri" w:hAnsi="Calibri" w:cs="Calibri"/>
          <w:sz w:val="22"/>
          <w:szCs w:val="22"/>
        </w:rPr>
      </w:pPr>
      <w:r>
        <w:rPr>
          <w:noProof/>
        </w:rPr>
      </w:r>
      <w:r>
        <w:pict w14:anchorId="4B2BC909">
          <v:rect id="Horizontal Line 4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1C0F7EEC" w14:textId="77777777" w:rsidR="00896761" w:rsidRPr="00896761" w:rsidRDefault="00896761" w:rsidP="00896761">
      <w:pPr>
        <w:pStyle w:val="Heading1"/>
        <w:spacing w:line="300" w:lineRule="atLeast"/>
        <w:rPr>
          <w:rFonts w:ascii="Calibri" w:hAnsi="Calibri" w:cs="Calibri"/>
          <w:sz w:val="22"/>
          <w:szCs w:val="22"/>
        </w:rPr>
      </w:pPr>
      <w:r w:rsidRPr="00896761">
        <w:rPr>
          <w:rFonts w:ascii="Calibri" w:hAnsi="Calibri" w:cs="Calibri"/>
          <w:sz w:val="22"/>
          <w:szCs w:val="22"/>
        </w:rPr>
        <w:t>Grading and Assessment</w:t>
      </w:r>
    </w:p>
    <w:p w14:paraId="1984EBD1" w14:textId="77777777" w:rsidR="00896761" w:rsidRPr="00896761" w:rsidRDefault="00896761" w:rsidP="007F1969">
      <w:pPr>
        <w:numPr>
          <w:ilvl w:val="0"/>
          <w:numId w:val="26"/>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Class Participation: 30%</w:t>
      </w:r>
    </w:p>
    <w:p w14:paraId="1B5780BA" w14:textId="77777777" w:rsidR="00896761" w:rsidRPr="00896761" w:rsidRDefault="00896761" w:rsidP="007F1969">
      <w:pPr>
        <w:numPr>
          <w:ilvl w:val="0"/>
          <w:numId w:val="26"/>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Weekly Short Responses/Discussion Posts: 30%</w:t>
      </w:r>
    </w:p>
    <w:p w14:paraId="06F22435" w14:textId="77777777" w:rsidR="00896761" w:rsidRPr="00896761" w:rsidRDefault="00896761" w:rsidP="007F1969">
      <w:pPr>
        <w:numPr>
          <w:ilvl w:val="0"/>
          <w:numId w:val="26"/>
        </w:numPr>
        <w:spacing w:before="100" w:beforeAutospacing="1" w:after="100" w:afterAutospacing="1" w:line="300" w:lineRule="atLeast"/>
        <w:rPr>
          <w:rFonts w:ascii="Calibri" w:hAnsi="Calibri" w:cs="Calibri"/>
          <w:sz w:val="22"/>
          <w:szCs w:val="22"/>
        </w:rPr>
      </w:pPr>
      <w:r w:rsidRPr="00896761">
        <w:rPr>
          <w:rFonts w:ascii="Calibri" w:hAnsi="Calibri" w:cs="Calibri"/>
          <w:sz w:val="22"/>
          <w:szCs w:val="22"/>
        </w:rPr>
        <w:t>Final Paper/Project (10-12 pages or class presentation): 40%</w:t>
      </w:r>
    </w:p>
    <w:p w14:paraId="1263C76B" w14:textId="77777777" w:rsidR="00896761" w:rsidRPr="00896761" w:rsidRDefault="00896761" w:rsidP="00896761">
      <w:pPr>
        <w:pStyle w:val="NormalWeb"/>
        <w:spacing w:line="300" w:lineRule="atLeast"/>
        <w:rPr>
          <w:rFonts w:ascii="Calibri" w:hAnsi="Calibri" w:cs="Calibri"/>
          <w:sz w:val="22"/>
          <w:szCs w:val="22"/>
        </w:rPr>
      </w:pPr>
      <w:r w:rsidRPr="00896761">
        <w:rPr>
          <w:rFonts w:ascii="Calibri" w:hAnsi="Calibri" w:cs="Calibri"/>
          <w:sz w:val="22"/>
          <w:szCs w:val="22"/>
        </w:rPr>
        <w:t>Regular attendance, full preparation, and active participation are mandatory. More than two unexcused absences may adversely affect the final grade.</w:t>
      </w:r>
    </w:p>
    <w:p w14:paraId="04E62CA6" w14:textId="77777777" w:rsidR="00EE714B" w:rsidRPr="00896761" w:rsidRDefault="00EE714B">
      <w:pPr>
        <w:rPr>
          <w:rFonts w:ascii="Calibri" w:hAnsi="Calibri" w:cs="Calibri"/>
          <w:sz w:val="22"/>
          <w:szCs w:val="22"/>
        </w:rPr>
      </w:pPr>
    </w:p>
    <w:sectPr w:rsidR="00EE714B" w:rsidRPr="00896761" w:rsidSect="00A01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9084B"/>
    <w:multiLevelType w:val="multilevel"/>
    <w:tmpl w:val="B2E4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95206"/>
    <w:multiLevelType w:val="multilevel"/>
    <w:tmpl w:val="D898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F2814"/>
    <w:multiLevelType w:val="multilevel"/>
    <w:tmpl w:val="9012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371AB"/>
    <w:multiLevelType w:val="multilevel"/>
    <w:tmpl w:val="DB9E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463BA"/>
    <w:multiLevelType w:val="multilevel"/>
    <w:tmpl w:val="2A9E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727D2"/>
    <w:multiLevelType w:val="multilevel"/>
    <w:tmpl w:val="C6B6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41028"/>
    <w:multiLevelType w:val="multilevel"/>
    <w:tmpl w:val="E578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03020"/>
    <w:multiLevelType w:val="multilevel"/>
    <w:tmpl w:val="FF08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4631F"/>
    <w:multiLevelType w:val="multilevel"/>
    <w:tmpl w:val="E1B4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15CF2"/>
    <w:multiLevelType w:val="multilevel"/>
    <w:tmpl w:val="F372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A4670"/>
    <w:multiLevelType w:val="multilevel"/>
    <w:tmpl w:val="0FE8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15720"/>
    <w:multiLevelType w:val="multilevel"/>
    <w:tmpl w:val="3A44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C164B"/>
    <w:multiLevelType w:val="multilevel"/>
    <w:tmpl w:val="EA80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D268D7"/>
    <w:multiLevelType w:val="multilevel"/>
    <w:tmpl w:val="B524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F6658"/>
    <w:multiLevelType w:val="multilevel"/>
    <w:tmpl w:val="0362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12BB2"/>
    <w:multiLevelType w:val="multilevel"/>
    <w:tmpl w:val="162E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C1B98"/>
    <w:multiLevelType w:val="multilevel"/>
    <w:tmpl w:val="7AE6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4E4655"/>
    <w:multiLevelType w:val="multilevel"/>
    <w:tmpl w:val="CE72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693A86"/>
    <w:multiLevelType w:val="multilevel"/>
    <w:tmpl w:val="B760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BA413C"/>
    <w:multiLevelType w:val="multilevel"/>
    <w:tmpl w:val="C7F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97792D"/>
    <w:multiLevelType w:val="multilevel"/>
    <w:tmpl w:val="E6E8E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61720"/>
    <w:multiLevelType w:val="multilevel"/>
    <w:tmpl w:val="C9F0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CA340C"/>
    <w:multiLevelType w:val="multilevel"/>
    <w:tmpl w:val="CAEE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E643D"/>
    <w:multiLevelType w:val="multilevel"/>
    <w:tmpl w:val="7BE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4617D1"/>
    <w:multiLevelType w:val="multilevel"/>
    <w:tmpl w:val="C2F0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3D63FA"/>
    <w:multiLevelType w:val="multilevel"/>
    <w:tmpl w:val="624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8482584">
    <w:abstractNumId w:val="20"/>
  </w:num>
  <w:num w:numId="2" w16cid:durableId="2144034530">
    <w:abstractNumId w:val="21"/>
  </w:num>
  <w:num w:numId="3" w16cid:durableId="75249497">
    <w:abstractNumId w:val="24"/>
  </w:num>
  <w:num w:numId="4" w16cid:durableId="754791558">
    <w:abstractNumId w:val="3"/>
  </w:num>
  <w:num w:numId="5" w16cid:durableId="1191914436">
    <w:abstractNumId w:val="14"/>
  </w:num>
  <w:num w:numId="6" w16cid:durableId="1604264987">
    <w:abstractNumId w:val="19"/>
  </w:num>
  <w:num w:numId="7" w16cid:durableId="764349201">
    <w:abstractNumId w:val="23"/>
  </w:num>
  <w:num w:numId="8" w16cid:durableId="470053392">
    <w:abstractNumId w:val="18"/>
  </w:num>
  <w:num w:numId="9" w16cid:durableId="1461461016">
    <w:abstractNumId w:val="6"/>
  </w:num>
  <w:num w:numId="10" w16cid:durableId="528178018">
    <w:abstractNumId w:val="1"/>
  </w:num>
  <w:num w:numId="11" w16cid:durableId="1787889171">
    <w:abstractNumId w:val="2"/>
  </w:num>
  <w:num w:numId="12" w16cid:durableId="607083739">
    <w:abstractNumId w:val="13"/>
  </w:num>
  <w:num w:numId="13" w16cid:durableId="397753347">
    <w:abstractNumId w:val="4"/>
  </w:num>
  <w:num w:numId="14" w16cid:durableId="471680195">
    <w:abstractNumId w:val="0"/>
  </w:num>
  <w:num w:numId="15" w16cid:durableId="234781347">
    <w:abstractNumId w:val="15"/>
  </w:num>
  <w:num w:numId="16" w16cid:durableId="750471766">
    <w:abstractNumId w:val="7"/>
  </w:num>
  <w:num w:numId="17" w16cid:durableId="81873431">
    <w:abstractNumId w:val="9"/>
  </w:num>
  <w:num w:numId="18" w16cid:durableId="2100102054">
    <w:abstractNumId w:val="5"/>
  </w:num>
  <w:num w:numId="19" w16cid:durableId="1576478523">
    <w:abstractNumId w:val="8"/>
  </w:num>
  <w:num w:numId="20" w16cid:durableId="2064449843">
    <w:abstractNumId w:val="17"/>
  </w:num>
  <w:num w:numId="21" w16cid:durableId="800997879">
    <w:abstractNumId w:val="11"/>
  </w:num>
  <w:num w:numId="22" w16cid:durableId="228003985">
    <w:abstractNumId w:val="22"/>
  </w:num>
  <w:num w:numId="23" w16cid:durableId="1211072002">
    <w:abstractNumId w:val="12"/>
  </w:num>
  <w:num w:numId="24" w16cid:durableId="1646540843">
    <w:abstractNumId w:val="25"/>
  </w:num>
  <w:num w:numId="25" w16cid:durableId="2121558481">
    <w:abstractNumId w:val="10"/>
  </w:num>
  <w:num w:numId="26" w16cid:durableId="1913002372">
    <w:abstractNumId w:val="16"/>
  </w:num>
  <w:numIdMacAtCleanup w:val="2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FA"/>
    <w:rsid w:val="001F42B1"/>
    <w:rsid w:val="00270037"/>
    <w:rsid w:val="00280944"/>
    <w:rsid w:val="002F2B98"/>
    <w:rsid w:val="004F1BC1"/>
    <w:rsid w:val="004F239B"/>
    <w:rsid w:val="0051707A"/>
    <w:rsid w:val="005575AA"/>
    <w:rsid w:val="00610328"/>
    <w:rsid w:val="00650162"/>
    <w:rsid w:val="00714AC7"/>
    <w:rsid w:val="007F1969"/>
    <w:rsid w:val="00896761"/>
    <w:rsid w:val="008B7274"/>
    <w:rsid w:val="008D3F9A"/>
    <w:rsid w:val="00A01011"/>
    <w:rsid w:val="00A24537"/>
    <w:rsid w:val="00A61C0C"/>
    <w:rsid w:val="00CC5FFA"/>
    <w:rsid w:val="00EE7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18984B"/>
  <w15:chartTrackingRefBased/>
  <w15:docId w15:val="{D9067A0F-81B9-BA46-BE36-0B1E50DA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5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5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5F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5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FFA"/>
    <w:rPr>
      <w:rFonts w:eastAsiaTheme="majorEastAsia" w:cstheme="majorBidi"/>
      <w:color w:val="272727" w:themeColor="text1" w:themeTint="D8"/>
    </w:rPr>
  </w:style>
  <w:style w:type="paragraph" w:styleId="Title">
    <w:name w:val="Title"/>
    <w:basedOn w:val="Normal"/>
    <w:next w:val="Normal"/>
    <w:link w:val="TitleChar"/>
    <w:uiPriority w:val="10"/>
    <w:qFormat/>
    <w:rsid w:val="00CC5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FFA"/>
    <w:pPr>
      <w:spacing w:before="160"/>
      <w:jc w:val="center"/>
    </w:pPr>
    <w:rPr>
      <w:i/>
      <w:iCs/>
      <w:color w:val="404040" w:themeColor="text1" w:themeTint="BF"/>
    </w:rPr>
  </w:style>
  <w:style w:type="character" w:customStyle="1" w:styleId="QuoteChar">
    <w:name w:val="Quote Char"/>
    <w:basedOn w:val="DefaultParagraphFont"/>
    <w:link w:val="Quote"/>
    <w:uiPriority w:val="29"/>
    <w:rsid w:val="00CC5FFA"/>
    <w:rPr>
      <w:i/>
      <w:iCs/>
      <w:color w:val="404040" w:themeColor="text1" w:themeTint="BF"/>
    </w:rPr>
  </w:style>
  <w:style w:type="paragraph" w:styleId="ListParagraph">
    <w:name w:val="List Paragraph"/>
    <w:basedOn w:val="Normal"/>
    <w:uiPriority w:val="34"/>
    <w:qFormat/>
    <w:rsid w:val="00CC5FFA"/>
    <w:pPr>
      <w:ind w:left="720"/>
      <w:contextualSpacing/>
    </w:pPr>
  </w:style>
  <w:style w:type="character" w:styleId="IntenseEmphasis">
    <w:name w:val="Intense Emphasis"/>
    <w:basedOn w:val="DefaultParagraphFont"/>
    <w:uiPriority w:val="21"/>
    <w:qFormat/>
    <w:rsid w:val="00CC5FFA"/>
    <w:rPr>
      <w:i/>
      <w:iCs/>
      <w:color w:val="0F4761" w:themeColor="accent1" w:themeShade="BF"/>
    </w:rPr>
  </w:style>
  <w:style w:type="paragraph" w:styleId="IntenseQuote">
    <w:name w:val="Intense Quote"/>
    <w:basedOn w:val="Normal"/>
    <w:next w:val="Normal"/>
    <w:link w:val="IntenseQuoteChar"/>
    <w:uiPriority w:val="30"/>
    <w:qFormat/>
    <w:rsid w:val="00CC5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FFA"/>
    <w:rPr>
      <w:i/>
      <w:iCs/>
      <w:color w:val="0F4761" w:themeColor="accent1" w:themeShade="BF"/>
    </w:rPr>
  </w:style>
  <w:style w:type="character" w:styleId="IntenseReference">
    <w:name w:val="Intense Reference"/>
    <w:basedOn w:val="DefaultParagraphFont"/>
    <w:uiPriority w:val="32"/>
    <w:qFormat/>
    <w:rsid w:val="00CC5FFA"/>
    <w:rPr>
      <w:b/>
      <w:bCs/>
      <w:smallCaps/>
      <w:color w:val="0F4761" w:themeColor="accent1" w:themeShade="BF"/>
      <w:spacing w:val="5"/>
    </w:rPr>
  </w:style>
  <w:style w:type="character" w:styleId="Hyperlink">
    <w:name w:val="Hyperlink"/>
    <w:basedOn w:val="DefaultParagraphFont"/>
    <w:uiPriority w:val="99"/>
    <w:semiHidden/>
    <w:unhideWhenUsed/>
    <w:rsid w:val="00CC5FFA"/>
    <w:rPr>
      <w:strike w:val="0"/>
      <w:dstrike w:val="0"/>
      <w:color w:val="464FEB"/>
      <w:u w:val="none"/>
      <w:effect w:val="none"/>
    </w:rPr>
  </w:style>
  <w:style w:type="paragraph" w:styleId="NormalWeb">
    <w:name w:val="Normal (Web)"/>
    <w:basedOn w:val="Normal"/>
    <w:uiPriority w:val="99"/>
    <w:semiHidden/>
    <w:unhideWhenUsed/>
    <w:rsid w:val="00CC5F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C5FFA"/>
    <w:rPr>
      <w:b/>
      <w:bCs/>
    </w:rPr>
  </w:style>
  <w:style w:type="character" w:styleId="Emphasis">
    <w:name w:val="Emphasis"/>
    <w:basedOn w:val="DefaultParagraphFont"/>
    <w:uiPriority w:val="20"/>
    <w:qFormat/>
    <w:rsid w:val="00CC5F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katz@i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1372</Words>
  <Characters>7824</Characters>
  <Application>Microsoft Office Word</Application>
  <DocSecurity>0</DocSecurity>
  <Lines>65</Lines>
  <Paragraphs>18</Paragraphs>
  <ScaleCrop>false</ScaleCrop>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Robert A.</dc:creator>
  <cp:keywords/>
  <dc:description/>
  <cp:lastModifiedBy>Katz, Robert A.</cp:lastModifiedBy>
  <cp:revision>4</cp:revision>
  <dcterms:created xsi:type="dcterms:W3CDTF">2026-07-27T02:54:00Z</dcterms:created>
  <dcterms:modified xsi:type="dcterms:W3CDTF">2026-07-28T02:03:00Z</dcterms:modified>
</cp:coreProperties>
</file>