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BE86" w14:textId="280FBDB1" w:rsidR="00A34362" w:rsidRPr="00237BA1" w:rsidRDefault="00A34362" w:rsidP="00A34362">
      <w:pPr>
        <w:pStyle w:val="NoSpacing"/>
        <w:rPr>
          <w:b/>
        </w:rPr>
      </w:pPr>
      <w:r w:rsidRPr="00237BA1">
        <w:rPr>
          <w:b/>
        </w:rPr>
        <w:t>Jewish Questions: Antisemitism, Jewish Identity and the Law</w:t>
      </w:r>
      <w:r w:rsidR="006211EA">
        <w:rPr>
          <w:b/>
        </w:rPr>
        <w:t xml:space="preserve"> </w:t>
      </w:r>
      <w:r w:rsidR="00C758E9">
        <w:rPr>
          <w:b/>
        </w:rPr>
        <w:t>(</w:t>
      </w:r>
      <w:r w:rsidR="006331A4">
        <w:rPr>
          <w:b/>
        </w:rPr>
        <w:t>Version for Early Assignment Board</w:t>
      </w:r>
      <w:r w:rsidR="00C758E9">
        <w:rPr>
          <w:b/>
        </w:rPr>
        <w:t>)</w:t>
      </w:r>
    </w:p>
    <w:p w14:paraId="4973121D" w14:textId="77777777" w:rsidR="00A34362" w:rsidRDefault="00A34362" w:rsidP="00A34362">
      <w:pPr>
        <w:pStyle w:val="NoSpacing"/>
        <w:rPr>
          <w:b/>
        </w:rPr>
      </w:pPr>
      <w:r w:rsidRPr="00237BA1">
        <w:rPr>
          <w:b/>
        </w:rPr>
        <w:t>Spring 202</w:t>
      </w:r>
      <w:r w:rsidR="00373312">
        <w:rPr>
          <w:b/>
        </w:rPr>
        <w:t>4</w:t>
      </w:r>
      <w:r w:rsidR="005E1C81">
        <w:rPr>
          <w:b/>
        </w:rPr>
        <w:t xml:space="preserve"> (Syllabus Version </w:t>
      </w:r>
      <w:r w:rsidR="00D02D46">
        <w:rPr>
          <w:b/>
        </w:rPr>
        <w:t>2</w:t>
      </w:r>
      <w:r w:rsidR="005E1C81">
        <w:rPr>
          <w:b/>
        </w:rPr>
        <w:t>)</w:t>
      </w:r>
    </w:p>
    <w:p w14:paraId="5E8AD0E7" w14:textId="77777777" w:rsidR="00E74B03" w:rsidRDefault="00E74B03" w:rsidP="00A34362">
      <w:pPr>
        <w:pStyle w:val="NoSpacing"/>
        <w:rPr>
          <w:b/>
        </w:rPr>
      </w:pPr>
    </w:p>
    <w:p w14:paraId="0E7D1D1D" w14:textId="77777777" w:rsidR="00E74B03" w:rsidRPr="00237BA1" w:rsidRDefault="00E74B03" w:rsidP="006331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NOTE: Students </w:t>
      </w:r>
      <w:r w:rsidR="009D6863">
        <w:rPr>
          <w:b/>
        </w:rPr>
        <w:t xml:space="preserve">(whether they are registered for the course or not) </w:t>
      </w:r>
      <w:r>
        <w:rPr>
          <w:b/>
        </w:rPr>
        <w:t>must attend the first class in order to take this course.</w:t>
      </w:r>
      <w:r w:rsidR="006331A4">
        <w:rPr>
          <w:b/>
        </w:rPr>
        <w:t xml:space="preserve"> </w:t>
      </w:r>
      <w:r w:rsidR="009D6863">
        <w:rPr>
          <w:b/>
        </w:rPr>
        <w:t>Speak to me if you think your extraordinary circumstances warrant an exception.</w:t>
      </w:r>
    </w:p>
    <w:p w14:paraId="70D2AA4A" w14:textId="77777777" w:rsidR="00237BA1" w:rsidRDefault="00237BA1" w:rsidP="00A34362">
      <w:pPr>
        <w:pStyle w:val="NoSpacing"/>
      </w:pPr>
    </w:p>
    <w:p w14:paraId="5CDBC108" w14:textId="77777777" w:rsidR="00237BA1" w:rsidRDefault="00237BA1" w:rsidP="00A34362">
      <w:pPr>
        <w:pStyle w:val="NoSpacing"/>
        <w:rPr>
          <w:b/>
        </w:rPr>
      </w:pPr>
      <w:r>
        <w:rPr>
          <w:b/>
        </w:rPr>
        <w:t>Class Meetings:</w:t>
      </w:r>
    </w:p>
    <w:p w14:paraId="75893C53" w14:textId="77777777" w:rsidR="00A34362" w:rsidRDefault="008B6409" w:rsidP="00A34362">
      <w:pPr>
        <w:pStyle w:val="NoSpacing"/>
      </w:pPr>
      <w:r>
        <w:tab/>
      </w:r>
      <w:r w:rsidR="00A34362">
        <w:t xml:space="preserve">Time: </w:t>
      </w:r>
      <w:r w:rsidR="006331A4">
        <w:t>Tuesday 11-1</w:t>
      </w:r>
    </w:p>
    <w:p w14:paraId="2CDC35FD" w14:textId="77777777" w:rsidR="00BB38D5" w:rsidRDefault="008B6409" w:rsidP="00BB38D5">
      <w:pPr>
        <w:pStyle w:val="NoSpacing"/>
      </w:pPr>
      <w:r>
        <w:tab/>
      </w:r>
      <w:r w:rsidR="00A34362">
        <w:t xml:space="preserve">Room: </w:t>
      </w:r>
      <w:r w:rsidR="006331A4">
        <w:t>Van 201</w:t>
      </w:r>
    </w:p>
    <w:p w14:paraId="170FEBE0" w14:textId="77777777" w:rsidR="008B6409" w:rsidRDefault="00BB38D5" w:rsidP="00BB38D5">
      <w:pPr>
        <w:pStyle w:val="NoSpacing"/>
      </w:pPr>
      <w:r>
        <w:tab/>
      </w:r>
      <w:r w:rsidR="00A34362">
        <w:t>Cancelled Class:</w:t>
      </w:r>
      <w:r w:rsidR="00A76D98">
        <w:t xml:space="preserve"> </w:t>
      </w:r>
      <w:r w:rsidR="006331A4">
        <w:t>Tuesday April 23 (Passover)</w:t>
      </w:r>
      <w:r w:rsidR="00A76D98">
        <w:t xml:space="preserve"> </w:t>
      </w:r>
    </w:p>
    <w:p w14:paraId="58D8B65B" w14:textId="77777777" w:rsidR="00B65B71" w:rsidRDefault="008B6409" w:rsidP="00D02D46">
      <w:pPr>
        <w:pStyle w:val="NoSpacing"/>
        <w:ind w:left="720" w:hanging="720"/>
      </w:pPr>
      <w:r>
        <w:tab/>
        <w:t>Makeup Class</w:t>
      </w:r>
      <w:r w:rsidR="006331A4">
        <w:t xml:space="preserve"> </w:t>
      </w:r>
      <w:r w:rsidR="00D02D46">
        <w:rPr>
          <w:b/>
        </w:rPr>
        <w:t>FRI FEBRUARY 23, 8:00-10:00AM, VAN 201</w:t>
      </w:r>
    </w:p>
    <w:p w14:paraId="0CD8B3ED" w14:textId="77777777" w:rsidR="009D6863" w:rsidRDefault="009D6863" w:rsidP="00A34362">
      <w:pPr>
        <w:pStyle w:val="NoSpacing"/>
      </w:pPr>
    </w:p>
    <w:p w14:paraId="707B5007" w14:textId="77777777" w:rsidR="00A34362" w:rsidRPr="00237BA1" w:rsidRDefault="00237BA1" w:rsidP="00A34362">
      <w:pPr>
        <w:pStyle w:val="NoSpacing"/>
        <w:rPr>
          <w:b/>
        </w:rPr>
      </w:pPr>
      <w:r>
        <w:rPr>
          <w:b/>
        </w:rPr>
        <w:t>Faculty Contact Information and Office Hours:</w:t>
      </w:r>
    </w:p>
    <w:p w14:paraId="45BA20F1" w14:textId="77777777" w:rsidR="00A34362" w:rsidRDefault="008B6409" w:rsidP="00A34362">
      <w:pPr>
        <w:pStyle w:val="NoSpacing"/>
      </w:pPr>
      <w:r>
        <w:tab/>
      </w:r>
      <w:r w:rsidR="00A34362">
        <w:t>Prof. Deborah Malamud</w:t>
      </w:r>
      <w:r>
        <w:t xml:space="preserve"> (</w:t>
      </w:r>
      <w:proofErr w:type="spellStart"/>
      <w:r>
        <w:t>AnBryce</w:t>
      </w:r>
      <w:proofErr w:type="spellEnd"/>
      <w:r>
        <w:t xml:space="preserve"> Professor of Law Emerita)</w:t>
      </w:r>
    </w:p>
    <w:p w14:paraId="108E95E5" w14:textId="77777777" w:rsidR="00A34362" w:rsidRDefault="008B6409" w:rsidP="005E1C81">
      <w:pPr>
        <w:pStyle w:val="NoSpacing"/>
        <w:tabs>
          <w:tab w:val="left" w:pos="720"/>
          <w:tab w:val="left" w:pos="1440"/>
          <w:tab w:val="left" w:pos="2160"/>
          <w:tab w:val="left" w:pos="7320"/>
        </w:tabs>
      </w:pPr>
      <w:r>
        <w:tab/>
      </w:r>
      <w:r w:rsidR="00A34362">
        <w:t>Van</w:t>
      </w:r>
      <w:r w:rsidR="00106E9E">
        <w:t>derbilt 321</w:t>
      </w:r>
      <w:r w:rsidR="00A34362">
        <w:t xml:space="preserve"> </w:t>
      </w:r>
      <w:r w:rsidR="005E1C81">
        <w:tab/>
      </w:r>
    </w:p>
    <w:p w14:paraId="49192B96" w14:textId="77777777" w:rsidR="00A34362" w:rsidRDefault="008B6409" w:rsidP="00A34362">
      <w:pPr>
        <w:pStyle w:val="NoSpacing"/>
      </w:pPr>
      <w:r>
        <w:tab/>
      </w:r>
      <w:r w:rsidR="00A34362">
        <w:t>Phone</w:t>
      </w:r>
      <w:r w:rsidR="00106E9E">
        <w:t>: 212-</w:t>
      </w:r>
      <w:r w:rsidR="00044D05">
        <w:t>998-6725</w:t>
      </w:r>
    </w:p>
    <w:p w14:paraId="65A9F893" w14:textId="77777777" w:rsidR="00A34362" w:rsidRDefault="008B6409" w:rsidP="00A34362">
      <w:pPr>
        <w:pStyle w:val="NoSpacing"/>
      </w:pPr>
      <w:r>
        <w:tab/>
      </w:r>
      <w:r w:rsidR="00A34362">
        <w:t>Email</w:t>
      </w:r>
      <w:r w:rsidR="00BB38D5">
        <w:t xml:space="preserve"> (best way to reach me)</w:t>
      </w:r>
      <w:r w:rsidR="00A34362">
        <w:t xml:space="preserve">:  </w:t>
      </w:r>
      <w:hyperlink r:id="rId8" w:history="1">
        <w:r w:rsidR="00A34362" w:rsidRPr="00D94665">
          <w:rPr>
            <w:rStyle w:val="Hyperlink"/>
          </w:rPr>
          <w:t>deborah.malamud@nyu.edu</w:t>
        </w:r>
      </w:hyperlink>
    </w:p>
    <w:p w14:paraId="44B20C7F" w14:textId="77777777" w:rsidR="00A34362" w:rsidRDefault="008B6409">
      <w:r>
        <w:tab/>
      </w:r>
      <w:r w:rsidR="00237BA1">
        <w:t xml:space="preserve">Office Hours: </w:t>
      </w:r>
      <w:r w:rsidR="00FC563B">
        <w:t>Wednesday 9-11 or by appointment</w:t>
      </w:r>
      <w:r w:rsidR="00EC5DC1" w:rsidRPr="00FC563B">
        <w:t xml:space="preserve"> (</w:t>
      </w:r>
      <w:r w:rsidR="0090752C" w:rsidRPr="00FC563B">
        <w:t xml:space="preserve">in person, phone, or </w:t>
      </w:r>
      <w:r w:rsidR="00EC5DC1" w:rsidRPr="00FC563B">
        <w:t>Zoom</w:t>
      </w:r>
      <w:r w:rsidR="0090752C" w:rsidRPr="00FC563B">
        <w:t>)</w:t>
      </w:r>
    </w:p>
    <w:p w14:paraId="7D964FF5" w14:textId="77777777" w:rsidR="00063A91" w:rsidRDefault="00063A91">
      <w:pPr>
        <w:rPr>
          <w:b/>
        </w:rPr>
      </w:pPr>
      <w:r>
        <w:rPr>
          <w:b/>
        </w:rPr>
        <w:t>Course Description</w:t>
      </w:r>
    </w:p>
    <w:p w14:paraId="0A865275" w14:textId="77777777" w:rsidR="009B2933" w:rsidRDefault="008B6409" w:rsidP="008B6409">
      <w:pPr>
        <w:ind w:left="720" w:hanging="720"/>
      </w:pPr>
      <w:r>
        <w:tab/>
      </w:r>
      <w:r w:rsidR="00347D34">
        <w:t xml:space="preserve">Jewish history presents a compelling case study in the survival-through-metamorphosis of a diasporic people in the face of centuries of hatred. </w:t>
      </w:r>
      <w:r w:rsidR="002B2D35">
        <w:t>(Caveat:  just about every word in the previous sentence will get a close and critical look in the course of this seminar</w:t>
      </w:r>
      <w:r w:rsidR="002926AB">
        <w:t>.</w:t>
      </w:r>
      <w:r w:rsidR="00DA674C">
        <w:t xml:space="preserve"> This course description will use its terms loosely, but the course itself will not.</w:t>
      </w:r>
      <w:r w:rsidR="002B2D35">
        <w:t xml:space="preserve">) </w:t>
      </w:r>
    </w:p>
    <w:p w14:paraId="5E160E12" w14:textId="77777777" w:rsidR="00AD7E80" w:rsidRDefault="00AD7E80" w:rsidP="008B6409">
      <w:pPr>
        <w:ind w:left="720" w:hanging="720"/>
      </w:pPr>
      <w:r>
        <w:tab/>
        <w:t>For non-Jews, Jews and Judaism have been (to borrow from Claude Levi-Strauss) “good to think with”: the act of distinguishing the Jewish Other (usually, but not always, to negate it) has been central to working out their own religious, cultural, and political problems (</w:t>
      </w:r>
      <w:proofErr w:type="gramStart"/>
      <w:r>
        <w:t>e.g.</w:t>
      </w:r>
      <w:proofErr w:type="gramEnd"/>
      <w:r>
        <w:t xml:space="preserve"> Christian</w:t>
      </w:r>
      <w:r w:rsidR="00BD63E2">
        <w:t xml:space="preserve"> theology, Europea</w:t>
      </w:r>
      <w:r w:rsidR="006A025D">
        <w:t>n modernity</w:t>
      </w:r>
      <w:r w:rsidR="00A00ADD">
        <w:t>, globalization</w:t>
      </w:r>
      <w:r w:rsidR="006A025D">
        <w:t xml:space="preserve">). These sociocultural and ideological processes have had often-tragic results for the lives of Jews, </w:t>
      </w:r>
      <w:r w:rsidR="00340B83">
        <w:t xml:space="preserve">who have shaped their own sense of identity in the face of others’ </w:t>
      </w:r>
      <w:r w:rsidR="00705426">
        <w:t xml:space="preserve">efforts to define </w:t>
      </w:r>
      <w:r w:rsidR="0072179F">
        <w:t xml:space="preserve">(and negate) </w:t>
      </w:r>
      <w:r w:rsidR="00705426">
        <w:t>them. These interlocking histories (Jewish and non-Jewish) are rich in legal content and context. They have a place in the comparative study of identity and of racism and other forms of group-hatred.</w:t>
      </w:r>
      <w:r>
        <w:t xml:space="preserve"> </w:t>
      </w:r>
    </w:p>
    <w:p w14:paraId="0F26B1E4" w14:textId="77777777" w:rsidR="009B5ED9" w:rsidRDefault="009B2933" w:rsidP="008B6409">
      <w:pPr>
        <w:ind w:left="720" w:hanging="720"/>
      </w:pPr>
      <w:r>
        <w:tab/>
      </w:r>
      <w:r w:rsidR="00347D34">
        <w:t>The first part of this seminar will focus on some of the persistent questions in the academic study of antisemitism</w:t>
      </w:r>
      <w:r>
        <w:t xml:space="preserve"> and Jewish identity</w:t>
      </w:r>
      <w:r w:rsidR="00347D34">
        <w:t xml:space="preserve"> (drawing on literature in the humanities, much of it historical</w:t>
      </w:r>
      <w:r w:rsidR="009B5ED9">
        <w:t>).</w:t>
      </w:r>
      <w:r w:rsidR="00347D34">
        <w:t xml:space="preserve"> In the second part of the seminar, we will shift to a set of (more) contemporary problems and applications. </w:t>
      </w:r>
    </w:p>
    <w:p w14:paraId="5A833A23" w14:textId="77777777" w:rsidR="00347D34" w:rsidRDefault="008B6409" w:rsidP="00347D34">
      <w:r>
        <w:lastRenderedPageBreak/>
        <w:tab/>
      </w:r>
      <w:r w:rsidR="00347D34">
        <w:t xml:space="preserve">Topics to be considered in the first part of the seminar include: </w:t>
      </w:r>
    </w:p>
    <w:p w14:paraId="775A4766" w14:textId="77777777" w:rsidR="009368A8" w:rsidRDefault="008B6409" w:rsidP="008B6409">
      <w:pPr>
        <w:ind w:left="720" w:hanging="720"/>
      </w:pPr>
      <w:r>
        <w:tab/>
      </w:r>
      <w:r w:rsidR="00347D34">
        <w:t>Who are Jews, and what is Judaism</w:t>
      </w:r>
      <w:r w:rsidR="00D37767">
        <w:t xml:space="preserve"> (or “Jewishness” or “Jewish peoplehood” or</w:t>
      </w:r>
      <w:r w:rsidR="00EF0FD2">
        <w:t xml:space="preserve"> “ethnicity” or </w:t>
      </w:r>
      <w:r w:rsidR="00D37767">
        <w:t>any of the other terms in current use</w:t>
      </w:r>
      <w:r w:rsidR="00EF0FD2">
        <w:t>)</w:t>
      </w:r>
      <w:r w:rsidR="00347D34">
        <w:t xml:space="preserve">? </w:t>
      </w:r>
      <w:r w:rsidR="00F47B8B">
        <w:t xml:space="preserve">What is it about Jews and Judaism (either as they really are or as they are imagined to be) that </w:t>
      </w:r>
      <w:r w:rsidR="005523A7">
        <w:t>their</w:t>
      </w:r>
      <w:r w:rsidR="00F47B8B">
        <w:t xml:space="preserve"> opponents reject? </w:t>
      </w:r>
      <w:r w:rsidR="00BE0854">
        <w:t xml:space="preserve"> (Heads up:  “law” is on the list.) </w:t>
      </w:r>
      <w:r w:rsidR="00347D34">
        <w:t xml:space="preserve">What is antisemitism? </w:t>
      </w:r>
      <w:r w:rsidR="00B86BD6">
        <w:t xml:space="preserve">Is it simply the holding of particular </w:t>
      </w:r>
      <w:r w:rsidR="00D80A94">
        <w:t xml:space="preserve">(erroneous) “factual” </w:t>
      </w:r>
      <w:r w:rsidR="00B86BD6">
        <w:t>beliefs, or is it something more</w:t>
      </w:r>
      <w:r w:rsidR="00D80A94">
        <w:t xml:space="preserve"> systemic and insidious</w:t>
      </w:r>
      <w:r w:rsidR="00B86BD6">
        <w:t xml:space="preserve">? </w:t>
      </w:r>
      <w:r w:rsidR="0028320A">
        <w:t xml:space="preserve">Is it really “about” Jews and Judaism at all, or is it better understood as a process through which non-Jews wrestle with the </w:t>
      </w:r>
      <w:r w:rsidR="004F1A91">
        <w:t xml:space="preserve">central </w:t>
      </w:r>
      <w:r w:rsidR="0028320A">
        <w:t xml:space="preserve">challenges of their own </w:t>
      </w:r>
      <w:r w:rsidR="004F1A91">
        <w:t xml:space="preserve">lives (be they theological, political, economic, or psychological)? </w:t>
      </w:r>
      <w:r w:rsidR="008330E0">
        <w:t xml:space="preserve">Is antisemitism a </w:t>
      </w:r>
      <w:r w:rsidR="00347D34">
        <w:t>unitary phenomen</w:t>
      </w:r>
      <w:r w:rsidR="008330E0">
        <w:t>on</w:t>
      </w:r>
      <w:r w:rsidR="007C5FFA">
        <w:t xml:space="preserve"> (across time and space)</w:t>
      </w:r>
      <w:r w:rsidR="00347D34">
        <w:t xml:space="preserve">, </w:t>
      </w:r>
      <w:r w:rsidR="008330E0">
        <w:t xml:space="preserve">culminating (both historically and conceptually) in the Holocaust, </w:t>
      </w:r>
      <w:r w:rsidR="00347D34">
        <w:t>or are there importa</w:t>
      </w:r>
      <w:r w:rsidR="002926AB">
        <w:t xml:space="preserve">nt distinctions that this perspective </w:t>
      </w:r>
      <w:r w:rsidR="00347D34">
        <w:t>obscures?</w:t>
      </w:r>
      <w:r w:rsidR="004D76FB">
        <w:t xml:space="preserve"> </w:t>
      </w:r>
      <w:r w:rsidR="00181201">
        <w:t xml:space="preserve">Has </w:t>
      </w:r>
      <w:r w:rsidR="00B74787">
        <w:t xml:space="preserve">the conduct of Jews (albeit </w:t>
      </w:r>
      <w:r w:rsidR="00BE7772">
        <w:t xml:space="preserve">itself often </w:t>
      </w:r>
      <w:r w:rsidR="00B74787">
        <w:t xml:space="preserve">constrained by antisemitism) played </w:t>
      </w:r>
      <w:r w:rsidR="00F87C2E">
        <w:t xml:space="preserve">a role </w:t>
      </w:r>
      <w:r w:rsidR="00B74787">
        <w:t xml:space="preserve">in fueling </w:t>
      </w:r>
      <w:r w:rsidR="00BE7772">
        <w:t>antisemitic</w:t>
      </w:r>
      <w:r w:rsidR="00B74787">
        <w:t xml:space="preserve"> responses?</w:t>
      </w:r>
      <w:r w:rsidR="00540C17">
        <w:t xml:space="preserve"> </w:t>
      </w:r>
      <w:r w:rsidR="00181201">
        <w:t xml:space="preserve">Is there a way to walk the delicate line between blaming the Jews and denying their agency? </w:t>
      </w:r>
      <w:r w:rsidR="00540C17">
        <w:t>How have Jews responded to antisemitism</w:t>
      </w:r>
      <w:r w:rsidR="00F87C2E">
        <w:t xml:space="preserve"> (both in constructing their identity and in political response?)</w:t>
      </w:r>
      <w:r w:rsidR="00347D34">
        <w:t xml:space="preserve"> </w:t>
      </w:r>
    </w:p>
    <w:p w14:paraId="5D720977" w14:textId="77777777" w:rsidR="007B45F8" w:rsidRDefault="008B6409" w:rsidP="0072179F">
      <w:pPr>
        <w:ind w:left="720" w:hanging="720"/>
      </w:pPr>
      <w:r>
        <w:tab/>
      </w:r>
      <w:r w:rsidR="00347D34">
        <w:t xml:space="preserve">In the second part of the seminar, we will explore the antisemitisms of the </w:t>
      </w:r>
      <w:r w:rsidR="007C5FFA">
        <w:t xml:space="preserve">contemporary </w:t>
      </w:r>
      <w:r w:rsidR="00347D34">
        <w:t xml:space="preserve">political </w:t>
      </w:r>
      <w:r w:rsidR="00BE7772">
        <w:t xml:space="preserve">right and </w:t>
      </w:r>
      <w:r w:rsidR="00E3062F">
        <w:t>left</w:t>
      </w:r>
      <w:r w:rsidR="001B49D0">
        <w:t xml:space="preserve">; </w:t>
      </w:r>
      <w:r w:rsidR="00DC093C">
        <w:t>we will consider the efficacy of law in responding to antisemitism (including approaches to Holocaust denial), the impact of “</w:t>
      </w:r>
      <w:proofErr w:type="spellStart"/>
      <w:r w:rsidR="00DC093C">
        <w:t>philosemitism</w:t>
      </w:r>
      <w:proofErr w:type="spellEnd"/>
      <w:r w:rsidR="00DC093C">
        <w:t xml:space="preserve">” in its various manifestations, and the usefulness of various non-legal strategies of “befriending” the cause of Jews; and we will close with </w:t>
      </w:r>
      <w:r w:rsidR="00346302">
        <w:t xml:space="preserve">a discussion of </w:t>
      </w:r>
      <w:r w:rsidR="00347D34">
        <w:t>the place of law in the American Jewish experience (and of Jews in the American legal profession)</w:t>
      </w:r>
      <w:r w:rsidR="003F78F6">
        <w:t>.</w:t>
      </w:r>
      <w:r w:rsidR="004D7CE8">
        <w:t xml:space="preserve"> </w:t>
      </w:r>
    </w:p>
    <w:p w14:paraId="7AE20C58" w14:textId="77777777" w:rsidR="0038267F" w:rsidRDefault="0038267F" w:rsidP="0038267F">
      <w:pPr>
        <w:pStyle w:val="NoSpacing"/>
      </w:pPr>
      <w:r w:rsidRPr="009B2933">
        <w:rPr>
          <w:b/>
        </w:rPr>
        <w:t>Course Requirements</w:t>
      </w:r>
    </w:p>
    <w:p w14:paraId="4D007E4F" w14:textId="77777777" w:rsidR="0038267F" w:rsidRDefault="0038267F" w:rsidP="0038267F">
      <w:pPr>
        <w:pStyle w:val="NoSpacing"/>
      </w:pPr>
    </w:p>
    <w:p w14:paraId="26FA7DBC" w14:textId="77777777" w:rsidR="0038267F" w:rsidRPr="004E06DE" w:rsidRDefault="0038267F" w:rsidP="0038267F">
      <w:pPr>
        <w:pStyle w:val="NoSpacing"/>
        <w:ind w:left="1440" w:hanging="720"/>
        <w:rPr>
          <w:u w:val="single"/>
        </w:rPr>
      </w:pPr>
      <w:r>
        <w:t>1.</w:t>
      </w:r>
      <w:r>
        <w:tab/>
      </w:r>
      <w:r w:rsidRPr="00AA6787">
        <w:rPr>
          <w:b/>
        </w:rPr>
        <w:t>Attendance:</w:t>
      </w:r>
      <w:r>
        <w:t xml:space="preserve">  </w:t>
      </w:r>
      <w:r w:rsidR="00472011">
        <w:t>Attendance is critical in seminars, which are built on community and participation. Therefore, e</w:t>
      </w:r>
      <w:r w:rsidR="009C562E">
        <w:t xml:space="preserve">xcept in cases of illness or </w:t>
      </w:r>
      <w:r w:rsidR="00F93B8C">
        <w:t xml:space="preserve">religious or disability accommodation, </w:t>
      </w:r>
      <w:r>
        <w:t xml:space="preserve">I will excuse </w:t>
      </w:r>
      <w:r w:rsidR="00F93B8C">
        <w:t xml:space="preserve">only </w:t>
      </w:r>
      <w:r>
        <w:t>one</w:t>
      </w:r>
      <w:r w:rsidR="009C562E">
        <w:t xml:space="preserve"> class absence (and the reaction paper associated with that class)</w:t>
      </w:r>
      <w:r w:rsidR="007E06AA">
        <w:t>.</w:t>
      </w:r>
    </w:p>
    <w:p w14:paraId="72B65163" w14:textId="77777777" w:rsidR="0038267F" w:rsidRDefault="0038267F" w:rsidP="0038267F">
      <w:pPr>
        <w:pStyle w:val="NoSpacing"/>
        <w:ind w:left="1440" w:hanging="720"/>
      </w:pPr>
    </w:p>
    <w:p w14:paraId="575D36BA" w14:textId="77777777" w:rsidR="00A9464D" w:rsidRDefault="0038267F" w:rsidP="009C562E">
      <w:pPr>
        <w:pStyle w:val="NoSpacing"/>
        <w:ind w:left="1440" w:hanging="720"/>
      </w:pPr>
      <w:r>
        <w:t>2.</w:t>
      </w:r>
      <w:r>
        <w:tab/>
      </w:r>
      <w:r w:rsidRPr="00AA6787">
        <w:rPr>
          <w:b/>
        </w:rPr>
        <w:t>Reaction papers:</w:t>
      </w:r>
      <w:r>
        <w:t xml:space="preserve">  </w:t>
      </w:r>
      <w:r w:rsidR="00472011">
        <w:t xml:space="preserve">Most weeks, I will require you to write a reaction paper, of </w:t>
      </w:r>
      <w:r>
        <w:t xml:space="preserve">2-3 double spaced, typed pages </w:t>
      </w:r>
      <w:r w:rsidR="00472011">
        <w:t xml:space="preserve">in length, </w:t>
      </w:r>
      <w:r w:rsidRPr="007A28F3">
        <w:rPr>
          <w:b/>
        </w:rPr>
        <w:t xml:space="preserve">due to me via </w:t>
      </w:r>
      <w:r w:rsidR="007E06AA" w:rsidRPr="007A28F3">
        <w:rPr>
          <w:b/>
        </w:rPr>
        <w:t xml:space="preserve">Brightspace by </w:t>
      </w:r>
      <w:r w:rsidR="006331A4">
        <w:rPr>
          <w:b/>
        </w:rPr>
        <w:t>MONDAY at 9AM</w:t>
      </w:r>
      <w:r>
        <w:t xml:space="preserve">.  </w:t>
      </w:r>
      <w:r w:rsidR="00631CD2">
        <w:t>R</w:t>
      </w:r>
      <w:r>
        <w:t>eaction papers will not be graded, but they will count in my assessment of your class participation. Their purpose is to focus your mind for class discussion</w:t>
      </w:r>
      <w:r w:rsidR="007A28F3">
        <w:t>, and to help me facilitate effective student participation</w:t>
      </w:r>
      <w:r w:rsidR="009C562E">
        <w:t xml:space="preserve">. </w:t>
      </w:r>
      <w:r w:rsidR="00A9464D" w:rsidRPr="00497C7B">
        <w:rPr>
          <w:b/>
        </w:rPr>
        <w:t xml:space="preserve">The Class Memo for each week (see below) will </w:t>
      </w:r>
      <w:r w:rsidR="00FF579F">
        <w:rPr>
          <w:b/>
        </w:rPr>
        <w:t xml:space="preserve">guide you </w:t>
      </w:r>
      <w:r w:rsidR="00A9464D" w:rsidRPr="00497C7B">
        <w:rPr>
          <w:b/>
        </w:rPr>
        <w:t>on how to approach that week’s reaction paper</w:t>
      </w:r>
      <w:r w:rsidR="00A9464D">
        <w:t>.</w:t>
      </w:r>
      <w:r w:rsidR="00497C7B" w:rsidRPr="00497C7B">
        <w:rPr>
          <w:b/>
        </w:rPr>
        <w:t xml:space="preserve"> Please read it carefully</w:t>
      </w:r>
      <w:r w:rsidR="00FF579F">
        <w:rPr>
          <w:b/>
        </w:rPr>
        <w:t>.</w:t>
      </w:r>
    </w:p>
    <w:p w14:paraId="2E096FD6" w14:textId="77777777" w:rsidR="00A9464D" w:rsidRDefault="00A9464D" w:rsidP="009C562E">
      <w:pPr>
        <w:pStyle w:val="NoSpacing"/>
        <w:ind w:left="1440" w:hanging="720"/>
      </w:pPr>
    </w:p>
    <w:p w14:paraId="3B143EA8" w14:textId="77777777" w:rsidR="0038267F" w:rsidRDefault="00A9464D" w:rsidP="009C562E">
      <w:pPr>
        <w:pStyle w:val="NoSpacing"/>
        <w:ind w:left="1440" w:hanging="720"/>
      </w:pPr>
      <w:r>
        <w:t>3.</w:t>
      </w:r>
      <w:r>
        <w:tab/>
      </w:r>
      <w:r w:rsidRPr="00AA6787">
        <w:rPr>
          <w:b/>
        </w:rPr>
        <w:t>Reaction paper feedback:</w:t>
      </w:r>
      <w:r>
        <w:t xml:space="preserve">  </w:t>
      </w:r>
      <w:r w:rsidR="002918BC">
        <w:t xml:space="preserve">I will undertake to provide written feedback on your </w:t>
      </w:r>
      <w:r>
        <w:t xml:space="preserve">reaction </w:t>
      </w:r>
      <w:r w:rsidR="002918BC">
        <w:t>papers (via Brightspace) before each class</w:t>
      </w:r>
      <w:r>
        <w:t xml:space="preserve">. </w:t>
      </w:r>
      <w:r w:rsidR="00F82524">
        <w:t xml:space="preserve">Please do take the time to </w:t>
      </w:r>
      <w:r w:rsidR="00F82524">
        <w:lastRenderedPageBreak/>
        <w:t xml:space="preserve">read my comments on your papers before class. </w:t>
      </w:r>
      <w:r>
        <w:t xml:space="preserve">If </w:t>
      </w:r>
      <w:r w:rsidR="002918BC">
        <w:t>for some reason I am delayed, I will provide feedback after class.</w:t>
      </w:r>
      <w:r w:rsidR="00D12EBA">
        <w:t xml:space="preserve"> </w:t>
      </w:r>
    </w:p>
    <w:p w14:paraId="12B48BAD" w14:textId="77777777" w:rsidR="0038267F" w:rsidRDefault="0038267F" w:rsidP="0038267F">
      <w:pPr>
        <w:pStyle w:val="NoSpacing"/>
        <w:ind w:left="1440" w:hanging="720"/>
      </w:pPr>
    </w:p>
    <w:p w14:paraId="335F1AC1" w14:textId="77777777" w:rsidR="0038267F" w:rsidRDefault="00EC5DC1" w:rsidP="0038267F">
      <w:pPr>
        <w:pStyle w:val="NoSpacing"/>
        <w:ind w:left="1440" w:hanging="720"/>
      </w:pPr>
      <w:r>
        <w:t>4</w:t>
      </w:r>
      <w:r w:rsidR="0038267F">
        <w:t>.</w:t>
      </w:r>
      <w:r w:rsidR="0038267F">
        <w:tab/>
      </w:r>
      <w:r w:rsidR="0038267F" w:rsidRPr="00AA6787">
        <w:rPr>
          <w:b/>
        </w:rPr>
        <w:t>Participation:</w:t>
      </w:r>
      <w:r w:rsidR="0038267F">
        <w:t xml:space="preserve">  </w:t>
      </w:r>
      <w:r w:rsidR="00AA6787">
        <w:t>T</w:t>
      </w:r>
      <w:r w:rsidR="0038267F">
        <w:t xml:space="preserve">his is a seminar, so no passivity, please!  </w:t>
      </w:r>
      <w:r w:rsidR="00FC563B">
        <w:t>Over the years of requiring weekly reaction papers in seminars, I have found that some of the most profound thoughts on offer come from students who are stronger in writing than in extemporaneous speaking. So: for those of you who are usually on the quieter side in class, I will use your reaction papers to help draw you into the discussion.</w:t>
      </w:r>
      <w:r w:rsidR="00631CD2">
        <w:t xml:space="preserve"> And, in the event that the class discussion goes in a direction that makes it harder to incorporate your contributions, I will have your written work to rely on in my grading (see below).</w:t>
      </w:r>
    </w:p>
    <w:p w14:paraId="62922CB6" w14:textId="77777777" w:rsidR="002800A1" w:rsidRDefault="002800A1" w:rsidP="0038267F">
      <w:pPr>
        <w:pStyle w:val="NoSpacing"/>
        <w:ind w:left="1440" w:hanging="720"/>
      </w:pPr>
    </w:p>
    <w:p w14:paraId="1CCA30B7" w14:textId="77777777" w:rsidR="00FC563B" w:rsidRPr="00AA6787" w:rsidRDefault="00EC5DC1" w:rsidP="002800A1">
      <w:pPr>
        <w:pStyle w:val="NoSpacing"/>
        <w:ind w:left="1440" w:hanging="720"/>
        <w:rPr>
          <w:b/>
        </w:rPr>
      </w:pPr>
      <w:r>
        <w:t>5</w:t>
      </w:r>
      <w:r w:rsidR="00B65452">
        <w:t>.</w:t>
      </w:r>
      <w:r w:rsidR="00B65452">
        <w:tab/>
      </w:r>
      <w:r w:rsidR="00B65452" w:rsidRPr="00AA6787">
        <w:rPr>
          <w:b/>
        </w:rPr>
        <w:t xml:space="preserve">Final paper: </w:t>
      </w:r>
    </w:p>
    <w:p w14:paraId="13BB93DB" w14:textId="77777777" w:rsidR="00FC563B" w:rsidRDefault="00FC563B" w:rsidP="002800A1">
      <w:pPr>
        <w:pStyle w:val="NoSpacing"/>
        <w:ind w:left="1440" w:hanging="720"/>
      </w:pPr>
    </w:p>
    <w:p w14:paraId="1E23F4F4" w14:textId="77777777" w:rsidR="00FC563B" w:rsidRPr="00AA6787" w:rsidRDefault="00FC563B" w:rsidP="002800A1">
      <w:pPr>
        <w:pStyle w:val="NoSpacing"/>
        <w:ind w:left="1440" w:hanging="720"/>
        <w:rPr>
          <w:b/>
        </w:rPr>
      </w:pPr>
      <w:r>
        <w:t>a.</w:t>
      </w:r>
      <w:r>
        <w:tab/>
      </w:r>
      <w:r w:rsidRPr="00AA6787">
        <w:rPr>
          <w:b/>
        </w:rPr>
        <w:t>Option A (with additional writing credit):</w:t>
      </w:r>
    </w:p>
    <w:p w14:paraId="6478F78D" w14:textId="77777777" w:rsidR="00FC563B" w:rsidRPr="00AA6787" w:rsidRDefault="00FC563B" w:rsidP="00FC563B">
      <w:pPr>
        <w:pStyle w:val="NoSpacing"/>
        <w:ind w:left="1440"/>
        <w:rPr>
          <w:b/>
        </w:rPr>
      </w:pPr>
    </w:p>
    <w:p w14:paraId="0FBDBDEF" w14:textId="77777777" w:rsidR="00FC563B" w:rsidRDefault="00FC563B" w:rsidP="00FC563B">
      <w:pPr>
        <w:pStyle w:val="NoSpacing"/>
        <w:ind w:left="1440"/>
      </w:pPr>
      <w:r>
        <w:t xml:space="preserve">Per </w:t>
      </w:r>
      <w:r w:rsidR="002071B5">
        <w:t>the Law School’s writing requirements</w:t>
      </w:r>
      <w:r>
        <w:t>:</w:t>
      </w:r>
    </w:p>
    <w:p w14:paraId="7D2C27E7" w14:textId="77777777" w:rsidR="002071B5" w:rsidRDefault="00982BE2" w:rsidP="00FC563B">
      <w:pPr>
        <w:pStyle w:val="NoSpacing"/>
        <w:ind w:left="1440"/>
      </w:pPr>
      <w:hyperlink r:id="rId9" w:history="1">
        <w:r w:rsidR="002071B5" w:rsidRPr="007E592F">
          <w:rPr>
            <w:rStyle w:val="Hyperlink"/>
          </w:rPr>
          <w:t>https://www.law.nyu.edu/academicservices/academic-policies/substantial-writing-requirements</w:t>
        </w:r>
      </w:hyperlink>
      <w:r w:rsidR="002071B5">
        <w:t>.</w:t>
      </w:r>
    </w:p>
    <w:p w14:paraId="2203BDF5" w14:textId="77777777" w:rsidR="002071B5" w:rsidRDefault="002071B5" w:rsidP="002800A1">
      <w:pPr>
        <w:pStyle w:val="NoSpacing"/>
        <w:ind w:left="1440" w:hanging="720"/>
      </w:pPr>
    </w:p>
    <w:p w14:paraId="049B2F5B" w14:textId="77777777" w:rsidR="00FC563B" w:rsidRDefault="002071B5" w:rsidP="00BC3757">
      <w:pPr>
        <w:pStyle w:val="NoSpacing"/>
        <w:ind w:left="1440" w:hanging="720"/>
      </w:pPr>
      <w:r>
        <w:tab/>
      </w:r>
      <w:r w:rsidR="00063011">
        <w:t xml:space="preserve">I require a paper of at least 10,000 words of writing, which corresponds to roughly 30 double-spaced pages in print, exclusive of footnotes. The paper must be of a traditional </w:t>
      </w:r>
      <w:r w:rsidR="009768B5">
        <w:t xml:space="preserve">scholarly </w:t>
      </w:r>
      <w:r w:rsidR="00063011">
        <w:t>natu</w:t>
      </w:r>
      <w:r w:rsidR="00B65452">
        <w:t>re, showing original thought and analysis.</w:t>
      </w:r>
      <w:r w:rsidR="002800A1">
        <w:t xml:space="preserve"> </w:t>
      </w:r>
    </w:p>
    <w:p w14:paraId="5074773F" w14:textId="77777777" w:rsidR="00FC563B" w:rsidRDefault="00FC563B" w:rsidP="00BC3757">
      <w:pPr>
        <w:pStyle w:val="NoSpacing"/>
        <w:ind w:left="1440" w:hanging="720"/>
      </w:pPr>
    </w:p>
    <w:p w14:paraId="1F0F86C7" w14:textId="77777777" w:rsidR="002800A1" w:rsidRDefault="002800A1" w:rsidP="00FC563B">
      <w:pPr>
        <w:pStyle w:val="NoSpacing"/>
        <w:ind w:left="1440"/>
      </w:pPr>
      <w:r>
        <w:t xml:space="preserve">If you are </w:t>
      </w:r>
      <w:r w:rsidR="00BC3757">
        <w:t xml:space="preserve">pursuing Option A, </w:t>
      </w:r>
      <w:r>
        <w:t xml:space="preserve">please arrange to meet with me in the first two weeks of the semester, so that we can discuss your topic and set a schedule for the outline, first draft, comments, and second draft that are required by our </w:t>
      </w:r>
      <w:r w:rsidR="00BC3757">
        <w:t xml:space="preserve">Option A </w:t>
      </w:r>
      <w:r>
        <w:t>rules.</w:t>
      </w:r>
    </w:p>
    <w:p w14:paraId="31B2406F" w14:textId="77777777" w:rsidR="00396070" w:rsidRDefault="00396070" w:rsidP="00BC3757">
      <w:pPr>
        <w:pStyle w:val="NoSpacing"/>
        <w:ind w:left="1440" w:hanging="720"/>
      </w:pPr>
    </w:p>
    <w:p w14:paraId="1E5EA862" w14:textId="77777777" w:rsidR="00AA6787" w:rsidRDefault="00FC563B" w:rsidP="00BC3757">
      <w:pPr>
        <w:pStyle w:val="NoSpacing"/>
        <w:ind w:left="1440" w:hanging="720"/>
      </w:pPr>
      <w:r>
        <w:t>b.</w:t>
      </w:r>
      <w:r w:rsidR="00396070">
        <w:tab/>
      </w:r>
      <w:r w:rsidR="00BC3757" w:rsidRPr="00AA6787">
        <w:rPr>
          <w:b/>
        </w:rPr>
        <w:t>Option B:</w:t>
      </w:r>
      <w:r w:rsidR="00BC3757">
        <w:t xml:space="preserve">  </w:t>
      </w:r>
    </w:p>
    <w:p w14:paraId="306E8B13" w14:textId="77777777" w:rsidR="00AA6787" w:rsidRDefault="00AA6787" w:rsidP="00BC3757">
      <w:pPr>
        <w:pStyle w:val="NoSpacing"/>
        <w:ind w:left="1440" w:hanging="720"/>
      </w:pPr>
    </w:p>
    <w:p w14:paraId="1BDA18B8" w14:textId="77777777" w:rsidR="00FC563B" w:rsidRDefault="00BC3757" w:rsidP="00AA6787">
      <w:pPr>
        <w:pStyle w:val="NoSpacing"/>
        <w:ind w:left="1440"/>
      </w:pPr>
      <w:r>
        <w:t xml:space="preserve">I require that you submit at least 5,000 words of writing, which corresponds to roughly 15 double-spaced pages in print, exclusive of footnotes. </w:t>
      </w:r>
      <w:r w:rsidR="00AA6787">
        <w:t>I am offering you two alternativ</w:t>
      </w:r>
      <w:r w:rsidR="00631CD2">
        <w:t>e approaches to the final paper.</w:t>
      </w:r>
      <w:r w:rsidR="00AA6787">
        <w:t xml:space="preserve"> </w:t>
      </w:r>
    </w:p>
    <w:p w14:paraId="18F302E5" w14:textId="77777777" w:rsidR="00FC563B" w:rsidRDefault="00FC563B" w:rsidP="00BC3757">
      <w:pPr>
        <w:pStyle w:val="NoSpacing"/>
        <w:ind w:left="1440" w:hanging="720"/>
      </w:pPr>
    </w:p>
    <w:p w14:paraId="3DC2B993" w14:textId="77777777" w:rsidR="00AA6787" w:rsidRDefault="00AA6787" w:rsidP="00BC3757">
      <w:pPr>
        <w:pStyle w:val="NoSpacing"/>
        <w:ind w:left="1440" w:hanging="720"/>
      </w:pPr>
      <w:r>
        <w:t>i.</w:t>
      </w:r>
      <w:r w:rsidR="00FC563B">
        <w:tab/>
      </w:r>
      <w:r w:rsidR="00631CD2" w:rsidRPr="00631CD2">
        <w:rPr>
          <w:b/>
        </w:rPr>
        <w:t>Entirely new writing.</w:t>
      </w:r>
      <w:r w:rsidR="00631CD2">
        <w:t xml:space="preserve">  </w:t>
      </w:r>
      <w:r w:rsidR="00BC3757">
        <w:t xml:space="preserve">Your writing can be a single undertaking on an </w:t>
      </w:r>
      <w:r w:rsidR="00BF42D4">
        <w:t xml:space="preserve">entirely </w:t>
      </w:r>
      <w:r w:rsidR="00BC3757">
        <w:t>independent topic</w:t>
      </w:r>
      <w:r>
        <w:t>. I am open to traditional academic projects, legal-practice</w:t>
      </w:r>
      <w:r w:rsidR="002775DB">
        <w:t xml:space="preserve"> </w:t>
      </w:r>
      <w:r>
        <w:t xml:space="preserve">oriented projects, creative projects, etc. You </w:t>
      </w:r>
      <w:r w:rsidR="00E27688">
        <w:t xml:space="preserve">don’t need my approval of your project in advance, </w:t>
      </w:r>
      <w:r>
        <w:t>but I am happy to consult with you should you so choose. If you are choosing a project that does not measure itself well by conventional word limits, please discuss this with me in advance of submission</w:t>
      </w:r>
      <w:r w:rsidR="00E27688">
        <w:t>.</w:t>
      </w:r>
    </w:p>
    <w:p w14:paraId="72560096" w14:textId="77777777" w:rsidR="00AA6787" w:rsidRDefault="00AA6787" w:rsidP="00BC3757">
      <w:pPr>
        <w:pStyle w:val="NoSpacing"/>
        <w:ind w:left="1440" w:hanging="720"/>
      </w:pPr>
    </w:p>
    <w:p w14:paraId="68615F91" w14:textId="77777777" w:rsidR="00AA6787" w:rsidRDefault="00AA6787" w:rsidP="00BC3757">
      <w:pPr>
        <w:pStyle w:val="NoSpacing"/>
        <w:ind w:left="1440" w:hanging="720"/>
      </w:pPr>
      <w:r>
        <w:lastRenderedPageBreak/>
        <w:t>ii.</w:t>
      </w:r>
      <w:r>
        <w:tab/>
      </w:r>
      <w:r w:rsidR="00631CD2" w:rsidRPr="00631CD2">
        <w:rPr>
          <w:b/>
        </w:rPr>
        <w:t>Revised/elaborated reaction paper(s).</w:t>
      </w:r>
      <w:r w:rsidR="00631CD2">
        <w:t xml:space="preserve">  </w:t>
      </w:r>
      <w:r>
        <w:t>As an alternative, you may submit as your final paper an elaboration/revision of one or more of your reaction papers. If you elect this option, I will expect you to be responsive to my feedback on the paper(s) you initially submitted, and I will expect you to offer new insights drawing either on your own outside reading or on course readings you did not initially discuss.</w:t>
      </w:r>
      <w:r w:rsidR="00BF42D4">
        <w:t xml:space="preserve"> </w:t>
      </w:r>
    </w:p>
    <w:p w14:paraId="7A9C3F39" w14:textId="77777777" w:rsidR="00AA6787" w:rsidRDefault="00AA6787" w:rsidP="00BC3757">
      <w:pPr>
        <w:pStyle w:val="NoSpacing"/>
        <w:ind w:left="1440" w:hanging="720"/>
      </w:pPr>
    </w:p>
    <w:p w14:paraId="57327015" w14:textId="77777777" w:rsidR="002800A1" w:rsidRDefault="00EC5DC1" w:rsidP="00AA6787">
      <w:pPr>
        <w:pStyle w:val="NoSpacing"/>
        <w:ind w:left="1440" w:hanging="720"/>
      </w:pPr>
      <w:r>
        <w:t>6</w:t>
      </w:r>
      <w:r w:rsidR="002800A1">
        <w:t>.</w:t>
      </w:r>
      <w:r w:rsidR="002800A1">
        <w:tab/>
      </w:r>
      <w:r w:rsidR="00396070" w:rsidRPr="00631CD2">
        <w:rPr>
          <w:b/>
        </w:rPr>
        <w:t>Due dates and incompletes</w:t>
      </w:r>
      <w:r w:rsidR="00631CD2">
        <w:rPr>
          <w:b/>
        </w:rPr>
        <w:t>.</w:t>
      </w:r>
      <w:r w:rsidR="00396070">
        <w:t xml:space="preserve"> </w:t>
      </w:r>
      <w:r w:rsidR="00631CD2">
        <w:t xml:space="preserve"> </w:t>
      </w:r>
      <w:r w:rsidR="00396070" w:rsidRPr="00631CD2">
        <w:t xml:space="preserve">All papers are due on </w:t>
      </w:r>
      <w:r w:rsidR="00BF42D4" w:rsidRPr="00631CD2">
        <w:t>Friday May 10</w:t>
      </w:r>
      <w:r w:rsidR="00396070" w:rsidRPr="00631CD2">
        <w:t xml:space="preserve"> (the</w:t>
      </w:r>
      <w:r w:rsidR="00396070">
        <w:t xml:space="preserve"> last day of exam</w:t>
      </w:r>
      <w:r w:rsidR="00BF42D4">
        <w:t xml:space="preserve"> period</w:t>
      </w:r>
      <w:r w:rsidR="00396070">
        <w:t xml:space="preserve">), and are to be submitted via Brightspace. If you choose to take </w:t>
      </w:r>
      <w:r w:rsidR="002800A1">
        <w:t xml:space="preserve">an incomplete in this course, all work must be completed by the end of exams of the Fall </w:t>
      </w:r>
      <w:r w:rsidR="008B6409">
        <w:t>202</w:t>
      </w:r>
      <w:r w:rsidR="00F82524">
        <w:t>4</w:t>
      </w:r>
      <w:r w:rsidR="002800A1">
        <w:t xml:space="preserve"> semester.</w:t>
      </w:r>
      <w:r w:rsidR="00497C7B">
        <w:t xml:space="preserve"> That said, I am hoping </w:t>
      </w:r>
      <w:r w:rsidR="009D202C">
        <w:t xml:space="preserve">– for your sake and mine -- </w:t>
      </w:r>
      <w:r w:rsidR="00497C7B">
        <w:t xml:space="preserve">that </w:t>
      </w:r>
      <w:r w:rsidR="009D202C">
        <w:t>the range of possibilities I am affording those of you doing Option B papers will allow you to finish your work by the paper deadline.</w:t>
      </w:r>
    </w:p>
    <w:p w14:paraId="4502B191" w14:textId="77777777" w:rsidR="00037254" w:rsidRDefault="00037254" w:rsidP="002800A1">
      <w:pPr>
        <w:pStyle w:val="NoSpacing"/>
        <w:ind w:left="1440" w:hanging="720"/>
      </w:pPr>
      <w:r>
        <w:tab/>
      </w:r>
    </w:p>
    <w:p w14:paraId="1362DCA6" w14:textId="77777777" w:rsidR="00924242" w:rsidRDefault="00924242" w:rsidP="002800A1">
      <w:pPr>
        <w:pStyle w:val="NoSpacing"/>
        <w:ind w:left="1440" w:hanging="720"/>
      </w:pPr>
      <w:r>
        <w:tab/>
        <w:t>For those taking incompletes, please be advised that I am off campus in the summer and fall (though available by email).</w:t>
      </w:r>
    </w:p>
    <w:p w14:paraId="52B77F08" w14:textId="77777777" w:rsidR="00924242" w:rsidRDefault="00924242" w:rsidP="002800A1">
      <w:pPr>
        <w:pStyle w:val="NoSpacing"/>
        <w:ind w:left="1440" w:hanging="720"/>
      </w:pPr>
    </w:p>
    <w:p w14:paraId="64912E9F" w14:textId="77777777" w:rsidR="008724B9" w:rsidRDefault="00037254" w:rsidP="00631CD2">
      <w:pPr>
        <w:pStyle w:val="NoSpacing"/>
        <w:ind w:left="1440" w:hanging="720"/>
      </w:pPr>
      <w:r>
        <w:t>7.</w:t>
      </w:r>
      <w:r>
        <w:tab/>
      </w:r>
      <w:r w:rsidRPr="00631CD2">
        <w:rPr>
          <w:b/>
        </w:rPr>
        <w:t>Grading:</w:t>
      </w:r>
      <w:r>
        <w:t xml:space="preserve">  Final grades will be based </w:t>
      </w:r>
      <w:r w:rsidR="00631CD2">
        <w:t xml:space="preserve">60% on all elements of participation and 40% on final papers. </w:t>
      </w:r>
      <w:r w:rsidR="00631CD2" w:rsidRPr="00E27688">
        <w:rPr>
          <w:b/>
        </w:rPr>
        <w:t xml:space="preserve">By “tilting” grading towards heavier weighting of participation, and by allowing you to further work with your reaction papers as your Option B final paper, I am making as clear as I can that the life of this seminar is the quality of thought you bring to each week’s session. </w:t>
      </w:r>
    </w:p>
    <w:p w14:paraId="30B66600" w14:textId="77777777" w:rsidR="00631CD2" w:rsidRDefault="00631CD2" w:rsidP="00631CD2">
      <w:pPr>
        <w:pStyle w:val="NoSpacing"/>
        <w:ind w:left="1440" w:hanging="720"/>
      </w:pPr>
      <w:r>
        <w:tab/>
      </w:r>
    </w:p>
    <w:p w14:paraId="6073D87A" w14:textId="77777777" w:rsidR="008724B9" w:rsidRDefault="008724B9" w:rsidP="008724B9">
      <w:pPr>
        <w:pStyle w:val="NoSpacing"/>
        <w:ind w:left="1440" w:hanging="720"/>
      </w:pPr>
    </w:p>
    <w:p w14:paraId="5744AF4A" w14:textId="77777777" w:rsidR="00F82524" w:rsidRDefault="000C55F6" w:rsidP="00F82524">
      <w:pPr>
        <w:pStyle w:val="NoSpacing"/>
        <w:rPr>
          <w:b/>
        </w:rPr>
      </w:pPr>
      <w:r>
        <w:rPr>
          <w:b/>
        </w:rPr>
        <w:t>Book on Order</w:t>
      </w:r>
      <w:r w:rsidR="00707947">
        <w:rPr>
          <w:b/>
        </w:rPr>
        <w:t xml:space="preserve"> at the NYU Bookstore</w:t>
      </w:r>
      <w:r w:rsidR="00F82524">
        <w:rPr>
          <w:b/>
        </w:rPr>
        <w:t>:  none</w:t>
      </w:r>
    </w:p>
    <w:p w14:paraId="0105841A" w14:textId="77777777" w:rsidR="00F82524" w:rsidRDefault="00F82524" w:rsidP="00F82524">
      <w:pPr>
        <w:pStyle w:val="NoSpacing"/>
        <w:rPr>
          <w:b/>
        </w:rPr>
      </w:pPr>
    </w:p>
    <w:p w14:paraId="4BA9813B" w14:textId="77777777" w:rsidR="00707947" w:rsidRPr="00F82524" w:rsidRDefault="00F82524" w:rsidP="00F82524">
      <w:pPr>
        <w:pStyle w:val="NoSpacing"/>
        <w:ind w:left="720" w:hanging="720"/>
        <w:rPr>
          <w:b/>
        </w:rPr>
      </w:pPr>
      <w:r>
        <w:rPr>
          <w:b/>
        </w:rPr>
        <w:tab/>
      </w:r>
      <w:r>
        <w:t>We will be making extensive use of the digital book resources available through the NYU Library and of PDFs that I will post on Brightspace.</w:t>
      </w:r>
      <w:r w:rsidR="000C55F6">
        <w:tab/>
      </w:r>
    </w:p>
    <w:p w14:paraId="40CF9F95" w14:textId="77777777" w:rsidR="00F82524" w:rsidRDefault="00F82524" w:rsidP="00F82524"/>
    <w:p w14:paraId="7829F2B0" w14:textId="77777777" w:rsidR="00E007EC" w:rsidRDefault="009768B5">
      <w:pPr>
        <w:rPr>
          <w:b/>
        </w:rPr>
      </w:pPr>
      <w:r>
        <w:rPr>
          <w:b/>
        </w:rPr>
        <w:t>Class Memos</w:t>
      </w:r>
      <w:r w:rsidR="00F82524">
        <w:rPr>
          <w:b/>
        </w:rPr>
        <w:t xml:space="preserve"> and </w:t>
      </w:r>
      <w:r>
        <w:rPr>
          <w:b/>
        </w:rPr>
        <w:t>Readings</w:t>
      </w:r>
      <w:r w:rsidR="00E007EC">
        <w:rPr>
          <w:b/>
        </w:rPr>
        <w:t xml:space="preserve"> </w:t>
      </w:r>
      <w:r>
        <w:rPr>
          <w:b/>
        </w:rPr>
        <w:t>(</w:t>
      </w:r>
      <w:r w:rsidR="00E007EC">
        <w:rPr>
          <w:b/>
        </w:rPr>
        <w:t>on Brightspace</w:t>
      </w:r>
      <w:r>
        <w:rPr>
          <w:b/>
        </w:rPr>
        <w:t>)</w:t>
      </w:r>
      <w:r w:rsidR="00237BA1">
        <w:rPr>
          <w:b/>
        </w:rPr>
        <w:t>:</w:t>
      </w:r>
    </w:p>
    <w:p w14:paraId="7C5048CA" w14:textId="77777777" w:rsidR="00752C59" w:rsidRDefault="009768B5" w:rsidP="009768B5">
      <w:pPr>
        <w:ind w:left="720" w:hanging="720"/>
      </w:pPr>
      <w:r>
        <w:tab/>
      </w:r>
      <w:r w:rsidR="00E007EC">
        <w:t xml:space="preserve">On Brightspace, each class </w:t>
      </w:r>
      <w:r w:rsidR="00924242">
        <w:t xml:space="preserve">session </w:t>
      </w:r>
      <w:r w:rsidR="00E007EC">
        <w:t>will have its own “folder” in which you will find a Class Memo</w:t>
      </w:r>
      <w:r w:rsidR="00A22ED0">
        <w:t xml:space="preserve"> and </w:t>
      </w:r>
      <w:r w:rsidR="00E007EC">
        <w:t>a set of readings (or hyperlinks</w:t>
      </w:r>
      <w:r w:rsidR="00A22ED0">
        <w:t xml:space="preserve"> to readings). </w:t>
      </w:r>
    </w:p>
    <w:p w14:paraId="2F055B27" w14:textId="77777777" w:rsidR="007F080B" w:rsidRDefault="00752C59" w:rsidP="009768B5">
      <w:pPr>
        <w:ind w:left="720" w:hanging="720"/>
        <w:rPr>
          <w:b/>
        </w:rPr>
      </w:pPr>
      <w:r>
        <w:tab/>
      </w:r>
      <w:r w:rsidR="009F7BB1" w:rsidRPr="004F73E2">
        <w:rPr>
          <w:b/>
        </w:rPr>
        <w:t xml:space="preserve">Class Memos </w:t>
      </w:r>
      <w:r w:rsidR="00B22CF5" w:rsidRPr="004F73E2">
        <w:rPr>
          <w:b/>
        </w:rPr>
        <w:t xml:space="preserve">and readings </w:t>
      </w:r>
      <w:r w:rsidR="009F7BB1" w:rsidRPr="004F73E2">
        <w:rPr>
          <w:b/>
        </w:rPr>
        <w:t>will be posted at least t</w:t>
      </w:r>
      <w:r w:rsidR="006D53E4">
        <w:rPr>
          <w:b/>
        </w:rPr>
        <w:t xml:space="preserve">wo </w:t>
      </w:r>
      <w:r w:rsidR="009F7BB1" w:rsidRPr="004F73E2">
        <w:rPr>
          <w:b/>
        </w:rPr>
        <w:t>weeks in advance of each class.</w:t>
      </w:r>
      <w:r>
        <w:rPr>
          <w:b/>
        </w:rPr>
        <w:t xml:space="preserve"> If you need materials further in advance (e.g., for purposes of final-paper-writing</w:t>
      </w:r>
      <w:r w:rsidR="002775DB">
        <w:rPr>
          <w:b/>
        </w:rPr>
        <w:t xml:space="preserve"> or to help better manage your semester workload</w:t>
      </w:r>
      <w:r>
        <w:rPr>
          <w:b/>
        </w:rPr>
        <w:t>), please do not hesitate to ask me for them.</w:t>
      </w:r>
      <w:r w:rsidR="002775DB">
        <w:rPr>
          <w:b/>
        </w:rPr>
        <w:t xml:space="preserve"> </w:t>
      </w:r>
    </w:p>
    <w:p w14:paraId="7B86C50D" w14:textId="77777777" w:rsidR="004211B4" w:rsidRDefault="009768B5" w:rsidP="009768B5">
      <w:pPr>
        <w:ind w:left="720" w:hanging="720"/>
      </w:pPr>
      <w:r>
        <w:tab/>
      </w:r>
      <w:r w:rsidR="00A22ED0">
        <w:t xml:space="preserve">The Class Memo </w:t>
      </w:r>
      <w:r w:rsidR="004211B4">
        <w:t xml:space="preserve">is the place to start your work for the week. It </w:t>
      </w:r>
      <w:r w:rsidR="00A22ED0">
        <w:t>will contain commentary from me that will (I hope) help you navigate your way through the readings</w:t>
      </w:r>
      <w:r w:rsidR="004211B4">
        <w:t xml:space="preserve">. </w:t>
      </w:r>
    </w:p>
    <w:p w14:paraId="7C427469" w14:textId="77777777" w:rsidR="00BB3751" w:rsidRDefault="004F73E2" w:rsidP="004F73E2">
      <w:pPr>
        <w:ind w:left="720" w:hanging="720"/>
      </w:pPr>
      <w:r>
        <w:lastRenderedPageBreak/>
        <w:tab/>
      </w:r>
      <w:r w:rsidR="000151DB">
        <w:t>T</w:t>
      </w:r>
      <w:r w:rsidR="00D50BD7">
        <w:t xml:space="preserve">he readings for each class </w:t>
      </w:r>
      <w:r w:rsidR="000151DB">
        <w:t xml:space="preserve">(except for typed excerpts that appear in the body of the Class Memo) </w:t>
      </w:r>
      <w:r w:rsidR="00B22CF5">
        <w:t xml:space="preserve">will </w:t>
      </w:r>
      <w:r w:rsidR="00237BA1">
        <w:t xml:space="preserve">be made available to you on Brightspace, </w:t>
      </w:r>
      <w:r w:rsidR="00A93C70">
        <w:t>either as pdfs or as NYU Library e-book hyperlinks (with books available either for borrowing</w:t>
      </w:r>
      <w:r w:rsidR="000A42C6">
        <w:t xml:space="preserve"> </w:t>
      </w:r>
      <w:r w:rsidR="00A93C70">
        <w:t xml:space="preserve">and/or </w:t>
      </w:r>
      <w:r w:rsidR="002A741B">
        <w:t xml:space="preserve">full book or chapter </w:t>
      </w:r>
      <w:r w:rsidR="00A93C70">
        <w:t>downloading</w:t>
      </w:r>
      <w:r w:rsidR="002A741B">
        <w:t>)</w:t>
      </w:r>
      <w:r w:rsidR="000A42C6">
        <w:t>.</w:t>
      </w:r>
      <w:r w:rsidR="00E007EC">
        <w:t xml:space="preserve"> </w:t>
      </w:r>
      <w:r w:rsidR="00B873A0">
        <w:t>To borrow e-books, you will need to download Acrobat Digital Editions</w:t>
      </w:r>
      <w:r w:rsidR="001B5184">
        <w:t xml:space="preserve">; </w:t>
      </w:r>
      <w:r w:rsidR="0009042A">
        <w:t xml:space="preserve">for reading on a tablet, </w:t>
      </w:r>
      <w:r w:rsidR="001B5184">
        <w:t xml:space="preserve">you may find it convenient to also download </w:t>
      </w:r>
      <w:proofErr w:type="spellStart"/>
      <w:r w:rsidR="001B5184">
        <w:t>Bluefire</w:t>
      </w:r>
      <w:proofErr w:type="spellEnd"/>
      <w:r w:rsidR="001B5184">
        <w:t xml:space="preserve"> Reader</w:t>
      </w:r>
      <w:r w:rsidR="00B873A0">
        <w:t>.</w:t>
      </w:r>
    </w:p>
    <w:p w14:paraId="1C78E78B" w14:textId="77777777" w:rsidR="000A42C6" w:rsidRDefault="000A42C6" w:rsidP="004F73E2">
      <w:pPr>
        <w:ind w:left="720" w:hanging="720"/>
      </w:pPr>
      <w:r>
        <w:tab/>
        <w:t>It will take you a little time each week to organize the readings, but I hope this will not prove too burdensome.</w:t>
      </w:r>
    </w:p>
    <w:p w14:paraId="65577BA9" w14:textId="77777777" w:rsidR="006B3B59" w:rsidRDefault="004F73E2" w:rsidP="004F73E2">
      <w:pPr>
        <w:ind w:left="720" w:hanging="720"/>
      </w:pPr>
      <w:r>
        <w:tab/>
      </w:r>
      <w:r w:rsidR="000151DB">
        <w:t xml:space="preserve">I will undertake to limit each week’s reading assignment to no more than </w:t>
      </w:r>
      <w:r w:rsidR="00F331DF">
        <w:t>1</w:t>
      </w:r>
      <w:r w:rsidR="00C96D57">
        <w:t>00</w:t>
      </w:r>
      <w:r w:rsidR="00F331DF">
        <w:t xml:space="preserve"> pages</w:t>
      </w:r>
      <w:r w:rsidR="002775DB">
        <w:t xml:space="preserve"> (including the class memo itself)</w:t>
      </w:r>
      <w:r w:rsidR="00C96D57">
        <w:t xml:space="preserve"> (down 20 pages from last year!)</w:t>
      </w:r>
      <w:r w:rsidR="00F331DF">
        <w:t>.</w:t>
      </w:r>
      <w:r w:rsidR="000151DB">
        <w:t xml:space="preserve"> In weeks in which I have put more than that number of pages on offer</w:t>
      </w:r>
      <w:r w:rsidR="00F331DF">
        <w:t xml:space="preserve"> (or where otherwise appropriate)</w:t>
      </w:r>
      <w:r w:rsidR="000151DB">
        <w:t xml:space="preserve">, the reading assignment will take on what I call an “I choose, you choose” format:  there will be certain readings I ask the entire class to read, and you are free to choose from among the others. </w:t>
      </w:r>
      <w:r w:rsidR="000151DB" w:rsidRPr="008237E9">
        <w:rPr>
          <w:b/>
        </w:rPr>
        <w:t>The weekly Class Memo will make all of this clear.</w:t>
      </w:r>
      <w:r w:rsidR="009F7BBE">
        <w:t xml:space="preserve"> </w:t>
      </w:r>
      <w:r w:rsidR="009F7BBE" w:rsidRPr="009F7BBE">
        <w:rPr>
          <w:b/>
        </w:rPr>
        <w:t>Please read it carefully.</w:t>
      </w:r>
      <w:r w:rsidR="00960001">
        <w:rPr>
          <w:b/>
        </w:rPr>
        <w:t xml:space="preserve"> </w:t>
      </w:r>
      <w:r w:rsidR="00C96D57">
        <w:t xml:space="preserve">This is of course self-policing. If engaging more deeply with some of the reading means that you don’t get to all of it, and if you take that approach sometimes but not always, I will be satisfied. On the other hand, there is enough material here to </w:t>
      </w:r>
      <w:r w:rsidR="00960001">
        <w:t xml:space="preserve">“go deep” </w:t>
      </w:r>
      <w:r w:rsidR="00C96D57">
        <w:t xml:space="preserve">on occasion </w:t>
      </w:r>
      <w:r w:rsidR="00960001">
        <w:t>and read more than required (and perhaps return to those topics for your final paper)</w:t>
      </w:r>
      <w:r w:rsidR="00C96D57">
        <w:t>.</w:t>
      </w:r>
      <w:r w:rsidR="006B3B59">
        <w:t xml:space="preserve"> If you do that one week and as a result need to lighten your load the next, I will understand. As to all of this, if you are having issues, let me know; and if I am having issues (as to any one of you or as to the group as a whole), we will reassess and regroup. </w:t>
      </w:r>
    </w:p>
    <w:p w14:paraId="682FFD20" w14:textId="77777777" w:rsidR="002914B9" w:rsidRDefault="002914B9" w:rsidP="004F73E2">
      <w:pPr>
        <w:ind w:left="720" w:hanging="720"/>
        <w:rPr>
          <w:b/>
        </w:rPr>
      </w:pPr>
      <w:r w:rsidRPr="002914B9">
        <w:rPr>
          <w:b/>
        </w:rPr>
        <w:t>Submission of Writing Assignments</w:t>
      </w:r>
      <w:r>
        <w:rPr>
          <w:b/>
        </w:rPr>
        <w:t xml:space="preserve"> (Brightspace)</w:t>
      </w:r>
      <w:r w:rsidRPr="002914B9">
        <w:rPr>
          <w:b/>
        </w:rPr>
        <w:t>:</w:t>
      </w:r>
    </w:p>
    <w:p w14:paraId="140EA2B3" w14:textId="77777777" w:rsidR="002914B9" w:rsidRPr="002914B9" w:rsidRDefault="002914B9" w:rsidP="004F73E2">
      <w:pPr>
        <w:ind w:left="720" w:hanging="720"/>
      </w:pPr>
      <w:r>
        <w:rPr>
          <w:b/>
        </w:rPr>
        <w:tab/>
      </w:r>
      <w:r>
        <w:t>The Brightspace class site has an Assignments tab, with a folder for the submission of each week’s reaction paper and the final paper. Please be careful to post your paper in the right folder.</w:t>
      </w:r>
    </w:p>
    <w:p w14:paraId="108459FD" w14:textId="77777777" w:rsidR="00BE51A9" w:rsidRDefault="00B95732" w:rsidP="00B625D1">
      <w:pPr>
        <w:rPr>
          <w:b/>
        </w:rPr>
      </w:pPr>
      <w:r>
        <w:rPr>
          <w:b/>
        </w:rPr>
        <w:t>Classroom Environment</w:t>
      </w:r>
      <w:r w:rsidR="008A6463">
        <w:rPr>
          <w:b/>
        </w:rPr>
        <w:t>; Class Recording</w:t>
      </w:r>
      <w:r w:rsidR="002775DB">
        <w:rPr>
          <w:b/>
        </w:rPr>
        <w:t>; Class Memo Circulation</w:t>
      </w:r>
    </w:p>
    <w:p w14:paraId="407CF1C9" w14:textId="77777777" w:rsidR="002914B9" w:rsidRDefault="00B95732" w:rsidP="00AE7C4B">
      <w:pPr>
        <w:ind w:left="720" w:hanging="720"/>
      </w:pPr>
      <w:r>
        <w:rPr>
          <w:b/>
        </w:rPr>
        <w:tab/>
      </w:r>
      <w:r w:rsidR="00575170">
        <w:t>Any course dealing with group identity and group hatred is likely to be highly sensitive</w:t>
      </w:r>
      <w:r w:rsidR="002914B9">
        <w:t xml:space="preserve">. </w:t>
      </w:r>
      <w:r w:rsidR="005A11AC">
        <w:t>I recognize the special sensitivity of this s</w:t>
      </w:r>
      <w:r w:rsidR="004C68D7">
        <w:t>eminar’s s</w:t>
      </w:r>
      <w:r w:rsidR="005A11AC">
        <w:t>ubject matter in the current environment</w:t>
      </w:r>
      <w:r w:rsidR="004C68D7">
        <w:t xml:space="preserve"> -- within higher education and in the world.</w:t>
      </w:r>
      <w:r w:rsidR="005A11AC">
        <w:t xml:space="preserve"> I also recognize how wide the range of your sensitivities </w:t>
      </w:r>
      <w:r w:rsidR="004C68D7">
        <w:t>is</w:t>
      </w:r>
      <w:r w:rsidR="005A11AC">
        <w:t xml:space="preserve"> likely to be</w:t>
      </w:r>
      <w:r w:rsidR="004C68D7">
        <w:t>,</w:t>
      </w:r>
      <w:r w:rsidR="005A11AC">
        <w:t xml:space="preserve"> in relation to your personal backgrounds and commitments.  </w:t>
      </w:r>
    </w:p>
    <w:p w14:paraId="145492AD" w14:textId="77777777" w:rsidR="000E25BC" w:rsidRDefault="002914B9" w:rsidP="002914B9">
      <w:pPr>
        <w:ind w:left="720"/>
        <w:rPr>
          <w:b/>
        </w:rPr>
      </w:pPr>
      <w:r>
        <w:t xml:space="preserve">I </w:t>
      </w:r>
      <w:r w:rsidR="00575170">
        <w:t xml:space="preserve">must insist that we maintain </w:t>
      </w:r>
      <w:r w:rsidR="00873D7E">
        <w:t xml:space="preserve">the highest standards of non-harassment and respect in our discussions. </w:t>
      </w:r>
      <w:r w:rsidR="000E25BC">
        <w:t>Let us all operate in an environment in which we act in good faith</w:t>
      </w:r>
      <w:r w:rsidR="000D2B65">
        <w:t xml:space="preserve"> and foster mutual trust.</w:t>
      </w:r>
      <w:r w:rsidR="000E25BC">
        <w:rPr>
          <w:b/>
        </w:rPr>
        <w:t xml:space="preserve"> </w:t>
      </w:r>
    </w:p>
    <w:p w14:paraId="0B8BA47C" w14:textId="77777777" w:rsidR="00BE7833" w:rsidRDefault="000E25BC" w:rsidP="000D34E1">
      <w:pPr>
        <w:ind w:left="720" w:hanging="720"/>
      </w:pPr>
      <w:r>
        <w:rPr>
          <w:b/>
        </w:rPr>
        <w:lastRenderedPageBreak/>
        <w:tab/>
      </w:r>
      <w:r w:rsidR="00873D7E">
        <w:t xml:space="preserve">In order to </w:t>
      </w:r>
      <w:r>
        <w:t xml:space="preserve">support the building of </w:t>
      </w:r>
      <w:r w:rsidR="007F59EA">
        <w:t xml:space="preserve">trust and mutual support, </w:t>
      </w:r>
      <w:r w:rsidR="00873D7E">
        <w:t>I will not allow auditors (including prospective students</w:t>
      </w:r>
      <w:r w:rsidR="002914B9">
        <w:t xml:space="preserve"> or faculty colleagues</w:t>
      </w:r>
      <w:r w:rsidR="00873D7E">
        <w:t>) to attend our sessions</w:t>
      </w:r>
      <w:r w:rsidR="008A6463">
        <w:t xml:space="preserve">. For the same reason, I </w:t>
      </w:r>
      <w:r w:rsidR="002914B9">
        <w:t xml:space="preserve">will not record, or allow you to record, any of our classes unless I am </w:t>
      </w:r>
      <w:r w:rsidR="00BE7833">
        <w:t xml:space="preserve">required to do so </w:t>
      </w:r>
      <w:r w:rsidR="002775DB">
        <w:t xml:space="preserve">by Law School policy. </w:t>
      </w:r>
    </w:p>
    <w:p w14:paraId="0731CDEA" w14:textId="77777777" w:rsidR="002775DB" w:rsidRDefault="002775DB" w:rsidP="000D34E1">
      <w:pPr>
        <w:ind w:left="720" w:hanging="720"/>
      </w:pPr>
      <w:r>
        <w:tab/>
        <w:t>In the Class Memos</w:t>
      </w:r>
      <w:r w:rsidR="005A11AC">
        <w:t xml:space="preserve">, I write in a voice that is tailored to the seminar setting only, </w:t>
      </w:r>
      <w:r w:rsidR="004C68D7">
        <w:t xml:space="preserve">and I need the </w:t>
      </w:r>
      <w:r w:rsidR="005A11AC">
        <w:t xml:space="preserve">freedom to share tentative thoughts and conclusions (much as I invite you to do in your reaction papers). Accordingly, each memo will bear the notation “not for publication or public circulation.” Please take that seriously. </w:t>
      </w:r>
      <w:r>
        <w:t xml:space="preserve">It is my sincere hope that I will not be confronted with out-of-context quotations </w:t>
      </w:r>
      <w:r w:rsidRPr="005A11AC">
        <w:t>of my writing</w:t>
      </w:r>
      <w:r>
        <w:t xml:space="preserve"> from my Class Memos by students not enrolled in this course. </w:t>
      </w:r>
      <w:r w:rsidR="005A11AC">
        <w:t xml:space="preserve">(This does not apply, of course, to the outside readings I assign or to quotations from sources embedded in the memos, which you may freely share with others.)  </w:t>
      </w:r>
    </w:p>
    <w:p w14:paraId="1CB54B93" w14:textId="77777777" w:rsidR="002775DB" w:rsidRPr="00644610" w:rsidRDefault="002775DB" w:rsidP="000D34E1">
      <w:pPr>
        <w:ind w:left="720" w:hanging="720"/>
        <w:rPr>
          <w:b/>
        </w:rPr>
      </w:pPr>
      <w:r>
        <w:tab/>
        <w:t>Violations of these policies will be reported to the appropriate Law School authorities.</w:t>
      </w:r>
    </w:p>
    <w:p w14:paraId="7220F767" w14:textId="77777777" w:rsidR="00B474F0" w:rsidRDefault="00BE7833" w:rsidP="007F59EA">
      <w:pPr>
        <w:ind w:left="720" w:hanging="720"/>
      </w:pPr>
      <w:r>
        <w:tab/>
      </w:r>
      <w:r w:rsidR="0041706A">
        <w:t xml:space="preserve">If you have issues </w:t>
      </w:r>
      <w:r>
        <w:t xml:space="preserve">arising out of the classroom environment, </w:t>
      </w:r>
      <w:r w:rsidR="0041706A">
        <w:t>I encourage you to raise them with me</w:t>
      </w:r>
      <w:r w:rsidR="00AE7C4B">
        <w:t xml:space="preserve"> directly. </w:t>
      </w:r>
      <w:r w:rsidR="000D2D80">
        <w:t xml:space="preserve">This is </w:t>
      </w:r>
      <w:r w:rsidR="000D34E1">
        <w:t xml:space="preserve">the second time I am teaching this seminar, and </w:t>
      </w:r>
      <w:r w:rsidR="00AE7C4B">
        <w:t>have taught seminars on sensitive topics (e.g., race, class, affirmative action) for many years</w:t>
      </w:r>
      <w:r w:rsidR="000D34E1">
        <w:t>. I have learned to encourage and be open to your direct feedback.</w:t>
      </w:r>
      <w:r w:rsidR="00AE7C4B">
        <w:t xml:space="preserve"> But if </w:t>
      </w:r>
      <w:r w:rsidR="0041706A">
        <w:t xml:space="preserve">that proves difficult, I encourage you to work with the appropriate </w:t>
      </w:r>
      <w:r w:rsidR="00BB5FF5">
        <w:t xml:space="preserve">members of the Law School staff so that your voice </w:t>
      </w:r>
      <w:r w:rsidR="000D2D80">
        <w:t>will be heard and your concerns dealt with</w:t>
      </w:r>
      <w:r w:rsidR="005A11AC">
        <w:t>.</w:t>
      </w:r>
      <w:r w:rsidR="000D34E1">
        <w:t xml:space="preserve"> </w:t>
      </w:r>
    </w:p>
    <w:p w14:paraId="75C022AD" w14:textId="77777777" w:rsidR="000D34E1" w:rsidRDefault="000D34E1" w:rsidP="007F59EA">
      <w:pPr>
        <w:ind w:left="720" w:hanging="720"/>
        <w:rPr>
          <w:b/>
        </w:rPr>
      </w:pPr>
      <w:r w:rsidRPr="000D34E1">
        <w:rPr>
          <w:b/>
        </w:rPr>
        <w:t>COVID Protocols</w:t>
      </w:r>
    </w:p>
    <w:p w14:paraId="66FF3537" w14:textId="77777777" w:rsidR="000D34E1" w:rsidRDefault="000D34E1" w:rsidP="007F59EA">
      <w:pPr>
        <w:ind w:left="720" w:hanging="720"/>
      </w:pPr>
      <w:r>
        <w:rPr>
          <w:b/>
        </w:rPr>
        <w:tab/>
      </w:r>
      <w:r>
        <w:t xml:space="preserve">You will find the Law School’s policies regarding COVID here:  </w:t>
      </w:r>
      <w:hyperlink r:id="rId10" w:history="1">
        <w:r w:rsidRPr="0040316B">
          <w:rPr>
            <w:rStyle w:val="Hyperlink"/>
          </w:rPr>
          <w:t>https://www.nyu.edu/life/safety-health-wellness/coronavirus-information.html</w:t>
        </w:r>
      </w:hyperlink>
    </w:p>
    <w:p w14:paraId="67A96E3F" w14:textId="77777777" w:rsidR="00D02D46" w:rsidRDefault="000D34E1" w:rsidP="007F59EA">
      <w:pPr>
        <w:ind w:left="720" w:hanging="720"/>
      </w:pPr>
      <w:r>
        <w:tab/>
        <w:t xml:space="preserve">If I test positive for COVID and our class falls on a day that I am healthy enough to teach but am required to isolate, I will teach by Zoom. </w:t>
      </w:r>
    </w:p>
    <w:p w14:paraId="69F75CF9" w14:textId="77777777" w:rsidR="00D02D46" w:rsidRDefault="00D02D46">
      <w:r>
        <w:br w:type="page"/>
      </w:r>
    </w:p>
    <w:p w14:paraId="51B6A07C" w14:textId="77777777" w:rsidR="0042133E" w:rsidRDefault="0042133E" w:rsidP="0042133E">
      <w:pPr>
        <w:rPr>
          <w:b/>
        </w:rPr>
      </w:pPr>
      <w:r>
        <w:rPr>
          <w:b/>
        </w:rPr>
        <w:lastRenderedPageBreak/>
        <w:t>Topical Outline and Core Sources</w:t>
      </w:r>
      <w:r w:rsidR="00F00AB1">
        <w:rPr>
          <w:rStyle w:val="FootnoteReference"/>
          <w:b/>
        </w:rPr>
        <w:footnoteReference w:id="1"/>
      </w:r>
    </w:p>
    <w:p w14:paraId="6637A1B1" w14:textId="77777777" w:rsidR="003B1974" w:rsidRPr="004C68D7" w:rsidRDefault="007F59EA" w:rsidP="003B1974">
      <w:pPr>
        <w:ind w:left="720" w:hanging="720"/>
        <w:rPr>
          <w:b/>
        </w:rPr>
      </w:pPr>
      <w:r w:rsidRPr="00B062F2">
        <w:tab/>
      </w:r>
      <w:r w:rsidR="004C68D7">
        <w:rPr>
          <w:b/>
        </w:rPr>
        <w:t xml:space="preserve">This outline and list of core sources is somewhat tentative. </w:t>
      </w:r>
      <w:r w:rsidR="003B1974">
        <w:t>I am leaving myself some flexibility in assignments, so that I can learn from our shared experience</w:t>
      </w:r>
      <w:r w:rsidR="00EC77E3">
        <w:t xml:space="preserve">, and, at times, </w:t>
      </w:r>
      <w:r w:rsidR="004C68D7">
        <w:t xml:space="preserve">so that I can make revisions </w:t>
      </w:r>
      <w:r w:rsidR="00EC77E3">
        <w:t xml:space="preserve">to </w:t>
      </w:r>
      <w:r w:rsidR="004C68D7">
        <w:t xml:space="preserve">reflect </w:t>
      </w:r>
      <w:r w:rsidR="00EC77E3">
        <w:t>your interests</w:t>
      </w:r>
      <w:r w:rsidR="004C68D7">
        <w:t>.</w:t>
      </w:r>
      <w:r w:rsidR="00C10392">
        <w:t xml:space="preserve"> </w:t>
      </w:r>
    </w:p>
    <w:p w14:paraId="7F42EBAC" w14:textId="77777777" w:rsidR="00825B45" w:rsidRDefault="00C10392" w:rsidP="00C10392">
      <w:pPr>
        <w:ind w:left="720" w:hanging="720"/>
        <w:rPr>
          <w:b/>
        </w:rPr>
      </w:pPr>
      <w:r>
        <w:rPr>
          <w:b/>
        </w:rPr>
        <w:tab/>
      </w:r>
      <w:r w:rsidRPr="00B062F2">
        <w:t xml:space="preserve">I am *very* aware that many of the </w:t>
      </w:r>
      <w:r w:rsidR="004C68D7">
        <w:t>topics in this outline c</w:t>
      </w:r>
      <w:r w:rsidRPr="00B062F2">
        <w:t xml:space="preserve">ould be entire seminars – indeed, that some of the authors we will be encountering </w:t>
      </w:r>
      <w:r w:rsidR="00732D41" w:rsidRPr="00B062F2">
        <w:t xml:space="preserve">(e.g., Hannah Arendt) </w:t>
      </w:r>
      <w:r w:rsidRPr="00B062F2">
        <w:t>deserve whole seminars</w:t>
      </w:r>
      <w:r w:rsidR="006D53E4">
        <w:t xml:space="preserve"> of their own</w:t>
      </w:r>
      <w:r w:rsidRPr="00B062F2">
        <w:t xml:space="preserve">. We are acquainting ourselves with a landscape. </w:t>
      </w:r>
      <w:r w:rsidR="00732D41" w:rsidRPr="00B062F2">
        <w:t xml:space="preserve">These readings will offer endless possibilities for deeper </w:t>
      </w:r>
      <w:r w:rsidR="009D1140">
        <w:t>encounters</w:t>
      </w:r>
      <w:r w:rsidR="00732D41" w:rsidRPr="00B062F2">
        <w:t>, now and in the future.</w:t>
      </w:r>
      <w:r w:rsidR="00B97A8F" w:rsidRPr="00B062F2">
        <w:rPr>
          <w:b/>
        </w:rPr>
        <w:t xml:space="preserve"> </w:t>
      </w:r>
    </w:p>
    <w:p w14:paraId="455826A9" w14:textId="77777777" w:rsidR="004C68D7" w:rsidRDefault="006D53E4" w:rsidP="00C10392">
      <w:pPr>
        <w:ind w:left="720" w:hanging="720"/>
      </w:pPr>
      <w:r>
        <w:rPr>
          <w:b/>
        </w:rPr>
        <w:tab/>
      </w:r>
      <w:r>
        <w:t xml:space="preserve">Below, I am listing </w:t>
      </w:r>
      <w:r w:rsidR="00CC264E">
        <w:t xml:space="preserve">just a few </w:t>
      </w:r>
      <w:r>
        <w:t>core sources for each class – but the actual bibliography for the seminar (divided among assigned outside readings, “you-choose” outside readings, optional outside readings, and excerpts embedded in the weekly Class Memos) is far more extensive.</w:t>
      </w:r>
      <w:r w:rsidR="002F5A71">
        <w:t xml:space="preserve"> </w:t>
      </w:r>
      <w:r w:rsidR="000E4AB9">
        <w:t>Sources cited once are not re-listed when they are used in later classes.</w:t>
      </w:r>
    </w:p>
    <w:p w14:paraId="61D000ED" w14:textId="77777777" w:rsidR="00F86038" w:rsidRDefault="00F86038" w:rsidP="00C10392">
      <w:pPr>
        <w:ind w:left="720" w:hanging="720"/>
        <w:rPr>
          <w:b/>
        </w:rPr>
      </w:pPr>
      <w:r>
        <w:tab/>
      </w:r>
      <w:r>
        <w:rPr>
          <w:b/>
        </w:rPr>
        <w:t>Note: the order of topics is subject to change once we determine the date of our makeup class.</w:t>
      </w:r>
    </w:p>
    <w:p w14:paraId="03C074A5" w14:textId="77777777" w:rsidR="00F86038" w:rsidRPr="00F86038" w:rsidRDefault="00F86038" w:rsidP="00C10392">
      <w:pPr>
        <w:ind w:left="720" w:hanging="720"/>
        <w:rPr>
          <w:b/>
        </w:rPr>
      </w:pPr>
    </w:p>
    <w:p w14:paraId="09478AAD" w14:textId="77777777" w:rsidR="0042133E" w:rsidRDefault="0042133E" w:rsidP="0042133E">
      <w:pPr>
        <w:rPr>
          <w:b/>
        </w:rPr>
      </w:pPr>
      <w:r>
        <w:rPr>
          <w:b/>
        </w:rPr>
        <w:t xml:space="preserve">Class 1:  </w:t>
      </w:r>
      <w:r>
        <w:rPr>
          <w:b/>
        </w:rPr>
        <w:tab/>
      </w:r>
      <w:r w:rsidR="002A741B">
        <w:rPr>
          <w:b/>
        </w:rPr>
        <w:tab/>
      </w:r>
      <w:r>
        <w:rPr>
          <w:b/>
        </w:rPr>
        <w:t>Introduction</w:t>
      </w:r>
    </w:p>
    <w:p w14:paraId="189FD32F" w14:textId="77777777" w:rsidR="00E636A4" w:rsidRPr="00711E39" w:rsidRDefault="00E636A4" w:rsidP="00E636A4">
      <w:pPr>
        <w:ind w:left="2160" w:hanging="2160"/>
        <w:rPr>
          <w:i/>
        </w:rPr>
      </w:pPr>
      <w:r>
        <w:rPr>
          <w:b/>
        </w:rPr>
        <w:tab/>
      </w:r>
      <w:r w:rsidRPr="00711E39">
        <w:rPr>
          <w:i/>
        </w:rPr>
        <w:t>Fortune Magazine (Archibald Mac</w:t>
      </w:r>
      <w:r w:rsidR="0063443C">
        <w:rPr>
          <w:i/>
        </w:rPr>
        <w:t>L</w:t>
      </w:r>
      <w:r w:rsidRPr="00711E39">
        <w:rPr>
          <w:i/>
        </w:rPr>
        <w:t>eish), Jews in America (</w:t>
      </w:r>
      <w:r w:rsidR="00E54437">
        <w:rPr>
          <w:i/>
        </w:rPr>
        <w:t>February 1935</w:t>
      </w:r>
      <w:r w:rsidRPr="00711E39">
        <w:rPr>
          <w:i/>
        </w:rPr>
        <w:t>) and responses</w:t>
      </w:r>
      <w:r w:rsidRPr="000E4AB9">
        <w:rPr>
          <w:i/>
        </w:rPr>
        <w:t>;</w:t>
      </w:r>
      <w:r w:rsidR="00723825" w:rsidRPr="000E4AB9">
        <w:rPr>
          <w:i/>
        </w:rPr>
        <w:t xml:space="preserve"> </w:t>
      </w:r>
      <w:r w:rsidR="001C7273">
        <w:rPr>
          <w:i/>
        </w:rPr>
        <w:t xml:space="preserve">Weiser, Introduction, in </w:t>
      </w:r>
      <w:r w:rsidR="000E4AB9" w:rsidRPr="000E4AB9">
        <w:rPr>
          <w:i/>
        </w:rPr>
        <w:t>Sol Goldberg, et al., eds., Key Concepts in the Study of Antisemitism;</w:t>
      </w:r>
      <w:r w:rsidR="000E4AB9">
        <w:t xml:space="preserve"> </w:t>
      </w:r>
      <w:r w:rsidR="00FB15AE">
        <w:rPr>
          <w:i/>
        </w:rPr>
        <w:t xml:space="preserve">Letty </w:t>
      </w:r>
      <w:proofErr w:type="spellStart"/>
      <w:r w:rsidR="00FB15AE">
        <w:rPr>
          <w:i/>
        </w:rPr>
        <w:t>Cottin</w:t>
      </w:r>
      <w:proofErr w:type="spellEnd"/>
      <w:r w:rsidR="00FB15AE">
        <w:rPr>
          <w:i/>
        </w:rPr>
        <w:t xml:space="preserve"> </w:t>
      </w:r>
      <w:proofErr w:type="spellStart"/>
      <w:r w:rsidR="00FB15AE">
        <w:rPr>
          <w:i/>
        </w:rPr>
        <w:t>Pogrebin</w:t>
      </w:r>
      <w:proofErr w:type="spellEnd"/>
      <w:r w:rsidR="00FB15AE">
        <w:rPr>
          <w:i/>
        </w:rPr>
        <w:t>, Anti-Semitism in the Women’s Movement (June 1982) and responses</w:t>
      </w:r>
      <w:r w:rsidR="004C68D7">
        <w:rPr>
          <w:i/>
        </w:rPr>
        <w:t xml:space="preserve">; Yuri </w:t>
      </w:r>
      <w:proofErr w:type="spellStart"/>
      <w:r w:rsidR="004C68D7">
        <w:rPr>
          <w:i/>
        </w:rPr>
        <w:t>Slezkine</w:t>
      </w:r>
      <w:proofErr w:type="spellEnd"/>
      <w:r w:rsidR="004C68D7">
        <w:rPr>
          <w:i/>
        </w:rPr>
        <w:t>, The Jewish Century</w:t>
      </w:r>
      <w:r w:rsidR="00D8210D">
        <w:rPr>
          <w:i/>
        </w:rPr>
        <w:t xml:space="preserve"> (2d ed 2019)</w:t>
      </w:r>
    </w:p>
    <w:p w14:paraId="46757EBA" w14:textId="77777777" w:rsidR="00711E39" w:rsidRDefault="0042133E" w:rsidP="00C6155D">
      <w:pPr>
        <w:ind w:left="2160" w:hanging="2160"/>
        <w:rPr>
          <w:b/>
        </w:rPr>
      </w:pPr>
      <w:r>
        <w:rPr>
          <w:b/>
        </w:rPr>
        <w:t xml:space="preserve">Class 2:  </w:t>
      </w:r>
      <w:r>
        <w:rPr>
          <w:b/>
        </w:rPr>
        <w:tab/>
      </w:r>
      <w:r w:rsidRPr="00C6155D">
        <w:rPr>
          <w:b/>
        </w:rPr>
        <w:t>Defining</w:t>
      </w:r>
      <w:r>
        <w:rPr>
          <w:b/>
        </w:rPr>
        <w:t xml:space="preserve">/theorizing </w:t>
      </w:r>
      <w:r w:rsidR="00C6155D">
        <w:rPr>
          <w:b/>
        </w:rPr>
        <w:t>“</w:t>
      </w:r>
      <w:r>
        <w:rPr>
          <w:b/>
        </w:rPr>
        <w:t>Jews,</w:t>
      </w:r>
      <w:r w:rsidR="00C6155D">
        <w:rPr>
          <w:b/>
        </w:rPr>
        <w:t>”</w:t>
      </w:r>
      <w:r>
        <w:rPr>
          <w:b/>
        </w:rPr>
        <w:t xml:space="preserve"> </w:t>
      </w:r>
      <w:r w:rsidR="00C6155D">
        <w:rPr>
          <w:b/>
        </w:rPr>
        <w:t>“</w:t>
      </w:r>
      <w:r>
        <w:rPr>
          <w:b/>
        </w:rPr>
        <w:t>Judaism</w:t>
      </w:r>
      <w:r w:rsidR="00C6155D">
        <w:rPr>
          <w:b/>
        </w:rPr>
        <w:t>,” and other terms of “Jewish identity”</w:t>
      </w:r>
    </w:p>
    <w:p w14:paraId="248B7871" w14:textId="77777777" w:rsidR="00105B31" w:rsidRPr="001D7E64" w:rsidRDefault="002045E4" w:rsidP="00DC093C">
      <w:pPr>
        <w:ind w:left="2160" w:hanging="1440"/>
        <w:rPr>
          <w:i/>
        </w:rPr>
      </w:pPr>
      <w:r>
        <w:rPr>
          <w:b/>
        </w:rPr>
        <w:tab/>
      </w:r>
      <w:r w:rsidR="00C6155D" w:rsidRPr="00C6155D">
        <w:rPr>
          <w:i/>
        </w:rPr>
        <w:t xml:space="preserve">Kwame </w:t>
      </w:r>
      <w:r w:rsidR="008647D7">
        <w:rPr>
          <w:i/>
        </w:rPr>
        <w:t xml:space="preserve">Anthony Appiah, The Lies that Bind: Rethinking Identity, Creed, Country, Color, Class, Culture (2018); </w:t>
      </w:r>
      <w:r w:rsidR="00CC264E">
        <w:rPr>
          <w:i/>
        </w:rPr>
        <w:t xml:space="preserve">Israel </w:t>
      </w:r>
      <w:proofErr w:type="spellStart"/>
      <w:r w:rsidR="00CC264E">
        <w:rPr>
          <w:i/>
        </w:rPr>
        <w:t>Bartal</w:t>
      </w:r>
      <w:proofErr w:type="spellEnd"/>
      <w:r w:rsidR="00CC264E">
        <w:rPr>
          <w:i/>
        </w:rPr>
        <w:t>, The Jews of Eastern Europe</w:t>
      </w:r>
      <w:r w:rsidR="000B7F77">
        <w:rPr>
          <w:i/>
        </w:rPr>
        <w:t xml:space="preserve"> (2005)</w:t>
      </w:r>
      <w:r w:rsidR="00CC264E">
        <w:rPr>
          <w:i/>
        </w:rPr>
        <w:t xml:space="preserve">; </w:t>
      </w:r>
      <w:r w:rsidR="001C2E83">
        <w:rPr>
          <w:i/>
        </w:rPr>
        <w:t xml:space="preserve">Leora </w:t>
      </w:r>
      <w:proofErr w:type="spellStart"/>
      <w:r w:rsidR="001C2E83">
        <w:rPr>
          <w:i/>
        </w:rPr>
        <w:t>Batnitzky</w:t>
      </w:r>
      <w:proofErr w:type="spellEnd"/>
      <w:r w:rsidR="001C2E83">
        <w:rPr>
          <w:i/>
        </w:rPr>
        <w:t>, How Judaism Became a Religion: An Introduction to Modern Jewish Thought (2011);</w:t>
      </w:r>
      <w:r w:rsidR="000C303A">
        <w:rPr>
          <w:i/>
        </w:rPr>
        <w:t xml:space="preserve"> Jacob </w:t>
      </w:r>
      <w:proofErr w:type="spellStart"/>
      <w:r w:rsidR="000C303A">
        <w:rPr>
          <w:i/>
        </w:rPr>
        <w:t>Neusner</w:t>
      </w:r>
      <w:proofErr w:type="spellEnd"/>
      <w:r w:rsidR="000C303A">
        <w:rPr>
          <w:i/>
        </w:rPr>
        <w:t xml:space="preserve"> (various); </w:t>
      </w:r>
      <w:r w:rsidR="00912CCD">
        <w:rPr>
          <w:i/>
        </w:rPr>
        <w:t xml:space="preserve">Noam </w:t>
      </w:r>
      <w:proofErr w:type="spellStart"/>
      <w:r w:rsidR="00912CCD">
        <w:rPr>
          <w:i/>
        </w:rPr>
        <w:t>Pianko</w:t>
      </w:r>
      <w:proofErr w:type="spellEnd"/>
      <w:r w:rsidR="00912CCD">
        <w:rPr>
          <w:i/>
        </w:rPr>
        <w:t>, Jewish Peoplehood</w:t>
      </w:r>
      <w:r w:rsidR="001A0772">
        <w:rPr>
          <w:i/>
        </w:rPr>
        <w:t>: An American Innovation (2015)</w:t>
      </w:r>
      <w:r w:rsidR="008647D7">
        <w:rPr>
          <w:i/>
        </w:rPr>
        <w:t>;</w:t>
      </w:r>
      <w:r w:rsidR="00322A1D">
        <w:rPr>
          <w:i/>
        </w:rPr>
        <w:t xml:space="preserve"> </w:t>
      </w:r>
      <w:r w:rsidR="002F5A71">
        <w:rPr>
          <w:i/>
        </w:rPr>
        <w:t xml:space="preserve">Jonathan D. Sarna, The Cult of Synthesis in American Jewish Culture (1998); </w:t>
      </w:r>
      <w:proofErr w:type="spellStart"/>
      <w:r w:rsidR="00DC093C">
        <w:rPr>
          <w:i/>
        </w:rPr>
        <w:t>Haym</w:t>
      </w:r>
      <w:proofErr w:type="spellEnd"/>
      <w:r w:rsidR="00DC093C">
        <w:rPr>
          <w:i/>
        </w:rPr>
        <w:t xml:space="preserve"> Soloveitchik, Rupture and Reconstruction: The Transformation of Modern Orthodoxy (1994); </w:t>
      </w:r>
      <w:r w:rsidR="0043470C">
        <w:rPr>
          <w:i/>
        </w:rPr>
        <w:t xml:space="preserve">Yael </w:t>
      </w:r>
      <w:proofErr w:type="spellStart"/>
      <w:r w:rsidR="0043470C">
        <w:rPr>
          <w:i/>
        </w:rPr>
        <w:t>Zerubavel</w:t>
      </w:r>
      <w:proofErr w:type="spellEnd"/>
      <w:r w:rsidR="0043470C">
        <w:rPr>
          <w:i/>
        </w:rPr>
        <w:t xml:space="preserve">, Recovered </w:t>
      </w:r>
      <w:r w:rsidR="0043470C">
        <w:rPr>
          <w:i/>
        </w:rPr>
        <w:lastRenderedPageBreak/>
        <w:t xml:space="preserve">Roots: Collective Memory and the Making of Israeli National Tradition (1995); </w:t>
      </w:r>
      <w:r w:rsidR="0063202A">
        <w:rPr>
          <w:i/>
        </w:rPr>
        <w:t>notes on two Supreme Court cases (</w:t>
      </w:r>
      <w:proofErr w:type="spellStart"/>
      <w:r w:rsidR="0063202A">
        <w:rPr>
          <w:i/>
        </w:rPr>
        <w:t>Sha’are</w:t>
      </w:r>
      <w:proofErr w:type="spellEnd"/>
      <w:r w:rsidR="0063202A">
        <w:rPr>
          <w:i/>
        </w:rPr>
        <w:t xml:space="preserve"> Tefila and Kiryas Joel)</w:t>
      </w:r>
    </w:p>
    <w:p w14:paraId="15985CD9" w14:textId="77777777" w:rsidR="0042133E" w:rsidRDefault="0042133E" w:rsidP="0042133E">
      <w:pPr>
        <w:rPr>
          <w:b/>
        </w:rPr>
      </w:pPr>
      <w:r>
        <w:rPr>
          <w:b/>
        </w:rPr>
        <w:t xml:space="preserve">Class 3:  </w:t>
      </w:r>
      <w:r>
        <w:rPr>
          <w:b/>
        </w:rPr>
        <w:tab/>
      </w:r>
      <w:r w:rsidR="009E595C">
        <w:rPr>
          <w:b/>
        </w:rPr>
        <w:tab/>
      </w:r>
      <w:r>
        <w:rPr>
          <w:b/>
        </w:rPr>
        <w:t xml:space="preserve">Anti-what? A not-yet-theorized overview of “anti”-content </w:t>
      </w:r>
    </w:p>
    <w:p w14:paraId="112EA37D" w14:textId="77777777" w:rsidR="00F3455C" w:rsidRPr="00F3455C" w:rsidRDefault="00EB2DF5" w:rsidP="003352EE">
      <w:pPr>
        <w:ind w:left="2160" w:hanging="1440"/>
        <w:rPr>
          <w:i/>
        </w:rPr>
      </w:pPr>
      <w:r>
        <w:rPr>
          <w:b/>
        </w:rPr>
        <w:tab/>
      </w:r>
      <w:r w:rsidR="00DC093C" w:rsidRPr="00DC093C">
        <w:rPr>
          <w:i/>
        </w:rPr>
        <w:t>Anti-Defamation League, Antisemitic Attitudes, Topline Findings</w:t>
      </w:r>
      <w:r w:rsidR="00DC093C">
        <w:t xml:space="preserve">; </w:t>
      </w:r>
      <w:r w:rsidRPr="00FF5219">
        <w:rPr>
          <w:i/>
          <w:highlight w:val="yellow"/>
        </w:rPr>
        <w:t>IHRA Wo</w:t>
      </w:r>
      <w:r w:rsidR="00CC264E" w:rsidRPr="00FF5219">
        <w:rPr>
          <w:i/>
          <w:highlight w:val="yellow"/>
        </w:rPr>
        <w:t>rking Definition of Antisemitism (to be revisited later in the semester)</w:t>
      </w:r>
      <w:r>
        <w:rPr>
          <w:i/>
        </w:rPr>
        <w:t xml:space="preserve">; </w:t>
      </w:r>
      <w:r w:rsidR="007D285C">
        <w:rPr>
          <w:i/>
        </w:rPr>
        <w:t xml:space="preserve">David </w:t>
      </w:r>
      <w:proofErr w:type="spellStart"/>
      <w:r w:rsidR="007D285C">
        <w:rPr>
          <w:i/>
        </w:rPr>
        <w:t>Biale</w:t>
      </w:r>
      <w:proofErr w:type="spellEnd"/>
      <w:r w:rsidR="007D285C">
        <w:rPr>
          <w:i/>
        </w:rPr>
        <w:t xml:space="preserve">, </w:t>
      </w:r>
      <w:r w:rsidR="007D285C" w:rsidRPr="00F3455C">
        <w:rPr>
          <w:i/>
        </w:rPr>
        <w:t>Power and Powerlessness in Jewish History (1986)</w:t>
      </w:r>
      <w:r w:rsidR="007D285C">
        <w:rPr>
          <w:i/>
        </w:rPr>
        <w:t xml:space="preserve">; </w:t>
      </w:r>
      <w:r w:rsidR="007F6723">
        <w:rPr>
          <w:i/>
        </w:rPr>
        <w:t xml:space="preserve">John G. </w:t>
      </w:r>
      <w:proofErr w:type="spellStart"/>
      <w:r w:rsidR="007F6723">
        <w:rPr>
          <w:i/>
        </w:rPr>
        <w:t>Gager</w:t>
      </w:r>
      <w:proofErr w:type="spellEnd"/>
      <w:r w:rsidR="007F6723">
        <w:rPr>
          <w:i/>
        </w:rPr>
        <w:t xml:space="preserve">, </w:t>
      </w:r>
      <w:r w:rsidR="007F6723" w:rsidRPr="007F6723">
        <w:rPr>
          <w:rFonts w:eastAsia="Times New Roman"/>
          <w:i/>
          <w:color w:val="000000"/>
        </w:rPr>
        <w:t>The Origins of Anti-Semitism: Attitudes Toward Judaism in Pagan and Christian Antiquity (1983</w:t>
      </w:r>
      <w:r w:rsidR="003352EE">
        <w:rPr>
          <w:rFonts w:eastAsia="Times New Roman"/>
          <w:i/>
          <w:color w:val="000000"/>
        </w:rPr>
        <w:t xml:space="preserve">); </w:t>
      </w:r>
      <w:r w:rsidR="00E36EFC">
        <w:rPr>
          <w:rFonts w:eastAsia="Times New Roman"/>
          <w:i/>
          <w:color w:val="000000"/>
        </w:rPr>
        <w:t xml:space="preserve">Sander L. Gilman, </w:t>
      </w:r>
      <w:proofErr w:type="spellStart"/>
      <w:r w:rsidR="00E36EFC" w:rsidRPr="00B235DE">
        <w:rPr>
          <w:rFonts w:eastAsia="Times New Roman"/>
          <w:i/>
          <w:color w:val="000000"/>
        </w:rPr>
        <w:t>SmartJews</w:t>
      </w:r>
      <w:proofErr w:type="spellEnd"/>
      <w:r w:rsidR="00E36EFC" w:rsidRPr="00B235DE">
        <w:rPr>
          <w:rFonts w:eastAsia="Times New Roman"/>
          <w:i/>
          <w:color w:val="000000"/>
        </w:rPr>
        <w:t>: The Construction of Jewish Superior Intelligence</w:t>
      </w:r>
      <w:r w:rsidR="00B235DE" w:rsidRPr="00B235DE">
        <w:rPr>
          <w:rFonts w:eastAsia="Times New Roman"/>
          <w:i/>
          <w:color w:val="000000"/>
        </w:rPr>
        <w:t xml:space="preserve"> (1997)</w:t>
      </w:r>
      <w:r w:rsidR="00FF25D1">
        <w:rPr>
          <w:rFonts w:eastAsia="Times New Roman"/>
          <w:i/>
          <w:color w:val="000000"/>
        </w:rPr>
        <w:t>;</w:t>
      </w:r>
      <w:r w:rsidR="00B235DE" w:rsidRPr="00B235DE">
        <w:rPr>
          <w:rFonts w:eastAsia="Times New Roman"/>
          <w:i/>
          <w:color w:val="000000"/>
        </w:rPr>
        <w:t xml:space="preserve"> </w:t>
      </w:r>
      <w:r w:rsidR="000560A2">
        <w:rPr>
          <w:rFonts w:eastAsia="Times New Roman"/>
          <w:i/>
          <w:color w:val="000000"/>
        </w:rPr>
        <w:t xml:space="preserve">Paul </w:t>
      </w:r>
      <w:proofErr w:type="spellStart"/>
      <w:r w:rsidR="000560A2">
        <w:rPr>
          <w:rFonts w:eastAsia="Times New Roman"/>
          <w:i/>
          <w:color w:val="000000"/>
        </w:rPr>
        <w:t>Hanebrink</w:t>
      </w:r>
      <w:proofErr w:type="spellEnd"/>
      <w:r w:rsidR="000560A2">
        <w:rPr>
          <w:rFonts w:eastAsia="Times New Roman"/>
          <w:i/>
          <w:color w:val="000000"/>
        </w:rPr>
        <w:t xml:space="preserve">, A Specter Haunting Europe (2018); </w:t>
      </w:r>
      <w:r w:rsidR="0063202A">
        <w:rPr>
          <w:i/>
        </w:rPr>
        <w:t xml:space="preserve">Naomi Seidman, Carnal Knowledge: Sex and the Body in Jewish Studies (1994); </w:t>
      </w:r>
      <w:r w:rsidR="003F2E7A" w:rsidRPr="00FF5219">
        <w:rPr>
          <w:i/>
          <w:highlight w:val="yellow"/>
        </w:rPr>
        <w:t xml:space="preserve">Barry Scott </w:t>
      </w:r>
      <w:proofErr w:type="spellStart"/>
      <w:r w:rsidR="003F2E7A" w:rsidRPr="00FF5219">
        <w:rPr>
          <w:i/>
          <w:highlight w:val="yellow"/>
        </w:rPr>
        <w:t>Wimpfheimer</w:t>
      </w:r>
      <w:proofErr w:type="spellEnd"/>
      <w:r w:rsidR="003F2E7A" w:rsidRPr="00FF5219">
        <w:rPr>
          <w:i/>
          <w:highlight w:val="yellow"/>
        </w:rPr>
        <w:t>, The Talmud: A Biography (2018</w:t>
      </w:r>
      <w:r w:rsidR="00CC264E">
        <w:rPr>
          <w:i/>
        </w:rPr>
        <w:t>)</w:t>
      </w:r>
    </w:p>
    <w:p w14:paraId="45429DCB" w14:textId="77777777" w:rsidR="0042133E" w:rsidRDefault="0042133E" w:rsidP="00C6155D">
      <w:pPr>
        <w:ind w:left="2160" w:hanging="2160"/>
        <w:rPr>
          <w:b/>
        </w:rPr>
      </w:pPr>
      <w:r>
        <w:rPr>
          <w:b/>
        </w:rPr>
        <w:t>Class</w:t>
      </w:r>
      <w:r w:rsidR="007718CD">
        <w:rPr>
          <w:b/>
        </w:rPr>
        <w:t>es 4-</w:t>
      </w:r>
      <w:r w:rsidR="00D8210D">
        <w:rPr>
          <w:b/>
        </w:rPr>
        <w:t>6</w:t>
      </w:r>
      <w:r>
        <w:rPr>
          <w:b/>
        </w:rPr>
        <w:t>:</w:t>
      </w:r>
      <w:r w:rsidR="007718CD">
        <w:rPr>
          <w:b/>
        </w:rPr>
        <w:tab/>
      </w:r>
      <w:r w:rsidR="00C6155D">
        <w:rPr>
          <w:b/>
        </w:rPr>
        <w:t xml:space="preserve">Theorizing </w:t>
      </w:r>
      <w:r w:rsidR="00C6155D" w:rsidRPr="00C6155D">
        <w:rPr>
          <w:b/>
        </w:rPr>
        <w:t>Antisemitism</w:t>
      </w:r>
      <w:r w:rsidR="00154D65">
        <w:rPr>
          <w:b/>
        </w:rPr>
        <w:t xml:space="preserve"> Part 1: </w:t>
      </w:r>
      <w:r w:rsidR="00C6155D">
        <w:rPr>
          <w:b/>
        </w:rPr>
        <w:t xml:space="preserve"> continuity/discontinuity; Holocaust-centricity </w:t>
      </w:r>
    </w:p>
    <w:p w14:paraId="27AC551B" w14:textId="77777777" w:rsidR="00105B31" w:rsidRDefault="00EC5954" w:rsidP="00AB7E3D">
      <w:pPr>
        <w:ind w:left="2160" w:hanging="2160"/>
        <w:rPr>
          <w:i/>
        </w:rPr>
      </w:pPr>
      <w:r>
        <w:rPr>
          <w:b/>
        </w:rPr>
        <w:tab/>
      </w:r>
      <w:r>
        <w:rPr>
          <w:i/>
        </w:rPr>
        <w:t>Hanna</w:t>
      </w:r>
      <w:r w:rsidR="005523A7">
        <w:rPr>
          <w:i/>
        </w:rPr>
        <w:t>h</w:t>
      </w:r>
      <w:r>
        <w:rPr>
          <w:i/>
        </w:rPr>
        <w:t xml:space="preserve"> Arendt, The Origins of Totalitarianism</w:t>
      </w:r>
      <w:r w:rsidR="008801F5">
        <w:rPr>
          <w:i/>
        </w:rPr>
        <w:t xml:space="preserve"> (1948)</w:t>
      </w:r>
      <w:r>
        <w:rPr>
          <w:i/>
        </w:rPr>
        <w:t xml:space="preserve">; </w:t>
      </w:r>
      <w:r w:rsidR="000A40B2" w:rsidRPr="006B4385">
        <w:rPr>
          <w:i/>
        </w:rPr>
        <w:t xml:space="preserve">Steven </w:t>
      </w:r>
      <w:proofErr w:type="spellStart"/>
      <w:r w:rsidR="000A40B2" w:rsidRPr="006B4385">
        <w:rPr>
          <w:i/>
        </w:rPr>
        <w:t>Beller</w:t>
      </w:r>
      <w:proofErr w:type="spellEnd"/>
      <w:r w:rsidR="000A40B2" w:rsidRPr="006B4385">
        <w:rPr>
          <w:i/>
        </w:rPr>
        <w:t>, “Pride and Prejudice” or “Sense and Sensibility”? How Reasonable was Anti-Semitism in Vienna, 1889-1939 (1997);</w:t>
      </w:r>
      <w:r w:rsidR="000A40B2">
        <w:t xml:space="preserve"> </w:t>
      </w:r>
      <w:r w:rsidR="000560A2">
        <w:rPr>
          <w:i/>
        </w:rPr>
        <w:t xml:space="preserve">Elissa </w:t>
      </w:r>
      <w:proofErr w:type="spellStart"/>
      <w:r w:rsidR="000560A2">
        <w:rPr>
          <w:i/>
        </w:rPr>
        <w:t>Bemporad</w:t>
      </w:r>
      <w:proofErr w:type="spellEnd"/>
      <w:r w:rsidR="000560A2">
        <w:rPr>
          <w:i/>
        </w:rPr>
        <w:t xml:space="preserve">, Empowerment, Defiance, and Demise: Jews and the Blood Libel Specter Under Stalinism (2012); </w:t>
      </w:r>
      <w:r w:rsidR="006B4385" w:rsidRPr="006D53E4">
        <w:rPr>
          <w:i/>
        </w:rPr>
        <w:t>David Engel, Away from a Definition of Antisemitism: An Essay in the Semantics of Historical Description</w:t>
      </w:r>
      <w:r w:rsidR="006B4385">
        <w:rPr>
          <w:i/>
        </w:rPr>
        <w:t xml:space="preserve"> (2009)</w:t>
      </w:r>
      <w:r w:rsidR="006B4385">
        <w:rPr>
          <w:b/>
        </w:rPr>
        <w:t>;</w:t>
      </w:r>
      <w:r w:rsidR="006B4385" w:rsidRPr="003B62D1">
        <w:rPr>
          <w:b/>
        </w:rPr>
        <w:t xml:space="preserve"> </w:t>
      </w:r>
      <w:r w:rsidR="00CC264E">
        <w:rPr>
          <w:i/>
        </w:rPr>
        <w:t>David Engel, What’s in a Pogrom?</w:t>
      </w:r>
      <w:r w:rsidR="00D8210D">
        <w:rPr>
          <w:i/>
        </w:rPr>
        <w:t xml:space="preserve"> (2011)</w:t>
      </w:r>
      <w:r w:rsidR="00CC264E">
        <w:rPr>
          <w:i/>
        </w:rPr>
        <w:t xml:space="preserve">; </w:t>
      </w:r>
      <w:r w:rsidRPr="00FF5219">
        <w:rPr>
          <w:i/>
          <w:highlight w:val="yellow"/>
        </w:rPr>
        <w:t>Gavin Langmuir, Toward a Definition of Antisemitism</w:t>
      </w:r>
      <w:r w:rsidR="0013330C" w:rsidRPr="00FF5219">
        <w:rPr>
          <w:i/>
          <w:highlight w:val="yellow"/>
        </w:rPr>
        <w:t xml:space="preserve"> (1996)</w:t>
      </w:r>
      <w:r w:rsidRPr="00FF5219">
        <w:rPr>
          <w:i/>
          <w:highlight w:val="yellow"/>
        </w:rPr>
        <w:t>;</w:t>
      </w:r>
      <w:r>
        <w:rPr>
          <w:i/>
        </w:rPr>
        <w:t xml:space="preserve"> </w:t>
      </w:r>
      <w:r w:rsidR="000560A2">
        <w:rPr>
          <w:i/>
        </w:rPr>
        <w:t xml:space="preserve">Benjamin Nathans, Beyond the Pale: The Jewish Encounter with Law in Imperial Russia (2002); </w:t>
      </w:r>
      <w:r w:rsidR="000A40B2" w:rsidRPr="00962CC8">
        <w:rPr>
          <w:i/>
        </w:rPr>
        <w:t>David</w:t>
      </w:r>
      <w:r w:rsidR="000A40B2">
        <w:rPr>
          <w:i/>
        </w:rPr>
        <w:t xml:space="preserve"> Nirenberg, Communities of Violence: Persecution of Minorities in the Middle Ages (1996); </w:t>
      </w:r>
      <w:r w:rsidR="006F70B1">
        <w:rPr>
          <w:i/>
        </w:rPr>
        <w:t xml:space="preserve">David Nirenberg, Anti-Judaism: The Western Tradition (2013); </w:t>
      </w:r>
      <w:r w:rsidR="00D57769">
        <w:rPr>
          <w:i/>
        </w:rPr>
        <w:t>Jean-Paul Sartre, Anti-Semite and Jew</w:t>
      </w:r>
      <w:r w:rsidR="0013330C">
        <w:rPr>
          <w:i/>
        </w:rPr>
        <w:t xml:space="preserve"> (1948</w:t>
      </w:r>
      <w:r w:rsidR="000D7AE4">
        <w:rPr>
          <w:i/>
        </w:rPr>
        <w:t>)</w:t>
      </w:r>
      <w:r w:rsidR="000A40B2">
        <w:rPr>
          <w:i/>
        </w:rPr>
        <w:t xml:space="preserve">; Adam Teller, Revisiting Baron’s “Lachrymose Conception”: The Meanings of Violence in Jewish History (2014); </w:t>
      </w:r>
      <w:r w:rsidR="00D8210D">
        <w:rPr>
          <w:i/>
        </w:rPr>
        <w:t xml:space="preserve">Scott </w:t>
      </w:r>
      <w:proofErr w:type="spellStart"/>
      <w:r w:rsidR="00D8210D">
        <w:rPr>
          <w:i/>
        </w:rPr>
        <w:t>Ury</w:t>
      </w:r>
      <w:proofErr w:type="spellEnd"/>
      <w:r w:rsidR="00D8210D">
        <w:rPr>
          <w:i/>
        </w:rPr>
        <w:t xml:space="preserve"> &amp; G. </w:t>
      </w:r>
      <w:proofErr w:type="spellStart"/>
      <w:r w:rsidR="00D8210D">
        <w:rPr>
          <w:i/>
        </w:rPr>
        <w:t>Miron</w:t>
      </w:r>
      <w:proofErr w:type="spellEnd"/>
      <w:r w:rsidR="00D8210D">
        <w:rPr>
          <w:i/>
        </w:rPr>
        <w:t xml:space="preserve">, eds., Antisemitism and the Politics of History (2023); </w:t>
      </w:r>
      <w:proofErr w:type="spellStart"/>
      <w:r w:rsidR="00842B1D">
        <w:rPr>
          <w:i/>
        </w:rPr>
        <w:t>Shulamit</w:t>
      </w:r>
      <w:proofErr w:type="spellEnd"/>
      <w:r w:rsidR="00842B1D">
        <w:rPr>
          <w:i/>
        </w:rPr>
        <w:t xml:space="preserve"> Volkov</w:t>
      </w:r>
      <w:r w:rsidR="006D53E4">
        <w:rPr>
          <w:i/>
        </w:rPr>
        <w:t xml:space="preserve"> (various); excerpts on the work of the Frankfurt School</w:t>
      </w:r>
      <w:r w:rsidR="00697E9D">
        <w:rPr>
          <w:i/>
        </w:rPr>
        <w:t xml:space="preserve"> </w:t>
      </w:r>
    </w:p>
    <w:p w14:paraId="1949B6EA" w14:textId="77777777" w:rsidR="007D4073" w:rsidRDefault="007D4073" w:rsidP="007D4073">
      <w:pPr>
        <w:ind w:left="1440" w:hanging="1440"/>
        <w:rPr>
          <w:b/>
        </w:rPr>
      </w:pPr>
      <w:r>
        <w:rPr>
          <w:b/>
        </w:rPr>
        <w:tab/>
      </w:r>
      <w:r w:rsidR="007718CD">
        <w:rPr>
          <w:b/>
        </w:rPr>
        <w:tab/>
      </w:r>
      <w:r w:rsidR="00154D65">
        <w:rPr>
          <w:b/>
        </w:rPr>
        <w:t xml:space="preserve">Theorizing Antisemitism Part 2:  </w:t>
      </w:r>
      <w:r w:rsidRPr="00FF5219">
        <w:rPr>
          <w:b/>
          <w:highlight w:val="yellow"/>
        </w:rPr>
        <w:t>Jewish agency</w:t>
      </w:r>
      <w:r w:rsidR="00C6155D" w:rsidRPr="00FF5219">
        <w:rPr>
          <w:b/>
          <w:highlight w:val="yellow"/>
        </w:rPr>
        <w:t>,</w:t>
      </w:r>
      <w:r w:rsidRPr="00FF5219">
        <w:rPr>
          <w:b/>
          <w:highlight w:val="yellow"/>
        </w:rPr>
        <w:t xml:space="preserve"> Jewish response</w:t>
      </w:r>
    </w:p>
    <w:p w14:paraId="3BFAFB23" w14:textId="77777777" w:rsidR="00154D65" w:rsidRDefault="007D4073" w:rsidP="007D4073">
      <w:pPr>
        <w:ind w:left="2160" w:hanging="2160"/>
        <w:rPr>
          <w:i/>
        </w:rPr>
      </w:pPr>
      <w:r>
        <w:rPr>
          <w:i/>
        </w:rPr>
        <w:tab/>
      </w:r>
      <w:r w:rsidR="000560A2">
        <w:rPr>
          <w:i/>
        </w:rPr>
        <w:t xml:space="preserve">Hannah </w:t>
      </w:r>
      <w:r>
        <w:rPr>
          <w:i/>
        </w:rPr>
        <w:t>Arendt</w:t>
      </w:r>
      <w:r w:rsidR="002F5A71">
        <w:rPr>
          <w:i/>
        </w:rPr>
        <w:t xml:space="preserve">, Eichmann in Jerusalem (1963) (and her exchange with Gershom </w:t>
      </w:r>
      <w:proofErr w:type="spellStart"/>
      <w:r w:rsidR="002F5A71">
        <w:rPr>
          <w:i/>
        </w:rPr>
        <w:t>Scholem</w:t>
      </w:r>
      <w:proofErr w:type="spellEnd"/>
      <w:r w:rsidR="002F5A71">
        <w:rPr>
          <w:i/>
        </w:rPr>
        <w:t>)</w:t>
      </w:r>
      <w:r w:rsidR="000560A2">
        <w:rPr>
          <w:i/>
        </w:rPr>
        <w:t>;</w:t>
      </w:r>
      <w:r>
        <w:rPr>
          <w:i/>
        </w:rPr>
        <w:t xml:space="preserve"> Jay Geller, The Other Jewish Question: </w:t>
      </w:r>
      <w:r w:rsidRPr="001451B5">
        <w:rPr>
          <w:i/>
        </w:rPr>
        <w:t>Identifying the Jew and Making Sense of Modernity (2011)</w:t>
      </w:r>
      <w:r>
        <w:rPr>
          <w:i/>
        </w:rPr>
        <w:t xml:space="preserve">; David A. Hollinger, Jewish Intellectuals and the De-Christianization of American Public </w:t>
      </w:r>
      <w:r>
        <w:rPr>
          <w:i/>
        </w:rPr>
        <w:lastRenderedPageBreak/>
        <w:t xml:space="preserve">Culture in the Twentieth Century, in his </w:t>
      </w:r>
      <w:r w:rsidRPr="00E62062">
        <w:rPr>
          <w:i/>
        </w:rPr>
        <w:t>Science, Jews and Secular Culture</w:t>
      </w:r>
      <w:r>
        <w:t xml:space="preserve"> </w:t>
      </w:r>
      <w:r>
        <w:rPr>
          <w:i/>
        </w:rPr>
        <w:t>(1996</w:t>
      </w:r>
      <w:r w:rsidR="0063443C">
        <w:rPr>
          <w:i/>
        </w:rPr>
        <w:t>)</w:t>
      </w:r>
    </w:p>
    <w:p w14:paraId="2681362C" w14:textId="77777777" w:rsidR="00D02D46" w:rsidRDefault="00D02D46" w:rsidP="007D4073">
      <w:pPr>
        <w:ind w:left="2160" w:hanging="2160"/>
        <w:rPr>
          <w:b/>
        </w:rPr>
      </w:pPr>
      <w:r>
        <w:rPr>
          <w:i/>
        </w:rPr>
        <w:tab/>
      </w:r>
      <w:r>
        <w:rPr>
          <w:b/>
        </w:rPr>
        <w:t>Theorizing Antisemitism Part 3:  Jews, Modernity, and Antisemitism</w:t>
      </w:r>
    </w:p>
    <w:p w14:paraId="46080243" w14:textId="77777777" w:rsidR="00D02D46" w:rsidRPr="00D02D46" w:rsidRDefault="00D02D46" w:rsidP="007D4073">
      <w:pPr>
        <w:ind w:left="2160" w:hanging="2160"/>
        <w:rPr>
          <w:i/>
        </w:rPr>
      </w:pPr>
      <w:r>
        <w:rPr>
          <w:b/>
        </w:rPr>
        <w:tab/>
      </w:r>
      <w:r>
        <w:rPr>
          <w:i/>
        </w:rPr>
        <w:t>Readings from list above</w:t>
      </w:r>
    </w:p>
    <w:p w14:paraId="3C4B9ABC" w14:textId="77777777" w:rsidR="0042133E" w:rsidRDefault="0042133E" w:rsidP="00185CEF">
      <w:pPr>
        <w:ind w:left="2160" w:hanging="2160"/>
        <w:rPr>
          <w:b/>
        </w:rPr>
      </w:pPr>
      <w:r>
        <w:rPr>
          <w:b/>
        </w:rPr>
        <w:t xml:space="preserve">Class </w:t>
      </w:r>
      <w:r w:rsidR="007D4073">
        <w:rPr>
          <w:b/>
        </w:rPr>
        <w:t>7</w:t>
      </w:r>
      <w:r>
        <w:rPr>
          <w:b/>
        </w:rPr>
        <w:t>:</w:t>
      </w:r>
      <w:r>
        <w:rPr>
          <w:b/>
        </w:rPr>
        <w:tab/>
        <w:t>A view from the Islamic lands</w:t>
      </w:r>
      <w:r w:rsidR="00654894">
        <w:rPr>
          <w:b/>
        </w:rPr>
        <w:t xml:space="preserve"> (including an introduction to Mizrahi Studies)</w:t>
      </w:r>
    </w:p>
    <w:p w14:paraId="3B7BE255" w14:textId="77777777" w:rsidR="00674741" w:rsidRDefault="0002408E" w:rsidP="00185CEF">
      <w:pPr>
        <w:ind w:left="2160" w:hanging="2160"/>
        <w:rPr>
          <w:i/>
        </w:rPr>
      </w:pPr>
      <w:r>
        <w:rPr>
          <w:b/>
        </w:rPr>
        <w:tab/>
      </w:r>
      <w:r w:rsidR="006B4385">
        <w:rPr>
          <w:i/>
        </w:rPr>
        <w:t xml:space="preserve">Exchange between Mark Cohen and Norman Stillman, Tikkun (1991); </w:t>
      </w:r>
      <w:r w:rsidR="002F5A71" w:rsidRPr="002F5A71">
        <w:rPr>
          <w:i/>
        </w:rPr>
        <w:t>Lieberman &amp; Stillman, Encyclopedia of Jews in the Islamic World</w:t>
      </w:r>
      <w:r w:rsidR="006B4385">
        <w:rPr>
          <w:i/>
        </w:rPr>
        <w:t xml:space="preserve">, </w:t>
      </w:r>
      <w:r w:rsidR="006B4385" w:rsidRPr="002F5A71">
        <w:rPr>
          <w:i/>
        </w:rPr>
        <w:t>Anti-Judaism/Antisemitism/Anti-Zionism</w:t>
      </w:r>
      <w:r w:rsidR="002F5A71" w:rsidRPr="002F5A71">
        <w:rPr>
          <w:i/>
        </w:rPr>
        <w:t xml:space="preserve"> (2014)</w:t>
      </w:r>
      <w:r w:rsidR="002F5A71">
        <w:rPr>
          <w:i/>
        </w:rPr>
        <w:t xml:space="preserve">; </w:t>
      </w:r>
      <w:r w:rsidR="006B4385" w:rsidRPr="00FF5219">
        <w:rPr>
          <w:i/>
          <w:highlight w:val="yellow"/>
        </w:rPr>
        <w:t xml:space="preserve">Jonathan </w:t>
      </w:r>
      <w:proofErr w:type="spellStart"/>
      <w:r w:rsidR="006B4385" w:rsidRPr="00FF5219">
        <w:rPr>
          <w:i/>
          <w:highlight w:val="yellow"/>
        </w:rPr>
        <w:t>Judaken</w:t>
      </w:r>
      <w:proofErr w:type="spellEnd"/>
      <w:r w:rsidR="006B4385" w:rsidRPr="00FF5219">
        <w:rPr>
          <w:i/>
          <w:highlight w:val="yellow"/>
        </w:rPr>
        <w:t>, Introduction to AHR Roundtable, Rethinking Anti-Semitism (2018);</w:t>
      </w:r>
      <w:r w:rsidR="006B4385" w:rsidRPr="002F5A71">
        <w:rPr>
          <w:i/>
        </w:rPr>
        <w:t xml:space="preserve"> </w:t>
      </w:r>
      <w:r w:rsidR="006B4385">
        <w:rPr>
          <w:i/>
        </w:rPr>
        <w:t xml:space="preserve">Aziza </w:t>
      </w:r>
      <w:proofErr w:type="spellStart"/>
      <w:r w:rsidR="006B4385">
        <w:rPr>
          <w:i/>
        </w:rPr>
        <w:t>Khazzoom</w:t>
      </w:r>
      <w:proofErr w:type="spellEnd"/>
      <w:r w:rsidR="006B4385">
        <w:rPr>
          <w:i/>
        </w:rPr>
        <w:t xml:space="preserve">, The Great Chain of Orientalism: Jewish Identity, Stigma Management, and Ethnic Exclusion in Israel (2003); </w:t>
      </w:r>
      <w:proofErr w:type="spellStart"/>
      <w:r w:rsidR="006B4385" w:rsidRPr="002F5A71">
        <w:rPr>
          <w:i/>
        </w:rPr>
        <w:t>Abdelwahab</w:t>
      </w:r>
      <w:proofErr w:type="spellEnd"/>
      <w:r w:rsidR="006B4385" w:rsidRPr="002F5A71">
        <w:rPr>
          <w:i/>
        </w:rPr>
        <w:t xml:space="preserve"> </w:t>
      </w:r>
      <w:proofErr w:type="spellStart"/>
      <w:r w:rsidR="006B4385" w:rsidRPr="002F5A71">
        <w:rPr>
          <w:i/>
        </w:rPr>
        <w:t>Meddeb</w:t>
      </w:r>
      <w:proofErr w:type="spellEnd"/>
      <w:r w:rsidR="006B4385" w:rsidRPr="002F5A71">
        <w:rPr>
          <w:i/>
        </w:rPr>
        <w:t xml:space="preserve"> &amp; Benjamin </w:t>
      </w:r>
      <w:proofErr w:type="spellStart"/>
      <w:r w:rsidR="006B4385" w:rsidRPr="002F5A71">
        <w:rPr>
          <w:i/>
        </w:rPr>
        <w:t>Stora</w:t>
      </w:r>
      <w:proofErr w:type="spellEnd"/>
      <w:r w:rsidR="006B4385" w:rsidRPr="002F5A71">
        <w:rPr>
          <w:i/>
        </w:rPr>
        <w:t xml:space="preserve">, eds., A History of Jewish-Muslim Relations From the Origins to the Present Day (2013); </w:t>
      </w:r>
      <w:r w:rsidR="00234772">
        <w:rPr>
          <w:i/>
        </w:rPr>
        <w:t xml:space="preserve">Daniel J. </w:t>
      </w:r>
      <w:proofErr w:type="spellStart"/>
      <w:r w:rsidR="00234772">
        <w:rPr>
          <w:i/>
        </w:rPr>
        <w:t>Schroeter</w:t>
      </w:r>
      <w:proofErr w:type="spellEnd"/>
      <w:r w:rsidR="00234772">
        <w:rPr>
          <w:i/>
        </w:rPr>
        <w:t>, Islamic Anti-Semitis</w:t>
      </w:r>
      <w:r w:rsidR="00EA1661">
        <w:rPr>
          <w:i/>
        </w:rPr>
        <w:t>m</w:t>
      </w:r>
      <w:r w:rsidR="0063443C">
        <w:rPr>
          <w:i/>
        </w:rPr>
        <w:t xml:space="preserve"> (2018); </w:t>
      </w:r>
      <w:r w:rsidR="00F4487A">
        <w:rPr>
          <w:i/>
        </w:rPr>
        <w:t xml:space="preserve">Ella </w:t>
      </w:r>
      <w:proofErr w:type="spellStart"/>
      <w:r w:rsidR="00F4487A">
        <w:rPr>
          <w:i/>
        </w:rPr>
        <w:t>Shohat</w:t>
      </w:r>
      <w:proofErr w:type="spellEnd"/>
      <w:r w:rsidR="00F4487A">
        <w:rPr>
          <w:i/>
        </w:rPr>
        <w:t>, Taboo Memories, Diasporic Voices (2006)</w:t>
      </w:r>
    </w:p>
    <w:p w14:paraId="1AA6AE06" w14:textId="77777777" w:rsidR="009570DE" w:rsidRDefault="009570DE" w:rsidP="009570DE">
      <w:pPr>
        <w:ind w:left="2160" w:hanging="2160"/>
        <w:rPr>
          <w:b/>
        </w:rPr>
      </w:pPr>
      <w:r>
        <w:rPr>
          <w:b/>
        </w:rPr>
        <w:t>Class 8</w:t>
      </w:r>
      <w:r w:rsidR="007718CD">
        <w:rPr>
          <w:b/>
        </w:rPr>
        <w:t>:</w:t>
      </w:r>
      <w:r>
        <w:rPr>
          <w:b/>
        </w:rPr>
        <w:tab/>
        <w:t xml:space="preserve">Jewish Questions </w:t>
      </w:r>
      <w:r w:rsidR="002A4737">
        <w:rPr>
          <w:b/>
        </w:rPr>
        <w:t xml:space="preserve">and </w:t>
      </w:r>
      <w:r>
        <w:rPr>
          <w:b/>
        </w:rPr>
        <w:t>the Contemporary Right</w:t>
      </w:r>
    </w:p>
    <w:p w14:paraId="076ED92D" w14:textId="77777777" w:rsidR="006211EA" w:rsidRPr="002F5A71" w:rsidRDefault="009570DE" w:rsidP="0063443C">
      <w:pPr>
        <w:tabs>
          <w:tab w:val="left" w:pos="1304"/>
        </w:tabs>
        <w:ind w:left="2160" w:hanging="2160"/>
        <w:rPr>
          <w:i/>
        </w:rPr>
      </w:pPr>
      <w:r>
        <w:rPr>
          <w:i/>
        </w:rPr>
        <w:tab/>
      </w:r>
      <w:r w:rsidR="002F5A71">
        <w:rPr>
          <w:i/>
        </w:rPr>
        <w:tab/>
      </w:r>
      <w:r w:rsidRPr="00C830EC">
        <w:rPr>
          <w:i/>
        </w:rPr>
        <w:t>Thomas Milan Konda, Conspiracies of Conspiracies: How Delusions Have Overrun America (2019)</w:t>
      </w:r>
      <w:r>
        <w:rPr>
          <w:i/>
        </w:rPr>
        <w:t xml:space="preserve">; </w:t>
      </w:r>
      <w:r w:rsidRPr="00FF5219">
        <w:rPr>
          <w:i/>
          <w:highlight w:val="yellow"/>
        </w:rPr>
        <w:t xml:space="preserve">Deborah E. Lipstadt, Expert Report in Sines v. Kessler (WD </w:t>
      </w:r>
      <w:proofErr w:type="spellStart"/>
      <w:r w:rsidRPr="00FF5219">
        <w:rPr>
          <w:i/>
          <w:highlight w:val="yellow"/>
        </w:rPr>
        <w:t>Va</w:t>
      </w:r>
      <w:proofErr w:type="spellEnd"/>
      <w:r w:rsidRPr="00FF5219">
        <w:rPr>
          <w:i/>
          <w:highlight w:val="yellow"/>
        </w:rPr>
        <w:t xml:space="preserve"> 2020)</w:t>
      </w:r>
      <w:r>
        <w:rPr>
          <w:i/>
        </w:rPr>
        <w:t xml:space="preserve">; </w:t>
      </w:r>
      <w:r w:rsidR="002F5A71" w:rsidRPr="002F5A71">
        <w:rPr>
          <w:i/>
        </w:rPr>
        <w:t xml:space="preserve">Lars </w:t>
      </w:r>
      <w:proofErr w:type="spellStart"/>
      <w:r w:rsidR="002F5A71" w:rsidRPr="002F5A71">
        <w:rPr>
          <w:i/>
        </w:rPr>
        <w:t>Rensmann</w:t>
      </w:r>
      <w:proofErr w:type="spellEnd"/>
      <w:r w:rsidR="002F5A71" w:rsidRPr="002F5A71">
        <w:rPr>
          <w:i/>
        </w:rPr>
        <w:t xml:space="preserve"> &amp; Julius H. </w:t>
      </w:r>
      <w:proofErr w:type="spellStart"/>
      <w:r w:rsidR="002F5A71" w:rsidRPr="002F5A71">
        <w:rPr>
          <w:i/>
        </w:rPr>
        <w:t>Schoeps</w:t>
      </w:r>
      <w:proofErr w:type="spellEnd"/>
      <w:r w:rsidR="002F5A71" w:rsidRPr="002F5A71">
        <w:rPr>
          <w:i/>
        </w:rPr>
        <w:t>, Politics and Resentment: Examining Antisemitism and Counter-Cosmopolitanism in the European Union and Beyond</w:t>
      </w:r>
      <w:r w:rsidR="0063443C">
        <w:rPr>
          <w:i/>
        </w:rPr>
        <w:t xml:space="preserve"> (2010)</w:t>
      </w:r>
      <w:r w:rsidR="002F5A71">
        <w:t>;</w:t>
      </w:r>
      <w:r w:rsidR="002F5A71">
        <w:rPr>
          <w:i/>
        </w:rPr>
        <w:t xml:space="preserve"> </w:t>
      </w:r>
      <w:r w:rsidRPr="00C830EC">
        <w:rPr>
          <w:i/>
        </w:rPr>
        <w:t xml:space="preserve">Joshua </w:t>
      </w:r>
      <w:proofErr w:type="spellStart"/>
      <w:r w:rsidRPr="00C830EC">
        <w:rPr>
          <w:i/>
        </w:rPr>
        <w:t>Shanes</w:t>
      </w:r>
      <w:proofErr w:type="spellEnd"/>
      <w:r w:rsidRPr="00C830EC">
        <w:rPr>
          <w:i/>
        </w:rPr>
        <w:t xml:space="preserve">, Netanyahu, </w:t>
      </w:r>
      <w:proofErr w:type="spellStart"/>
      <w:r w:rsidRPr="00C830EC">
        <w:rPr>
          <w:i/>
        </w:rPr>
        <w:t>Orbán</w:t>
      </w:r>
      <w:proofErr w:type="spellEnd"/>
      <w:r w:rsidRPr="00C830EC">
        <w:rPr>
          <w:i/>
        </w:rPr>
        <w:t>, and the Resurgence of Antisemitism: Lessons of the Last Century (2019)</w:t>
      </w:r>
      <w:r w:rsidR="002F5A71">
        <w:rPr>
          <w:i/>
        </w:rPr>
        <w:t xml:space="preserve">; </w:t>
      </w:r>
      <w:proofErr w:type="spellStart"/>
      <w:r w:rsidR="002F5A71" w:rsidRPr="002F5A71">
        <w:rPr>
          <w:i/>
        </w:rPr>
        <w:t>Dov</w:t>
      </w:r>
      <w:proofErr w:type="spellEnd"/>
      <w:r w:rsidR="002F5A71" w:rsidRPr="002F5A71">
        <w:rPr>
          <w:i/>
        </w:rPr>
        <w:t xml:space="preserve"> Waxman, et al., Arguing about antisemitism: why we disagree about antisemitism, and what we can do about it (2022)</w:t>
      </w:r>
      <w:r w:rsidR="002F5A71">
        <w:rPr>
          <w:i/>
        </w:rPr>
        <w:t xml:space="preserve">; </w:t>
      </w:r>
      <w:r w:rsidR="002F5A71" w:rsidRPr="002F5A71">
        <w:rPr>
          <w:i/>
        </w:rPr>
        <w:t>Robert S. Wistrich, Introduction: Lying About the Holocaust</w:t>
      </w:r>
      <w:r w:rsidR="0063443C">
        <w:rPr>
          <w:i/>
        </w:rPr>
        <w:t xml:space="preserve"> (2012)</w:t>
      </w:r>
      <w:r w:rsidR="002F5A71">
        <w:rPr>
          <w:i/>
        </w:rPr>
        <w:t xml:space="preserve">; </w:t>
      </w:r>
      <w:r w:rsidR="002F5A71" w:rsidRPr="002F5A71">
        <w:rPr>
          <w:i/>
        </w:rPr>
        <w:t xml:space="preserve">Ruth </w:t>
      </w:r>
      <w:proofErr w:type="spellStart"/>
      <w:r w:rsidR="002F5A71" w:rsidRPr="002F5A71">
        <w:rPr>
          <w:i/>
        </w:rPr>
        <w:t>Wodak</w:t>
      </w:r>
      <w:proofErr w:type="spellEnd"/>
      <w:r w:rsidR="002F5A71" w:rsidRPr="002F5A71">
        <w:rPr>
          <w:i/>
        </w:rPr>
        <w:t>, The Radical Right and Antisemitism</w:t>
      </w:r>
      <w:r w:rsidR="0063443C">
        <w:rPr>
          <w:i/>
        </w:rPr>
        <w:t xml:space="preserve"> (2018)</w:t>
      </w:r>
    </w:p>
    <w:p w14:paraId="428E4147" w14:textId="77777777" w:rsidR="004A482B" w:rsidRDefault="0042133E" w:rsidP="00D32353">
      <w:pPr>
        <w:ind w:left="2160" w:hanging="2160"/>
        <w:rPr>
          <w:b/>
        </w:rPr>
      </w:pPr>
      <w:r>
        <w:rPr>
          <w:b/>
        </w:rPr>
        <w:t>Class</w:t>
      </w:r>
      <w:r w:rsidR="00D32353">
        <w:rPr>
          <w:b/>
        </w:rPr>
        <w:t>es</w:t>
      </w:r>
      <w:r>
        <w:rPr>
          <w:b/>
        </w:rPr>
        <w:t xml:space="preserve"> </w:t>
      </w:r>
      <w:r w:rsidR="00C631DD">
        <w:rPr>
          <w:b/>
        </w:rPr>
        <w:t>9</w:t>
      </w:r>
      <w:r w:rsidR="00D32353">
        <w:rPr>
          <w:b/>
        </w:rPr>
        <w:t>-10</w:t>
      </w:r>
      <w:r>
        <w:rPr>
          <w:b/>
        </w:rPr>
        <w:t>:</w:t>
      </w:r>
      <w:r>
        <w:rPr>
          <w:b/>
        </w:rPr>
        <w:tab/>
      </w:r>
      <w:r w:rsidR="001A7A7B">
        <w:rPr>
          <w:b/>
        </w:rPr>
        <w:t xml:space="preserve">Jewish Questions </w:t>
      </w:r>
      <w:r w:rsidR="002A4737">
        <w:rPr>
          <w:b/>
        </w:rPr>
        <w:t xml:space="preserve">and the </w:t>
      </w:r>
      <w:r w:rsidR="001A7A7B">
        <w:rPr>
          <w:b/>
        </w:rPr>
        <w:t>Contemporary Left</w:t>
      </w:r>
    </w:p>
    <w:p w14:paraId="666B27E4" w14:textId="77777777" w:rsidR="00D32353" w:rsidRDefault="00D32353" w:rsidP="00D32353">
      <w:pPr>
        <w:ind w:left="2160" w:hanging="2160"/>
        <w:rPr>
          <w:b/>
        </w:rPr>
      </w:pPr>
      <w:r>
        <w:rPr>
          <w:b/>
        </w:rPr>
        <w:tab/>
        <w:t>(note: our dual emphasis will be on black-Jewish relations and the question of anti-Zionism-as-antisemitism)</w:t>
      </w:r>
    </w:p>
    <w:p w14:paraId="37E653A2" w14:textId="77777777" w:rsidR="004A482B" w:rsidRDefault="001A7A7B" w:rsidP="001A7A7B">
      <w:pPr>
        <w:ind w:left="2160" w:hanging="2160"/>
        <w:rPr>
          <w:i/>
        </w:rPr>
      </w:pPr>
      <w:r>
        <w:rPr>
          <w:b/>
        </w:rPr>
        <w:tab/>
      </w:r>
      <w:proofErr w:type="spellStart"/>
      <w:r w:rsidR="00253D4B" w:rsidRPr="00253D4B">
        <w:rPr>
          <w:i/>
        </w:rPr>
        <w:t>Sina</w:t>
      </w:r>
      <w:proofErr w:type="spellEnd"/>
      <w:r w:rsidR="00253D4B" w:rsidRPr="00253D4B">
        <w:rPr>
          <w:i/>
        </w:rPr>
        <w:t xml:space="preserve"> Arnold, From Occupation to Occupy: Antisemitism and the Contemporary American Left (2017, 2022); </w:t>
      </w:r>
      <w:r w:rsidR="0063443C" w:rsidRPr="00253D4B">
        <w:rPr>
          <w:i/>
        </w:rPr>
        <w:t xml:space="preserve">David </w:t>
      </w:r>
      <w:proofErr w:type="spellStart"/>
      <w:r w:rsidR="0063443C" w:rsidRPr="00253D4B">
        <w:rPr>
          <w:i/>
        </w:rPr>
        <w:t>Baddiel</w:t>
      </w:r>
      <w:proofErr w:type="spellEnd"/>
      <w:r w:rsidR="0063443C" w:rsidRPr="00253D4B">
        <w:rPr>
          <w:i/>
        </w:rPr>
        <w:t>, Jews Don’t Count (2021)</w:t>
      </w:r>
      <w:r w:rsidRPr="00253D4B">
        <w:rPr>
          <w:i/>
        </w:rPr>
        <w:t xml:space="preserve">; </w:t>
      </w:r>
      <w:r w:rsidR="00FC739F">
        <w:rPr>
          <w:i/>
        </w:rPr>
        <w:t xml:space="preserve">James Baldwin, Negroes are Anti-Semitic Because They’re Anti-White (1967); </w:t>
      </w:r>
      <w:r w:rsidR="00253D4B" w:rsidRPr="00253D4B">
        <w:rPr>
          <w:i/>
        </w:rPr>
        <w:t>Bryan Cheyette, Postcolonialism and the Study of Anti-</w:t>
      </w:r>
      <w:r w:rsidR="00253D4B" w:rsidRPr="00253D4B">
        <w:rPr>
          <w:i/>
        </w:rPr>
        <w:lastRenderedPageBreak/>
        <w:t xml:space="preserve">Semitism (2018); </w:t>
      </w:r>
      <w:r w:rsidR="00FC739F" w:rsidRPr="00384468">
        <w:rPr>
          <w:i/>
          <w:highlight w:val="yellow"/>
        </w:rPr>
        <w:t>Jack Greenberg, Crusader in the Courts (1994</w:t>
      </w:r>
      <w:r w:rsidR="00FC739F">
        <w:rPr>
          <w:i/>
        </w:rPr>
        <w:t xml:space="preserve">); </w:t>
      </w:r>
      <w:r w:rsidR="00253D4B" w:rsidRPr="00253D4B">
        <w:rPr>
          <w:i/>
        </w:rPr>
        <w:t>Anne Herzberg, NGOs and the New Antisemitism (2013);</w:t>
      </w:r>
      <w:r w:rsidRPr="00253D4B">
        <w:rPr>
          <w:i/>
        </w:rPr>
        <w:t xml:space="preserve"> </w:t>
      </w:r>
      <w:r w:rsidR="00253D4B" w:rsidRPr="00253D4B">
        <w:rPr>
          <w:i/>
        </w:rPr>
        <w:t xml:space="preserve">Jeremy </w:t>
      </w:r>
      <w:proofErr w:type="spellStart"/>
      <w:r w:rsidR="00253D4B" w:rsidRPr="00253D4B">
        <w:rPr>
          <w:i/>
        </w:rPr>
        <w:t>Krikler</w:t>
      </w:r>
      <w:proofErr w:type="spellEnd"/>
      <w:r w:rsidR="00253D4B" w:rsidRPr="00253D4B">
        <w:rPr>
          <w:i/>
        </w:rPr>
        <w:t>, Moral-Historical Questions of the Anti-Israel Boycott (2019);</w:t>
      </w:r>
      <w:r w:rsidR="00FC739F" w:rsidRPr="00FC739F">
        <w:rPr>
          <w:i/>
        </w:rPr>
        <w:t xml:space="preserve"> </w:t>
      </w:r>
      <w:r w:rsidR="00FC739F">
        <w:rPr>
          <w:i/>
        </w:rPr>
        <w:t>Deborah C. Malamud, The Jew Taboo: Jewish Difference and the Affirmative Action Debate (1998</w:t>
      </w:r>
      <w:r w:rsidR="00D8210D">
        <w:rPr>
          <w:i/>
        </w:rPr>
        <w:t>)</w:t>
      </w:r>
      <w:r w:rsidR="00D32353" w:rsidRPr="00253D4B">
        <w:rPr>
          <w:i/>
        </w:rPr>
        <w:t xml:space="preserve">; Yoav </w:t>
      </w:r>
      <w:proofErr w:type="spellStart"/>
      <w:r w:rsidR="00D32353" w:rsidRPr="00253D4B">
        <w:rPr>
          <w:i/>
        </w:rPr>
        <w:t>Peled</w:t>
      </w:r>
      <w:proofErr w:type="spellEnd"/>
      <w:r w:rsidR="00D32353" w:rsidRPr="00253D4B">
        <w:rPr>
          <w:i/>
        </w:rPr>
        <w:t xml:space="preserve">, </w:t>
      </w:r>
      <w:proofErr w:type="spellStart"/>
      <w:r w:rsidR="00D32353" w:rsidRPr="00253D4B">
        <w:rPr>
          <w:i/>
        </w:rPr>
        <w:t>Delegitimation</w:t>
      </w:r>
      <w:proofErr w:type="spellEnd"/>
      <w:r w:rsidR="00D32353" w:rsidRPr="00253D4B">
        <w:rPr>
          <w:i/>
        </w:rPr>
        <w:t xml:space="preserve"> of Israel or Social-Historical Analysis? </w:t>
      </w:r>
      <w:r w:rsidR="004A482B" w:rsidRPr="00253D4B">
        <w:rPr>
          <w:i/>
        </w:rPr>
        <w:t>The Debate Over Zionism as a Colonial-Settler Movement (2017)</w:t>
      </w:r>
      <w:r w:rsidR="004A482B">
        <w:rPr>
          <w:i/>
        </w:rPr>
        <w:t xml:space="preserve">; Jonathan </w:t>
      </w:r>
      <w:proofErr w:type="spellStart"/>
      <w:r w:rsidR="004A482B">
        <w:rPr>
          <w:i/>
        </w:rPr>
        <w:t>Rieder</w:t>
      </w:r>
      <w:proofErr w:type="spellEnd"/>
      <w:r w:rsidR="004A482B">
        <w:rPr>
          <w:i/>
        </w:rPr>
        <w:t xml:space="preserve">, Reflections on Crown Heights (1995); </w:t>
      </w:r>
      <w:r w:rsidR="00313263" w:rsidRPr="00253D4B">
        <w:rPr>
          <w:i/>
        </w:rPr>
        <w:t xml:space="preserve">Esther </w:t>
      </w:r>
      <w:proofErr w:type="spellStart"/>
      <w:r w:rsidR="00313263" w:rsidRPr="00253D4B">
        <w:rPr>
          <w:i/>
        </w:rPr>
        <w:t>Romeyn</w:t>
      </w:r>
      <w:proofErr w:type="spellEnd"/>
      <w:r w:rsidR="00313263" w:rsidRPr="00253D4B">
        <w:rPr>
          <w:i/>
        </w:rPr>
        <w:t>, (Anti)‘New Antisemitism’ as a Transnational Field of Racial Governance (2020)</w:t>
      </w:r>
      <w:r w:rsidR="00E82594" w:rsidRPr="00253D4B">
        <w:rPr>
          <w:i/>
        </w:rPr>
        <w:t>;</w:t>
      </w:r>
      <w:r w:rsidR="000C7F1A" w:rsidRPr="00253D4B">
        <w:rPr>
          <w:i/>
        </w:rPr>
        <w:t xml:space="preserve"> </w:t>
      </w:r>
      <w:r w:rsidR="00253D4B" w:rsidRPr="00253D4B">
        <w:rPr>
          <w:i/>
        </w:rPr>
        <w:t xml:space="preserve">Moishe </w:t>
      </w:r>
      <w:proofErr w:type="spellStart"/>
      <w:r w:rsidR="00253D4B" w:rsidRPr="00253D4B">
        <w:rPr>
          <w:i/>
        </w:rPr>
        <w:t>Postone</w:t>
      </w:r>
      <w:proofErr w:type="spellEnd"/>
      <w:r w:rsidR="00253D4B" w:rsidRPr="00253D4B">
        <w:rPr>
          <w:i/>
        </w:rPr>
        <w:t xml:space="preserve">, History and Helplessness: Mass Mobilization and Contemporary Forms of Anticapitalism (2006); </w:t>
      </w:r>
      <w:proofErr w:type="spellStart"/>
      <w:r w:rsidR="009E595C">
        <w:rPr>
          <w:i/>
        </w:rPr>
        <w:t>Shulamit</w:t>
      </w:r>
      <w:proofErr w:type="spellEnd"/>
      <w:r w:rsidR="009E595C">
        <w:rPr>
          <w:i/>
        </w:rPr>
        <w:t xml:space="preserve"> Volkov, Readjusting Cultural Codes: Reflections on Anti-Zionism and Anti-Semitism</w:t>
      </w:r>
      <w:r w:rsidR="000223B6">
        <w:rPr>
          <w:i/>
        </w:rPr>
        <w:t xml:space="preserve"> (2006)</w:t>
      </w:r>
      <w:r w:rsidR="009E595C">
        <w:rPr>
          <w:i/>
        </w:rPr>
        <w:t xml:space="preserve">; </w:t>
      </w:r>
      <w:r w:rsidR="00FC739F" w:rsidRPr="00D20DC6">
        <w:rPr>
          <w:i/>
        </w:rPr>
        <w:t xml:space="preserve">Michael </w:t>
      </w:r>
      <w:proofErr w:type="spellStart"/>
      <w:r w:rsidR="00FC739F" w:rsidRPr="00D20DC6">
        <w:rPr>
          <w:i/>
        </w:rPr>
        <w:t>Walzer</w:t>
      </w:r>
      <w:proofErr w:type="spellEnd"/>
      <w:r w:rsidR="00FC739F" w:rsidRPr="00D20DC6">
        <w:rPr>
          <w:i/>
        </w:rPr>
        <w:t>, The Strangeness of Jewish Leftism (2017)</w:t>
      </w:r>
      <w:r w:rsidR="00FC739F">
        <w:rPr>
          <w:i/>
        </w:rPr>
        <w:t xml:space="preserve">; </w:t>
      </w:r>
      <w:r w:rsidR="00FC739F" w:rsidRPr="00384468">
        <w:rPr>
          <w:i/>
          <w:highlight w:val="yellow"/>
        </w:rPr>
        <w:t xml:space="preserve">Michael </w:t>
      </w:r>
      <w:proofErr w:type="spellStart"/>
      <w:r w:rsidR="00FC739F" w:rsidRPr="00384468">
        <w:rPr>
          <w:i/>
          <w:highlight w:val="yellow"/>
        </w:rPr>
        <w:t>Walzer</w:t>
      </w:r>
      <w:proofErr w:type="spellEnd"/>
      <w:r w:rsidR="00FC739F" w:rsidRPr="00384468">
        <w:rPr>
          <w:i/>
          <w:highlight w:val="yellow"/>
        </w:rPr>
        <w:t>, Anti-Zionism and Anti-Semitism (2019);</w:t>
      </w:r>
      <w:r w:rsidR="00FC739F">
        <w:rPr>
          <w:i/>
        </w:rPr>
        <w:t xml:space="preserve"> </w:t>
      </w:r>
      <w:r w:rsidR="000C7F1A" w:rsidRPr="00253D4B">
        <w:rPr>
          <w:i/>
        </w:rPr>
        <w:t xml:space="preserve">Elhanan </w:t>
      </w:r>
      <w:proofErr w:type="spellStart"/>
      <w:r w:rsidR="000C7F1A" w:rsidRPr="00253D4B">
        <w:rPr>
          <w:i/>
        </w:rPr>
        <w:t>Yakira</w:t>
      </w:r>
      <w:proofErr w:type="spellEnd"/>
      <w:r w:rsidR="000C7F1A" w:rsidRPr="00253D4B">
        <w:rPr>
          <w:i/>
        </w:rPr>
        <w:t>, Post-Zionism, Post-Holocaust: Three Essays on Denial, Forgetting, and the Del</w:t>
      </w:r>
      <w:r w:rsidR="0043470C" w:rsidRPr="00253D4B">
        <w:rPr>
          <w:i/>
        </w:rPr>
        <w:t>e</w:t>
      </w:r>
      <w:r w:rsidR="000C7F1A" w:rsidRPr="00253D4B">
        <w:rPr>
          <w:i/>
        </w:rPr>
        <w:t>gitimization of Israel (2009)</w:t>
      </w:r>
    </w:p>
    <w:p w14:paraId="1A2346B8" w14:textId="77777777" w:rsidR="001A7A7B" w:rsidRPr="00E06A38" w:rsidRDefault="004A482B" w:rsidP="004A482B">
      <w:pPr>
        <w:ind w:left="2160"/>
        <w:rPr>
          <w:i/>
        </w:rPr>
      </w:pPr>
      <w:r>
        <w:rPr>
          <w:i/>
        </w:rPr>
        <w:t xml:space="preserve">Readings </w:t>
      </w:r>
      <w:r w:rsidR="00904B9A">
        <w:rPr>
          <w:i/>
        </w:rPr>
        <w:t>on October 7/Israel/Gaza TBA</w:t>
      </w:r>
      <w:r w:rsidR="000C7F1A" w:rsidRPr="00253D4B">
        <w:rPr>
          <w:i/>
        </w:rPr>
        <w:t xml:space="preserve"> </w:t>
      </w:r>
      <w:r w:rsidR="00313263">
        <w:rPr>
          <w:i/>
        </w:rPr>
        <w:t xml:space="preserve"> </w:t>
      </w:r>
    </w:p>
    <w:p w14:paraId="565CC4A7" w14:textId="77777777" w:rsidR="002B494D" w:rsidRDefault="0042133E" w:rsidP="003040EE">
      <w:pPr>
        <w:ind w:left="2160" w:hanging="2160"/>
        <w:rPr>
          <w:b/>
        </w:rPr>
      </w:pPr>
      <w:r>
        <w:rPr>
          <w:b/>
        </w:rPr>
        <w:t>Class</w:t>
      </w:r>
      <w:r w:rsidR="00904B9A">
        <w:rPr>
          <w:b/>
        </w:rPr>
        <w:t>es</w:t>
      </w:r>
      <w:r>
        <w:rPr>
          <w:b/>
        </w:rPr>
        <w:t xml:space="preserve"> 11</w:t>
      </w:r>
      <w:r w:rsidR="00904B9A">
        <w:rPr>
          <w:b/>
        </w:rPr>
        <w:t>-1</w:t>
      </w:r>
      <w:r w:rsidR="00D02D46">
        <w:rPr>
          <w:b/>
        </w:rPr>
        <w:t>2</w:t>
      </w:r>
      <w:r>
        <w:rPr>
          <w:b/>
        </w:rPr>
        <w:t>:</w:t>
      </w:r>
      <w:r>
        <w:rPr>
          <w:b/>
        </w:rPr>
        <w:tab/>
      </w:r>
      <w:r w:rsidR="00904B9A">
        <w:rPr>
          <w:b/>
        </w:rPr>
        <w:t>B</w:t>
      </w:r>
      <w:r w:rsidR="00CC264E">
        <w:rPr>
          <w:b/>
        </w:rPr>
        <w:t>efriending Jews</w:t>
      </w:r>
      <w:r w:rsidR="00904B9A">
        <w:rPr>
          <w:b/>
        </w:rPr>
        <w:t xml:space="preserve"> (via law or other means)</w:t>
      </w:r>
    </w:p>
    <w:p w14:paraId="3FF12345" w14:textId="77777777" w:rsidR="00FC739F" w:rsidRDefault="00FC739F" w:rsidP="00FC739F">
      <w:pPr>
        <w:ind w:left="2160"/>
        <w:rPr>
          <w:b/>
        </w:rPr>
      </w:pPr>
      <w:r>
        <w:rPr>
          <w:b/>
        </w:rPr>
        <w:t>A Brief Look at “</w:t>
      </w:r>
      <w:proofErr w:type="spellStart"/>
      <w:r>
        <w:rPr>
          <w:b/>
        </w:rPr>
        <w:t>Philosemitism</w:t>
      </w:r>
      <w:proofErr w:type="spellEnd"/>
      <w:r>
        <w:rPr>
          <w:b/>
        </w:rPr>
        <w:t>(s)”</w:t>
      </w:r>
    </w:p>
    <w:p w14:paraId="20E2D76C" w14:textId="77777777" w:rsidR="00FC739F" w:rsidRDefault="00FC739F" w:rsidP="00FC739F">
      <w:pPr>
        <w:ind w:left="2160"/>
        <w:rPr>
          <w:b/>
        </w:rPr>
      </w:pPr>
      <w:r w:rsidRPr="008D022A">
        <w:rPr>
          <w:i/>
        </w:rPr>
        <w:t>Yaakov Ariel, A Source of Legitimacy: Evangelical Christians and Jews</w:t>
      </w:r>
      <w:r>
        <w:rPr>
          <w:i/>
        </w:rPr>
        <w:t xml:space="preserve"> (2017);</w:t>
      </w:r>
      <w:r w:rsidRPr="008D022A">
        <w:rPr>
          <w:i/>
        </w:rPr>
        <w:t xml:space="preserve"> Dana Horn, People Love Dead Jews: Reports From a Haunted Present (2021)</w:t>
      </w:r>
      <w:r>
        <w:rPr>
          <w:i/>
        </w:rPr>
        <w:t xml:space="preserve"> (and review by Sara Lipton (2022)</w:t>
      </w:r>
      <w:r w:rsidRPr="008D022A">
        <w:rPr>
          <w:i/>
        </w:rPr>
        <w:t xml:space="preserve">; Ruth Ellen Gruber, “Non-Jewish, </w:t>
      </w:r>
      <w:proofErr w:type="spellStart"/>
      <w:r w:rsidRPr="008D022A">
        <w:rPr>
          <w:i/>
        </w:rPr>
        <w:t>Non Kosher</w:t>
      </w:r>
      <w:proofErr w:type="spellEnd"/>
      <w:r w:rsidRPr="008D022A">
        <w:rPr>
          <w:i/>
        </w:rPr>
        <w:t xml:space="preserve">, Yet Also Recommended”: Beyond “Virtually Jewish” </w:t>
      </w:r>
      <w:r>
        <w:rPr>
          <w:i/>
        </w:rPr>
        <w:t xml:space="preserve">(2011); </w:t>
      </w:r>
      <w:r w:rsidRPr="008D022A">
        <w:rPr>
          <w:i/>
        </w:rPr>
        <w:t xml:space="preserve"> Jonathan Karp, Ethnic Role Models and Chosen Peoples: </w:t>
      </w:r>
      <w:proofErr w:type="spellStart"/>
      <w:r w:rsidRPr="008D022A">
        <w:rPr>
          <w:i/>
        </w:rPr>
        <w:t>Philosemitism</w:t>
      </w:r>
      <w:proofErr w:type="spellEnd"/>
      <w:r w:rsidRPr="008D022A">
        <w:rPr>
          <w:i/>
        </w:rPr>
        <w:t xml:space="preserve"> in African American Culture</w:t>
      </w:r>
      <w:r>
        <w:rPr>
          <w:i/>
        </w:rPr>
        <w:t xml:space="preserve"> (2011</w:t>
      </w:r>
      <w:r w:rsidRPr="008D022A">
        <w:rPr>
          <w:i/>
        </w:rPr>
        <w:t>); Simon Rabinovitch, A Jewish “Golden Age” Ends in Spain and Portugal</w:t>
      </w:r>
      <w:r>
        <w:rPr>
          <w:i/>
        </w:rPr>
        <w:t xml:space="preserve"> (2022)</w:t>
      </w:r>
      <w:r w:rsidRPr="008D022A">
        <w:rPr>
          <w:i/>
        </w:rPr>
        <w:t xml:space="preserve"> </w:t>
      </w:r>
    </w:p>
    <w:p w14:paraId="396F1D68" w14:textId="77777777" w:rsidR="002A4737" w:rsidRPr="002A4737" w:rsidRDefault="002A4737" w:rsidP="00904B9A">
      <w:pPr>
        <w:ind w:left="2160" w:hanging="2160"/>
        <w:rPr>
          <w:b/>
        </w:rPr>
      </w:pPr>
      <w:r>
        <w:rPr>
          <w:b/>
        </w:rPr>
        <w:tab/>
      </w:r>
      <w:r w:rsidRPr="002A4737">
        <w:rPr>
          <w:b/>
        </w:rPr>
        <w:t>Legal Strategies (and competing definitions of antisemitism</w:t>
      </w:r>
      <w:r w:rsidR="00904B9A">
        <w:rPr>
          <w:b/>
        </w:rPr>
        <w:t xml:space="preserve"> for possible use in litigation</w:t>
      </w:r>
      <w:r w:rsidRPr="002A4737">
        <w:rPr>
          <w:b/>
        </w:rPr>
        <w:t>)</w:t>
      </w:r>
    </w:p>
    <w:p w14:paraId="76C7EA15" w14:textId="77777777" w:rsidR="002B494D" w:rsidRDefault="003040EE" w:rsidP="002A4737">
      <w:pPr>
        <w:ind w:left="2160" w:hanging="2160"/>
        <w:rPr>
          <w:i/>
        </w:rPr>
      </w:pPr>
      <w:r>
        <w:rPr>
          <w:b/>
        </w:rPr>
        <w:tab/>
      </w:r>
      <w:r w:rsidR="002B494D" w:rsidRPr="00384468">
        <w:rPr>
          <w:i/>
          <w:highlight w:val="yellow"/>
        </w:rPr>
        <w:t xml:space="preserve">Antisemitism Awareness Act (plus </w:t>
      </w:r>
      <w:proofErr w:type="spellStart"/>
      <w:r w:rsidR="002B494D" w:rsidRPr="00384468">
        <w:rPr>
          <w:i/>
          <w:highlight w:val="yellow"/>
        </w:rPr>
        <w:t>Nadell</w:t>
      </w:r>
      <w:proofErr w:type="spellEnd"/>
      <w:r w:rsidR="002B494D" w:rsidRPr="00384468">
        <w:rPr>
          <w:i/>
          <w:highlight w:val="yellow"/>
        </w:rPr>
        <w:t>/</w:t>
      </w:r>
      <w:proofErr w:type="spellStart"/>
      <w:r w:rsidR="002B494D" w:rsidRPr="00384468">
        <w:rPr>
          <w:i/>
          <w:highlight w:val="yellow"/>
        </w:rPr>
        <w:t>Judaken</w:t>
      </w:r>
      <w:proofErr w:type="spellEnd"/>
      <w:r w:rsidR="002B494D" w:rsidRPr="00384468">
        <w:rPr>
          <w:i/>
          <w:highlight w:val="yellow"/>
        </w:rPr>
        <w:t xml:space="preserve"> exchange on the Antisemitism Awareness Act (2021); Arkansas Times v. </w:t>
      </w:r>
      <w:proofErr w:type="spellStart"/>
      <w:r w:rsidR="002B494D" w:rsidRPr="00384468">
        <w:rPr>
          <w:i/>
          <w:highlight w:val="yellow"/>
        </w:rPr>
        <w:t>Waldrip</w:t>
      </w:r>
      <w:proofErr w:type="spellEnd"/>
      <w:r w:rsidR="002B494D" w:rsidRPr="00384468">
        <w:rPr>
          <w:i/>
          <w:highlight w:val="yellow"/>
        </w:rPr>
        <w:t xml:space="preserve">, (CA8 </w:t>
      </w:r>
      <w:proofErr w:type="spellStart"/>
      <w:r w:rsidR="002B494D" w:rsidRPr="00384468">
        <w:rPr>
          <w:i/>
          <w:highlight w:val="yellow"/>
        </w:rPr>
        <w:t>en</w:t>
      </w:r>
      <w:proofErr w:type="spellEnd"/>
      <w:r w:rsidR="002B494D" w:rsidRPr="00384468">
        <w:rPr>
          <w:i/>
          <w:highlight w:val="yellow"/>
        </w:rPr>
        <w:t xml:space="preserve"> banc</w:t>
      </w:r>
      <w:r w:rsidR="008D022A" w:rsidRPr="00384468">
        <w:rPr>
          <w:i/>
          <w:highlight w:val="yellow"/>
        </w:rPr>
        <w:t xml:space="preserve"> </w:t>
      </w:r>
      <w:r w:rsidR="002B494D" w:rsidRPr="00384468">
        <w:rPr>
          <w:i/>
          <w:highlight w:val="yellow"/>
        </w:rPr>
        <w:t>2022)</w:t>
      </w:r>
      <w:r w:rsidR="008D022A" w:rsidRPr="00384468">
        <w:rPr>
          <w:b/>
          <w:highlight w:val="yellow"/>
        </w:rPr>
        <w:t>;</w:t>
      </w:r>
      <w:r w:rsidR="008D022A" w:rsidRPr="00384468">
        <w:rPr>
          <w:i/>
          <w:highlight w:val="yellow"/>
        </w:rPr>
        <w:t xml:space="preserve"> </w:t>
      </w:r>
      <w:r w:rsidR="002B494D" w:rsidRPr="00384468">
        <w:rPr>
          <w:i/>
          <w:highlight w:val="yellow"/>
        </w:rPr>
        <w:t xml:space="preserve">Beauharnais v. Illinois, </w:t>
      </w:r>
      <w:r w:rsidR="008D022A" w:rsidRPr="00384468">
        <w:rPr>
          <w:i/>
          <w:highlight w:val="yellow"/>
        </w:rPr>
        <w:t xml:space="preserve">U.S. </w:t>
      </w:r>
      <w:r w:rsidR="002B494D" w:rsidRPr="00384468">
        <w:rPr>
          <w:i/>
          <w:highlight w:val="yellow"/>
        </w:rPr>
        <w:t>1952)</w:t>
      </w:r>
      <w:r w:rsidR="002B494D" w:rsidRPr="00384468">
        <w:rPr>
          <w:b/>
          <w:highlight w:val="yellow"/>
        </w:rPr>
        <w:t xml:space="preserve">; </w:t>
      </w:r>
      <w:r w:rsidR="002B494D" w:rsidRPr="00384468">
        <w:rPr>
          <w:i/>
          <w:highlight w:val="yellow"/>
        </w:rPr>
        <w:t>Executive Order 13899, Combating Anti-Semitism (2019)</w:t>
      </w:r>
      <w:r w:rsidR="008D022A" w:rsidRPr="00384468">
        <w:rPr>
          <w:i/>
          <w:highlight w:val="yellow"/>
        </w:rPr>
        <w:t xml:space="preserve">; </w:t>
      </w:r>
      <w:r w:rsidR="002B494D" w:rsidRPr="00384468">
        <w:rPr>
          <w:i/>
          <w:highlight w:val="yellow"/>
        </w:rPr>
        <w:t>Fraser v. University and College Union (UK Employment Tribunal 3/22/2013)</w:t>
      </w:r>
      <w:r w:rsidR="008D022A" w:rsidRPr="00384468">
        <w:rPr>
          <w:i/>
          <w:highlight w:val="yellow"/>
        </w:rPr>
        <w:t>;</w:t>
      </w:r>
      <w:r w:rsidR="008D022A" w:rsidRPr="00384468">
        <w:rPr>
          <w:highlight w:val="yellow"/>
        </w:rPr>
        <w:t xml:space="preserve"> </w:t>
      </w:r>
      <w:r w:rsidR="002B494D" w:rsidRPr="00384468">
        <w:rPr>
          <w:i/>
          <w:highlight w:val="yellow"/>
        </w:rPr>
        <w:t xml:space="preserve">Groff. V. </w:t>
      </w:r>
      <w:proofErr w:type="spellStart"/>
      <w:r w:rsidR="002B494D" w:rsidRPr="00384468">
        <w:rPr>
          <w:i/>
          <w:highlight w:val="yellow"/>
        </w:rPr>
        <w:t>Dejoy</w:t>
      </w:r>
      <w:proofErr w:type="spellEnd"/>
      <w:r w:rsidR="00904B9A" w:rsidRPr="00384468">
        <w:rPr>
          <w:i/>
          <w:highlight w:val="yellow"/>
        </w:rPr>
        <w:t xml:space="preserve"> (US 2023)</w:t>
      </w:r>
      <w:r w:rsidR="000B7F77" w:rsidRPr="00384468">
        <w:rPr>
          <w:i/>
          <w:highlight w:val="yellow"/>
        </w:rPr>
        <w:t>;</w:t>
      </w:r>
      <w:r w:rsidR="008D022A" w:rsidRPr="00384468">
        <w:rPr>
          <w:i/>
          <w:highlight w:val="yellow"/>
        </w:rPr>
        <w:t xml:space="preserve"> </w:t>
      </w:r>
      <w:r w:rsidR="002B494D" w:rsidRPr="00384468">
        <w:rPr>
          <w:i/>
          <w:highlight w:val="yellow"/>
        </w:rPr>
        <w:t>Robert A. Kahn, Holocaust Denial and the Law: A Comparative Study (2004); U.S. Department of Education, Office of Civil Rights, Combating Discrimination Against Jewish Students</w:t>
      </w:r>
      <w:r w:rsidR="00904B9A" w:rsidRPr="00384468">
        <w:rPr>
          <w:i/>
          <w:highlight w:val="yellow"/>
        </w:rPr>
        <w:t xml:space="preserve">; </w:t>
      </w:r>
      <w:r w:rsidR="00077F52" w:rsidRPr="00384468">
        <w:rPr>
          <w:i/>
          <w:highlight w:val="yellow"/>
        </w:rPr>
        <w:t xml:space="preserve">White House, US National Strategy for Combatting Antisemitism; </w:t>
      </w:r>
      <w:r w:rsidR="00904B9A" w:rsidRPr="00384468">
        <w:rPr>
          <w:i/>
          <w:highlight w:val="yellow"/>
        </w:rPr>
        <w:t>materials on pending lawsuits TBA</w:t>
      </w:r>
    </w:p>
    <w:p w14:paraId="6E6C1685" w14:textId="77777777" w:rsidR="002A4737" w:rsidRDefault="002A4737" w:rsidP="002A4737">
      <w:pPr>
        <w:ind w:left="2160" w:hanging="2160"/>
        <w:rPr>
          <w:i/>
        </w:rPr>
      </w:pPr>
      <w:r>
        <w:rPr>
          <w:i/>
        </w:rPr>
        <w:lastRenderedPageBreak/>
        <w:tab/>
      </w:r>
      <w:r w:rsidRPr="00384468">
        <w:rPr>
          <w:i/>
          <w:highlight w:val="yellow"/>
        </w:rPr>
        <w:t>Materials on IHRA definition (including European Union adoption materials); Jerusalem Declaration, and Nexus definitions, and AJS Campus Task Force report;  Kenneth L. Marcus, The Definition of Antisemitism (2013)</w:t>
      </w:r>
      <w:r w:rsidRPr="002B494D">
        <w:rPr>
          <w:i/>
        </w:rPr>
        <w:t xml:space="preserve">  </w:t>
      </w:r>
    </w:p>
    <w:p w14:paraId="43A8E5ED" w14:textId="77777777" w:rsidR="00904B9A" w:rsidRDefault="00904B9A" w:rsidP="00904B9A">
      <w:pPr>
        <w:ind w:left="2160"/>
        <w:rPr>
          <w:b/>
        </w:rPr>
      </w:pPr>
      <w:r>
        <w:rPr>
          <w:b/>
        </w:rPr>
        <w:t xml:space="preserve">Jewish Lawyers in America (and a return to questions of </w:t>
      </w:r>
      <w:r w:rsidR="004A482B">
        <w:rPr>
          <w:b/>
        </w:rPr>
        <w:t xml:space="preserve">Jewish agency and </w:t>
      </w:r>
      <w:r>
        <w:rPr>
          <w:b/>
        </w:rPr>
        <w:t>the making of Jewish identity)</w:t>
      </w:r>
    </w:p>
    <w:p w14:paraId="41898772" w14:textId="77777777" w:rsidR="00904B9A" w:rsidRDefault="00904B9A" w:rsidP="00904B9A">
      <w:pPr>
        <w:ind w:left="2160" w:hanging="2160"/>
        <w:rPr>
          <w:i/>
        </w:rPr>
      </w:pPr>
      <w:r>
        <w:tab/>
      </w:r>
      <w:r w:rsidRPr="00384468">
        <w:rPr>
          <w:i/>
          <w:highlight w:val="yellow"/>
        </w:rPr>
        <w:t>Jerold S. Auerbach, Rabbis and Lawyers: The Journey from Torah to Constitution (1990); Ruth Bader Ginsburg, From Benjamin to Brandeis to Breyer: Is There a Jewish Seat? (2002); David A. Hollinger, The “Tough-Minded” Justice Holmes, Jewish Intellectuals, and the Making of an American Icon (1996); Eli Wald, Jewish Lawyers and the U.S. Legal Profession: The End of the Affair?</w:t>
      </w:r>
      <w:r w:rsidR="00D8210D" w:rsidRPr="00384468">
        <w:rPr>
          <w:i/>
          <w:highlight w:val="yellow"/>
        </w:rPr>
        <w:t xml:space="preserve"> </w:t>
      </w:r>
      <w:r w:rsidRPr="00384468">
        <w:rPr>
          <w:i/>
          <w:highlight w:val="yellow"/>
        </w:rPr>
        <w:t>(2020</w:t>
      </w:r>
      <w:r w:rsidR="00FC739F" w:rsidRPr="00384468">
        <w:rPr>
          <w:i/>
          <w:highlight w:val="yellow"/>
        </w:rPr>
        <w:t>)</w:t>
      </w:r>
      <w:r w:rsidR="00FC739F" w:rsidRPr="00D20DC6">
        <w:rPr>
          <w:i/>
        </w:rPr>
        <w:t xml:space="preserve"> </w:t>
      </w:r>
    </w:p>
    <w:p w14:paraId="541DEBCB" w14:textId="77777777" w:rsidR="00D02D46" w:rsidRDefault="00D02D46" w:rsidP="00904B9A">
      <w:pPr>
        <w:ind w:left="2160" w:hanging="2160"/>
        <w:rPr>
          <w:b/>
        </w:rPr>
      </w:pPr>
      <w:r>
        <w:rPr>
          <w:b/>
        </w:rPr>
        <w:t>Class 13</w:t>
      </w:r>
      <w:r>
        <w:rPr>
          <w:b/>
        </w:rPr>
        <w:tab/>
        <w:t>Thinking About Law and the Israel/Palestine Conflict</w:t>
      </w:r>
    </w:p>
    <w:p w14:paraId="1AEB9A3F" w14:textId="77777777" w:rsidR="00D02D46" w:rsidRPr="00D02D46" w:rsidRDefault="00D02D46" w:rsidP="00904B9A">
      <w:pPr>
        <w:ind w:left="2160" w:hanging="2160"/>
        <w:rPr>
          <w:i/>
        </w:rPr>
      </w:pPr>
      <w:r>
        <w:rPr>
          <w:b/>
        </w:rPr>
        <w:tab/>
      </w:r>
      <w:r>
        <w:rPr>
          <w:i/>
        </w:rPr>
        <w:t>ICJ Genocide Case; other issues TBA</w:t>
      </w:r>
    </w:p>
    <w:sectPr w:rsidR="00D02D46" w:rsidRPr="00D02D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5571" w14:textId="77777777" w:rsidR="00982BE2" w:rsidRDefault="00982BE2" w:rsidP="005C569A">
      <w:pPr>
        <w:spacing w:after="0" w:line="240" w:lineRule="auto"/>
      </w:pPr>
      <w:r>
        <w:separator/>
      </w:r>
    </w:p>
  </w:endnote>
  <w:endnote w:type="continuationSeparator" w:id="0">
    <w:p w14:paraId="0CE29653" w14:textId="77777777" w:rsidR="00982BE2" w:rsidRDefault="00982BE2" w:rsidP="005C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8E06" w14:textId="77777777" w:rsidR="00FF5219" w:rsidRDefault="00FF5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BDD8" w14:textId="77777777" w:rsidR="00FF5219" w:rsidRDefault="00FF5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4104" w14:textId="77777777" w:rsidR="00FF5219" w:rsidRDefault="00FF5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902C" w14:textId="77777777" w:rsidR="00982BE2" w:rsidRDefault="00982BE2" w:rsidP="005C569A">
      <w:pPr>
        <w:spacing w:after="0" w:line="240" w:lineRule="auto"/>
      </w:pPr>
      <w:r>
        <w:separator/>
      </w:r>
    </w:p>
  </w:footnote>
  <w:footnote w:type="continuationSeparator" w:id="0">
    <w:p w14:paraId="1F6927C4" w14:textId="77777777" w:rsidR="00982BE2" w:rsidRDefault="00982BE2" w:rsidP="005C569A">
      <w:pPr>
        <w:spacing w:after="0" w:line="240" w:lineRule="auto"/>
      </w:pPr>
      <w:r>
        <w:continuationSeparator/>
      </w:r>
    </w:p>
  </w:footnote>
  <w:footnote w:id="1">
    <w:p w14:paraId="5E0687AA" w14:textId="77777777" w:rsidR="002914B9" w:rsidRDefault="002914B9">
      <w:pPr>
        <w:pStyle w:val="FootnoteText"/>
      </w:pPr>
      <w:r>
        <w:rPr>
          <w:rStyle w:val="FootnoteReference"/>
        </w:rPr>
        <w:footnoteRef/>
      </w:r>
      <w:r>
        <w:t xml:space="preserve"> I offer deepest thanks to my colleague Moshe Halbertal, to student-researchers </w:t>
      </w:r>
      <w:r w:rsidR="000D34E1">
        <w:t>Judah Bernstein</w:t>
      </w:r>
      <w:r w:rsidR="000E4AB9">
        <w:t xml:space="preserve"> (whose writing I will incorporate and credit in several Class Memos)</w:t>
      </w:r>
      <w:r w:rsidR="000D34E1">
        <w:t xml:space="preserve">, </w:t>
      </w:r>
      <w:r>
        <w:t xml:space="preserve">Hannah Umansky-Castro and Gina Eum, and splendid librarians </w:t>
      </w:r>
      <w:r w:rsidR="000D34E1">
        <w:t xml:space="preserve">Alisa Lazear, </w:t>
      </w:r>
      <w:r>
        <w:t>Christine Park and the late Gretchen Feltes, for guidance and support.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E348" w14:textId="77777777" w:rsidR="00FF5219" w:rsidRDefault="00FF5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480D" w14:textId="77777777" w:rsidR="005E1C81" w:rsidRDefault="005E1C81" w:rsidP="005C569A">
    <w:pPr>
      <w:pStyle w:val="Header"/>
      <w:jc w:val="right"/>
    </w:pPr>
    <w:r>
      <w:t>24.syl.0</w:t>
    </w:r>
    <w:r w:rsidR="00D02D46">
      <w:t>2</w:t>
    </w:r>
  </w:p>
  <w:p w14:paraId="42730772" w14:textId="77777777" w:rsidR="002914B9" w:rsidRDefault="002914B9" w:rsidP="005C569A">
    <w:pPr>
      <w:pStyle w:val="Header"/>
      <w:jc w:val="right"/>
    </w:pPr>
    <w:r>
      <w:t>Jewish Questions: Antisemitism, Jewish Identity and the Law</w:t>
    </w:r>
  </w:p>
  <w:p w14:paraId="51F16965" w14:textId="77777777" w:rsidR="002914B9" w:rsidRDefault="002914B9" w:rsidP="005C569A">
    <w:pPr>
      <w:pStyle w:val="Header"/>
      <w:jc w:val="right"/>
    </w:pPr>
    <w:r>
      <w:t>Prof. Deborah Malamud, NYU School of Law, Spring 2024</w:t>
    </w:r>
  </w:p>
  <w:p w14:paraId="35651E62" w14:textId="77777777" w:rsidR="002914B9" w:rsidRDefault="002914B9" w:rsidP="005C569A">
    <w:pPr>
      <w:pStyle w:val="Header"/>
      <w:jc w:val="right"/>
      <w:rPr>
        <w:noProof/>
      </w:rPr>
    </w:pPr>
    <w:r>
      <w:t xml:space="preserve">SYLLABUS </w:t>
    </w:r>
    <w:r w:rsidR="005E1C81">
      <w:t xml:space="preserve">Version </w:t>
    </w:r>
    <w:r w:rsidR="00D02D46">
      <w:t>2</w:t>
    </w: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D02D46">
      <w:rPr>
        <w:noProof/>
      </w:rPr>
      <w:t>10</w:t>
    </w:r>
    <w:r>
      <w:rPr>
        <w:noProof/>
      </w:rPr>
      <w:fldChar w:fldCharType="end"/>
    </w:r>
  </w:p>
  <w:p w14:paraId="034B7584" w14:textId="77777777" w:rsidR="00BB38D5" w:rsidRDefault="00BB38D5" w:rsidP="005C569A">
    <w:pPr>
      <w:pStyle w:val="Header"/>
      <w:jc w:val="right"/>
      <w:rPr>
        <w:noProof/>
      </w:rPr>
    </w:pPr>
  </w:p>
  <w:p w14:paraId="00E7E940" w14:textId="77777777" w:rsidR="00BB38D5" w:rsidRDefault="00BB38D5" w:rsidP="005C569A">
    <w:pPr>
      <w:pStyle w:val="Header"/>
      <w:jc w:val="right"/>
    </w:pPr>
  </w:p>
  <w:p w14:paraId="5BEBFABE" w14:textId="77777777" w:rsidR="002914B9" w:rsidRDefault="00291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0B30" w14:textId="77777777" w:rsidR="00FF5219" w:rsidRDefault="00FF5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5642"/>
    <w:multiLevelType w:val="hybridMultilevel"/>
    <w:tmpl w:val="76C61B18"/>
    <w:lvl w:ilvl="0" w:tplc="5220F1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3F84F0B"/>
    <w:multiLevelType w:val="hybridMultilevel"/>
    <w:tmpl w:val="96CCB7C0"/>
    <w:lvl w:ilvl="0" w:tplc="E356EA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17"/>
    <w:rsid w:val="00001217"/>
    <w:rsid w:val="0000631F"/>
    <w:rsid w:val="000151DB"/>
    <w:rsid w:val="000223B6"/>
    <w:rsid w:val="00023C0E"/>
    <w:rsid w:val="0002408E"/>
    <w:rsid w:val="00037254"/>
    <w:rsid w:val="00044D05"/>
    <w:rsid w:val="000560A2"/>
    <w:rsid w:val="00063011"/>
    <w:rsid w:val="00063A91"/>
    <w:rsid w:val="00063C63"/>
    <w:rsid w:val="0007124F"/>
    <w:rsid w:val="000712E5"/>
    <w:rsid w:val="00074CF6"/>
    <w:rsid w:val="00075C6F"/>
    <w:rsid w:val="00077F52"/>
    <w:rsid w:val="000801AD"/>
    <w:rsid w:val="00080699"/>
    <w:rsid w:val="0009042A"/>
    <w:rsid w:val="00091D07"/>
    <w:rsid w:val="000A29F6"/>
    <w:rsid w:val="000A40B2"/>
    <w:rsid w:val="000A42C6"/>
    <w:rsid w:val="000A6258"/>
    <w:rsid w:val="000A702B"/>
    <w:rsid w:val="000B7E3C"/>
    <w:rsid w:val="000B7F77"/>
    <w:rsid w:val="000C303A"/>
    <w:rsid w:val="000C55F6"/>
    <w:rsid w:val="000C7F1A"/>
    <w:rsid w:val="000D2B65"/>
    <w:rsid w:val="000D2D80"/>
    <w:rsid w:val="000D34E1"/>
    <w:rsid w:val="000D7AE4"/>
    <w:rsid w:val="000E25BC"/>
    <w:rsid w:val="000E4AB9"/>
    <w:rsid w:val="000E6F1F"/>
    <w:rsid w:val="000F3CD9"/>
    <w:rsid w:val="000F44B7"/>
    <w:rsid w:val="001026AA"/>
    <w:rsid w:val="00105077"/>
    <w:rsid w:val="00105B31"/>
    <w:rsid w:val="00106E9E"/>
    <w:rsid w:val="00110F5C"/>
    <w:rsid w:val="001148CE"/>
    <w:rsid w:val="00121D50"/>
    <w:rsid w:val="00122F20"/>
    <w:rsid w:val="001274CA"/>
    <w:rsid w:val="0013330C"/>
    <w:rsid w:val="00136D67"/>
    <w:rsid w:val="001451B5"/>
    <w:rsid w:val="001513B5"/>
    <w:rsid w:val="00154D65"/>
    <w:rsid w:val="001744B5"/>
    <w:rsid w:val="00181201"/>
    <w:rsid w:val="00185CEF"/>
    <w:rsid w:val="0019009F"/>
    <w:rsid w:val="0019705A"/>
    <w:rsid w:val="001A0772"/>
    <w:rsid w:val="001A7A7B"/>
    <w:rsid w:val="001B49D0"/>
    <w:rsid w:val="001B5184"/>
    <w:rsid w:val="001B6454"/>
    <w:rsid w:val="001C2E83"/>
    <w:rsid w:val="001C7273"/>
    <w:rsid w:val="001D38D5"/>
    <w:rsid w:val="001D7E64"/>
    <w:rsid w:val="001E3311"/>
    <w:rsid w:val="001E6105"/>
    <w:rsid w:val="001E6A7A"/>
    <w:rsid w:val="001F12F9"/>
    <w:rsid w:val="001F381B"/>
    <w:rsid w:val="001F77BE"/>
    <w:rsid w:val="00200C3C"/>
    <w:rsid w:val="002027B2"/>
    <w:rsid w:val="00202F33"/>
    <w:rsid w:val="002045E4"/>
    <w:rsid w:val="002071B5"/>
    <w:rsid w:val="00207859"/>
    <w:rsid w:val="0021777E"/>
    <w:rsid w:val="002253B7"/>
    <w:rsid w:val="0023464D"/>
    <w:rsid w:val="00234772"/>
    <w:rsid w:val="00234D7E"/>
    <w:rsid w:val="00237BA1"/>
    <w:rsid w:val="00253D4B"/>
    <w:rsid w:val="0025495F"/>
    <w:rsid w:val="00260B26"/>
    <w:rsid w:val="00277476"/>
    <w:rsid w:val="002775DB"/>
    <w:rsid w:val="002800A1"/>
    <w:rsid w:val="0028320A"/>
    <w:rsid w:val="00287CA7"/>
    <w:rsid w:val="002914B9"/>
    <w:rsid w:val="002918BC"/>
    <w:rsid w:val="002926AB"/>
    <w:rsid w:val="002A29B7"/>
    <w:rsid w:val="002A4737"/>
    <w:rsid w:val="002A741B"/>
    <w:rsid w:val="002B12A8"/>
    <w:rsid w:val="002B234C"/>
    <w:rsid w:val="002B2D35"/>
    <w:rsid w:val="002B365B"/>
    <w:rsid w:val="002B494D"/>
    <w:rsid w:val="002B538B"/>
    <w:rsid w:val="002D149B"/>
    <w:rsid w:val="002E1F28"/>
    <w:rsid w:val="002E3BEB"/>
    <w:rsid w:val="002E5A64"/>
    <w:rsid w:val="002F109D"/>
    <w:rsid w:val="002F3BA9"/>
    <w:rsid w:val="002F5A71"/>
    <w:rsid w:val="003040EE"/>
    <w:rsid w:val="00311DA6"/>
    <w:rsid w:val="003121CA"/>
    <w:rsid w:val="00313263"/>
    <w:rsid w:val="00313C64"/>
    <w:rsid w:val="00315241"/>
    <w:rsid w:val="00317849"/>
    <w:rsid w:val="00322A1D"/>
    <w:rsid w:val="003323A7"/>
    <w:rsid w:val="003352EE"/>
    <w:rsid w:val="00336C27"/>
    <w:rsid w:val="00340B83"/>
    <w:rsid w:val="00341EBF"/>
    <w:rsid w:val="00345BBD"/>
    <w:rsid w:val="00346302"/>
    <w:rsid w:val="00347D34"/>
    <w:rsid w:val="00350183"/>
    <w:rsid w:val="00350EF3"/>
    <w:rsid w:val="00355AEC"/>
    <w:rsid w:val="003663BD"/>
    <w:rsid w:val="00373312"/>
    <w:rsid w:val="00376B86"/>
    <w:rsid w:val="0038267F"/>
    <w:rsid w:val="00384468"/>
    <w:rsid w:val="00387811"/>
    <w:rsid w:val="00390BF7"/>
    <w:rsid w:val="00395429"/>
    <w:rsid w:val="00396070"/>
    <w:rsid w:val="00397B25"/>
    <w:rsid w:val="003A2E01"/>
    <w:rsid w:val="003A4A43"/>
    <w:rsid w:val="003B1974"/>
    <w:rsid w:val="003C4715"/>
    <w:rsid w:val="003C6DB2"/>
    <w:rsid w:val="003C7792"/>
    <w:rsid w:val="003D3C90"/>
    <w:rsid w:val="003E0E04"/>
    <w:rsid w:val="003E11D9"/>
    <w:rsid w:val="003E5978"/>
    <w:rsid w:val="003F2E7A"/>
    <w:rsid w:val="003F78F6"/>
    <w:rsid w:val="00407DF4"/>
    <w:rsid w:val="0041328D"/>
    <w:rsid w:val="004161D7"/>
    <w:rsid w:val="0041706A"/>
    <w:rsid w:val="004211B4"/>
    <w:rsid w:val="0042133E"/>
    <w:rsid w:val="00430EB2"/>
    <w:rsid w:val="004323FF"/>
    <w:rsid w:val="004325EB"/>
    <w:rsid w:val="0043470C"/>
    <w:rsid w:val="00440883"/>
    <w:rsid w:val="00442159"/>
    <w:rsid w:val="00455DC6"/>
    <w:rsid w:val="004568AA"/>
    <w:rsid w:val="004607FF"/>
    <w:rsid w:val="00472011"/>
    <w:rsid w:val="004771FE"/>
    <w:rsid w:val="00477728"/>
    <w:rsid w:val="00485BC3"/>
    <w:rsid w:val="0049561D"/>
    <w:rsid w:val="00496407"/>
    <w:rsid w:val="00497C7B"/>
    <w:rsid w:val="004A482B"/>
    <w:rsid w:val="004A4989"/>
    <w:rsid w:val="004A4AD1"/>
    <w:rsid w:val="004A538A"/>
    <w:rsid w:val="004A659F"/>
    <w:rsid w:val="004B2888"/>
    <w:rsid w:val="004B2A4D"/>
    <w:rsid w:val="004B4A06"/>
    <w:rsid w:val="004B4D1A"/>
    <w:rsid w:val="004B67A3"/>
    <w:rsid w:val="004C68D7"/>
    <w:rsid w:val="004D261A"/>
    <w:rsid w:val="004D32FF"/>
    <w:rsid w:val="004D76FB"/>
    <w:rsid w:val="004D7CE8"/>
    <w:rsid w:val="004E5CBE"/>
    <w:rsid w:val="004F1A91"/>
    <w:rsid w:val="004F73E2"/>
    <w:rsid w:val="00503F84"/>
    <w:rsid w:val="00510864"/>
    <w:rsid w:val="005178B8"/>
    <w:rsid w:val="00522F6B"/>
    <w:rsid w:val="00523660"/>
    <w:rsid w:val="00540C17"/>
    <w:rsid w:val="0055058E"/>
    <w:rsid w:val="00551019"/>
    <w:rsid w:val="005523A7"/>
    <w:rsid w:val="00552F5F"/>
    <w:rsid w:val="00555F2C"/>
    <w:rsid w:val="00557769"/>
    <w:rsid w:val="00575170"/>
    <w:rsid w:val="005821C1"/>
    <w:rsid w:val="00597103"/>
    <w:rsid w:val="00597CC3"/>
    <w:rsid w:val="005A11AC"/>
    <w:rsid w:val="005A351D"/>
    <w:rsid w:val="005B1896"/>
    <w:rsid w:val="005B2A27"/>
    <w:rsid w:val="005B2B31"/>
    <w:rsid w:val="005B31AB"/>
    <w:rsid w:val="005C100E"/>
    <w:rsid w:val="005C30B1"/>
    <w:rsid w:val="005C3F85"/>
    <w:rsid w:val="005C569A"/>
    <w:rsid w:val="005C5892"/>
    <w:rsid w:val="005C7E3A"/>
    <w:rsid w:val="005C7E6D"/>
    <w:rsid w:val="005D13FE"/>
    <w:rsid w:val="005D7E75"/>
    <w:rsid w:val="005E0062"/>
    <w:rsid w:val="005E1C81"/>
    <w:rsid w:val="005E2872"/>
    <w:rsid w:val="00615B55"/>
    <w:rsid w:val="00616956"/>
    <w:rsid w:val="006211EA"/>
    <w:rsid w:val="00631CD2"/>
    <w:rsid w:val="0063202A"/>
    <w:rsid w:val="006331A4"/>
    <w:rsid w:val="0063443C"/>
    <w:rsid w:val="0063523D"/>
    <w:rsid w:val="00640F09"/>
    <w:rsid w:val="00644610"/>
    <w:rsid w:val="006509B9"/>
    <w:rsid w:val="006547A0"/>
    <w:rsid w:val="00654894"/>
    <w:rsid w:val="006560B4"/>
    <w:rsid w:val="00664101"/>
    <w:rsid w:val="00674741"/>
    <w:rsid w:val="00677498"/>
    <w:rsid w:val="00681C6C"/>
    <w:rsid w:val="006916BF"/>
    <w:rsid w:val="006918D1"/>
    <w:rsid w:val="00692559"/>
    <w:rsid w:val="00693371"/>
    <w:rsid w:val="00695E52"/>
    <w:rsid w:val="00697E9D"/>
    <w:rsid w:val="006A025D"/>
    <w:rsid w:val="006A20CB"/>
    <w:rsid w:val="006B3090"/>
    <w:rsid w:val="006B3B59"/>
    <w:rsid w:val="006B3F22"/>
    <w:rsid w:val="006B40EA"/>
    <w:rsid w:val="006B4385"/>
    <w:rsid w:val="006B4BD6"/>
    <w:rsid w:val="006C71FA"/>
    <w:rsid w:val="006D1024"/>
    <w:rsid w:val="006D44FA"/>
    <w:rsid w:val="006D53E4"/>
    <w:rsid w:val="006D5ED5"/>
    <w:rsid w:val="006E325F"/>
    <w:rsid w:val="006E3671"/>
    <w:rsid w:val="006E3C8F"/>
    <w:rsid w:val="006F70B1"/>
    <w:rsid w:val="00703058"/>
    <w:rsid w:val="00705426"/>
    <w:rsid w:val="00706ADC"/>
    <w:rsid w:val="00707947"/>
    <w:rsid w:val="00707F17"/>
    <w:rsid w:val="00711E39"/>
    <w:rsid w:val="00711F56"/>
    <w:rsid w:val="0072179F"/>
    <w:rsid w:val="00721F12"/>
    <w:rsid w:val="00722943"/>
    <w:rsid w:val="00723825"/>
    <w:rsid w:val="00726D0C"/>
    <w:rsid w:val="00732D41"/>
    <w:rsid w:val="007361D4"/>
    <w:rsid w:val="0074055B"/>
    <w:rsid w:val="00741469"/>
    <w:rsid w:val="00746AD3"/>
    <w:rsid w:val="00752C59"/>
    <w:rsid w:val="00763FB8"/>
    <w:rsid w:val="00770C47"/>
    <w:rsid w:val="007718CD"/>
    <w:rsid w:val="007758A1"/>
    <w:rsid w:val="00777DCB"/>
    <w:rsid w:val="00782AE1"/>
    <w:rsid w:val="00797FD4"/>
    <w:rsid w:val="007A28F3"/>
    <w:rsid w:val="007B2834"/>
    <w:rsid w:val="007B45F8"/>
    <w:rsid w:val="007B5034"/>
    <w:rsid w:val="007B6924"/>
    <w:rsid w:val="007C5F5E"/>
    <w:rsid w:val="007C5FFA"/>
    <w:rsid w:val="007D0EDF"/>
    <w:rsid w:val="007D25DD"/>
    <w:rsid w:val="007D285C"/>
    <w:rsid w:val="007D4073"/>
    <w:rsid w:val="007D4844"/>
    <w:rsid w:val="007E06AA"/>
    <w:rsid w:val="007E1E0B"/>
    <w:rsid w:val="007E522C"/>
    <w:rsid w:val="007E60D4"/>
    <w:rsid w:val="007F080B"/>
    <w:rsid w:val="007F59EA"/>
    <w:rsid w:val="007F6100"/>
    <w:rsid w:val="007F6723"/>
    <w:rsid w:val="00801594"/>
    <w:rsid w:val="00820585"/>
    <w:rsid w:val="008237E9"/>
    <w:rsid w:val="00825B45"/>
    <w:rsid w:val="00826F04"/>
    <w:rsid w:val="008305C2"/>
    <w:rsid w:val="008330E0"/>
    <w:rsid w:val="008339E5"/>
    <w:rsid w:val="00833CD7"/>
    <w:rsid w:val="0083594C"/>
    <w:rsid w:val="0083755D"/>
    <w:rsid w:val="00842B1D"/>
    <w:rsid w:val="00855F0E"/>
    <w:rsid w:val="00857990"/>
    <w:rsid w:val="008647D7"/>
    <w:rsid w:val="008724B9"/>
    <w:rsid w:val="008735C4"/>
    <w:rsid w:val="00873D7E"/>
    <w:rsid w:val="008801F5"/>
    <w:rsid w:val="00897489"/>
    <w:rsid w:val="008A48CD"/>
    <w:rsid w:val="008A6463"/>
    <w:rsid w:val="008B6409"/>
    <w:rsid w:val="008C037C"/>
    <w:rsid w:val="008C3395"/>
    <w:rsid w:val="008D022A"/>
    <w:rsid w:val="008D0352"/>
    <w:rsid w:val="008D7067"/>
    <w:rsid w:val="008E5B0B"/>
    <w:rsid w:val="008F6666"/>
    <w:rsid w:val="00900866"/>
    <w:rsid w:val="00904B9A"/>
    <w:rsid w:val="0090752C"/>
    <w:rsid w:val="00912CCD"/>
    <w:rsid w:val="0091426B"/>
    <w:rsid w:val="00921CA3"/>
    <w:rsid w:val="00924080"/>
    <w:rsid w:val="00924242"/>
    <w:rsid w:val="009268B0"/>
    <w:rsid w:val="009273A1"/>
    <w:rsid w:val="009328CC"/>
    <w:rsid w:val="009368A8"/>
    <w:rsid w:val="009570DE"/>
    <w:rsid w:val="00960001"/>
    <w:rsid w:val="00962CC8"/>
    <w:rsid w:val="00974123"/>
    <w:rsid w:val="00975B33"/>
    <w:rsid w:val="009768B5"/>
    <w:rsid w:val="00982BE2"/>
    <w:rsid w:val="0098316F"/>
    <w:rsid w:val="00986097"/>
    <w:rsid w:val="0099367C"/>
    <w:rsid w:val="009A0668"/>
    <w:rsid w:val="009A3810"/>
    <w:rsid w:val="009B1C7E"/>
    <w:rsid w:val="009B2933"/>
    <w:rsid w:val="009B5ED9"/>
    <w:rsid w:val="009C562E"/>
    <w:rsid w:val="009D1140"/>
    <w:rsid w:val="009D202C"/>
    <w:rsid w:val="009D6863"/>
    <w:rsid w:val="009E595C"/>
    <w:rsid w:val="009E7796"/>
    <w:rsid w:val="009F19D2"/>
    <w:rsid w:val="009F1E6A"/>
    <w:rsid w:val="009F499A"/>
    <w:rsid w:val="009F7BB1"/>
    <w:rsid w:val="009F7BBE"/>
    <w:rsid w:val="00A00ADD"/>
    <w:rsid w:val="00A00E39"/>
    <w:rsid w:val="00A05F06"/>
    <w:rsid w:val="00A06DA9"/>
    <w:rsid w:val="00A13CD4"/>
    <w:rsid w:val="00A22ED0"/>
    <w:rsid w:val="00A34362"/>
    <w:rsid w:val="00A34D83"/>
    <w:rsid w:val="00A450EE"/>
    <w:rsid w:val="00A47F04"/>
    <w:rsid w:val="00A61D3D"/>
    <w:rsid w:val="00A66441"/>
    <w:rsid w:val="00A7068B"/>
    <w:rsid w:val="00A738B3"/>
    <w:rsid w:val="00A76D98"/>
    <w:rsid w:val="00A90EAB"/>
    <w:rsid w:val="00A93C70"/>
    <w:rsid w:val="00A9464D"/>
    <w:rsid w:val="00A977A1"/>
    <w:rsid w:val="00AA6787"/>
    <w:rsid w:val="00AB2EC1"/>
    <w:rsid w:val="00AB4EF6"/>
    <w:rsid w:val="00AB7E3D"/>
    <w:rsid w:val="00AD27AA"/>
    <w:rsid w:val="00AD382A"/>
    <w:rsid w:val="00AD7E80"/>
    <w:rsid w:val="00AE1A2B"/>
    <w:rsid w:val="00AE2788"/>
    <w:rsid w:val="00AE4006"/>
    <w:rsid w:val="00AE6C56"/>
    <w:rsid w:val="00AE7C4B"/>
    <w:rsid w:val="00AF5F69"/>
    <w:rsid w:val="00B00661"/>
    <w:rsid w:val="00B05465"/>
    <w:rsid w:val="00B062F2"/>
    <w:rsid w:val="00B06688"/>
    <w:rsid w:val="00B12F47"/>
    <w:rsid w:val="00B15843"/>
    <w:rsid w:val="00B22CF5"/>
    <w:rsid w:val="00B235DE"/>
    <w:rsid w:val="00B32818"/>
    <w:rsid w:val="00B32881"/>
    <w:rsid w:val="00B36756"/>
    <w:rsid w:val="00B474F0"/>
    <w:rsid w:val="00B51807"/>
    <w:rsid w:val="00B608B8"/>
    <w:rsid w:val="00B61C70"/>
    <w:rsid w:val="00B625D1"/>
    <w:rsid w:val="00B644DF"/>
    <w:rsid w:val="00B65452"/>
    <w:rsid w:val="00B65B71"/>
    <w:rsid w:val="00B74787"/>
    <w:rsid w:val="00B83D8F"/>
    <w:rsid w:val="00B84DC0"/>
    <w:rsid w:val="00B86889"/>
    <w:rsid w:val="00B86BD6"/>
    <w:rsid w:val="00B86FC5"/>
    <w:rsid w:val="00B873A0"/>
    <w:rsid w:val="00B95732"/>
    <w:rsid w:val="00B97A8F"/>
    <w:rsid w:val="00B97F9C"/>
    <w:rsid w:val="00BA2624"/>
    <w:rsid w:val="00BA28AB"/>
    <w:rsid w:val="00BA3A17"/>
    <w:rsid w:val="00BA3C10"/>
    <w:rsid w:val="00BB3751"/>
    <w:rsid w:val="00BB38D5"/>
    <w:rsid w:val="00BB5FF5"/>
    <w:rsid w:val="00BB66CC"/>
    <w:rsid w:val="00BB6B0C"/>
    <w:rsid w:val="00BC3757"/>
    <w:rsid w:val="00BD63E2"/>
    <w:rsid w:val="00BE0854"/>
    <w:rsid w:val="00BE1A2C"/>
    <w:rsid w:val="00BE51A9"/>
    <w:rsid w:val="00BE7772"/>
    <w:rsid w:val="00BE7833"/>
    <w:rsid w:val="00BF37CE"/>
    <w:rsid w:val="00BF42D4"/>
    <w:rsid w:val="00BF4A5C"/>
    <w:rsid w:val="00C10392"/>
    <w:rsid w:val="00C2399A"/>
    <w:rsid w:val="00C27D2C"/>
    <w:rsid w:val="00C31F8C"/>
    <w:rsid w:val="00C34501"/>
    <w:rsid w:val="00C357E2"/>
    <w:rsid w:val="00C364C4"/>
    <w:rsid w:val="00C5484B"/>
    <w:rsid w:val="00C6155D"/>
    <w:rsid w:val="00C631DD"/>
    <w:rsid w:val="00C636E4"/>
    <w:rsid w:val="00C6721C"/>
    <w:rsid w:val="00C758E9"/>
    <w:rsid w:val="00C76E66"/>
    <w:rsid w:val="00C80352"/>
    <w:rsid w:val="00C830EC"/>
    <w:rsid w:val="00C96D57"/>
    <w:rsid w:val="00CA1A06"/>
    <w:rsid w:val="00CA1F95"/>
    <w:rsid w:val="00CA2041"/>
    <w:rsid w:val="00CB2C36"/>
    <w:rsid w:val="00CC249E"/>
    <w:rsid w:val="00CC264E"/>
    <w:rsid w:val="00CD7F48"/>
    <w:rsid w:val="00CE388D"/>
    <w:rsid w:val="00CF5D1A"/>
    <w:rsid w:val="00D02D46"/>
    <w:rsid w:val="00D03CED"/>
    <w:rsid w:val="00D10825"/>
    <w:rsid w:val="00D12702"/>
    <w:rsid w:val="00D12EBA"/>
    <w:rsid w:val="00D1593A"/>
    <w:rsid w:val="00D20DC6"/>
    <w:rsid w:val="00D244FC"/>
    <w:rsid w:val="00D32353"/>
    <w:rsid w:val="00D32BDC"/>
    <w:rsid w:val="00D372C5"/>
    <w:rsid w:val="00D37767"/>
    <w:rsid w:val="00D404F1"/>
    <w:rsid w:val="00D47217"/>
    <w:rsid w:val="00D50BD7"/>
    <w:rsid w:val="00D5153F"/>
    <w:rsid w:val="00D52021"/>
    <w:rsid w:val="00D55CBB"/>
    <w:rsid w:val="00D57769"/>
    <w:rsid w:val="00D61CB2"/>
    <w:rsid w:val="00D6211A"/>
    <w:rsid w:val="00D67E3D"/>
    <w:rsid w:val="00D71F2A"/>
    <w:rsid w:val="00D72A15"/>
    <w:rsid w:val="00D72A55"/>
    <w:rsid w:val="00D80A94"/>
    <w:rsid w:val="00D8210D"/>
    <w:rsid w:val="00D93238"/>
    <w:rsid w:val="00D932A4"/>
    <w:rsid w:val="00DA138B"/>
    <w:rsid w:val="00DA674C"/>
    <w:rsid w:val="00DB3660"/>
    <w:rsid w:val="00DB58D1"/>
    <w:rsid w:val="00DC093C"/>
    <w:rsid w:val="00DC4DDA"/>
    <w:rsid w:val="00DD2535"/>
    <w:rsid w:val="00DE178F"/>
    <w:rsid w:val="00DE3687"/>
    <w:rsid w:val="00DF320C"/>
    <w:rsid w:val="00E007EC"/>
    <w:rsid w:val="00E022BE"/>
    <w:rsid w:val="00E0420F"/>
    <w:rsid w:val="00E05865"/>
    <w:rsid w:val="00E06A38"/>
    <w:rsid w:val="00E27688"/>
    <w:rsid w:val="00E30529"/>
    <w:rsid w:val="00E3062F"/>
    <w:rsid w:val="00E31ED8"/>
    <w:rsid w:val="00E3281F"/>
    <w:rsid w:val="00E36EFC"/>
    <w:rsid w:val="00E43AAD"/>
    <w:rsid w:val="00E441A0"/>
    <w:rsid w:val="00E54437"/>
    <w:rsid w:val="00E62062"/>
    <w:rsid w:val="00E62092"/>
    <w:rsid w:val="00E636A4"/>
    <w:rsid w:val="00E64C87"/>
    <w:rsid w:val="00E6725B"/>
    <w:rsid w:val="00E725EF"/>
    <w:rsid w:val="00E72F18"/>
    <w:rsid w:val="00E74B03"/>
    <w:rsid w:val="00E75DFD"/>
    <w:rsid w:val="00E82594"/>
    <w:rsid w:val="00E85043"/>
    <w:rsid w:val="00E97FAB"/>
    <w:rsid w:val="00EA06EF"/>
    <w:rsid w:val="00EA1661"/>
    <w:rsid w:val="00EB0D34"/>
    <w:rsid w:val="00EB2DF5"/>
    <w:rsid w:val="00EC4A24"/>
    <w:rsid w:val="00EC4F5C"/>
    <w:rsid w:val="00EC5954"/>
    <w:rsid w:val="00EC5DC1"/>
    <w:rsid w:val="00EC77E3"/>
    <w:rsid w:val="00ED0A72"/>
    <w:rsid w:val="00ED6E08"/>
    <w:rsid w:val="00EE577A"/>
    <w:rsid w:val="00EF0FD2"/>
    <w:rsid w:val="00EF4554"/>
    <w:rsid w:val="00F00AB1"/>
    <w:rsid w:val="00F02A3C"/>
    <w:rsid w:val="00F14B07"/>
    <w:rsid w:val="00F206C2"/>
    <w:rsid w:val="00F331DF"/>
    <w:rsid w:val="00F3455C"/>
    <w:rsid w:val="00F3790F"/>
    <w:rsid w:val="00F401D5"/>
    <w:rsid w:val="00F43590"/>
    <w:rsid w:val="00F4487A"/>
    <w:rsid w:val="00F465C1"/>
    <w:rsid w:val="00F47B8B"/>
    <w:rsid w:val="00F5336A"/>
    <w:rsid w:val="00F65DCC"/>
    <w:rsid w:val="00F80061"/>
    <w:rsid w:val="00F82524"/>
    <w:rsid w:val="00F86038"/>
    <w:rsid w:val="00F87C2E"/>
    <w:rsid w:val="00F93B8C"/>
    <w:rsid w:val="00F9759E"/>
    <w:rsid w:val="00FA3FB0"/>
    <w:rsid w:val="00FA65ED"/>
    <w:rsid w:val="00FB15AE"/>
    <w:rsid w:val="00FB6806"/>
    <w:rsid w:val="00FC563B"/>
    <w:rsid w:val="00FC59AA"/>
    <w:rsid w:val="00FC739F"/>
    <w:rsid w:val="00FE1FB9"/>
    <w:rsid w:val="00FE2D58"/>
    <w:rsid w:val="00FE55D2"/>
    <w:rsid w:val="00FF0120"/>
    <w:rsid w:val="00FF063A"/>
    <w:rsid w:val="00FF25D1"/>
    <w:rsid w:val="00FF5219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E05F"/>
  <w15:chartTrackingRefBased/>
  <w15:docId w15:val="{EBE9CA1E-F474-4B21-82C4-E86DE634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3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343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69A"/>
  </w:style>
  <w:style w:type="paragraph" w:styleId="Footer">
    <w:name w:val="footer"/>
    <w:basedOn w:val="Normal"/>
    <w:link w:val="FooterChar"/>
    <w:uiPriority w:val="99"/>
    <w:unhideWhenUsed/>
    <w:rsid w:val="005C5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69A"/>
  </w:style>
  <w:style w:type="paragraph" w:styleId="FootnoteText">
    <w:name w:val="footnote text"/>
    <w:basedOn w:val="Normal"/>
    <w:link w:val="FootnoteTextChar"/>
    <w:uiPriority w:val="99"/>
    <w:unhideWhenUsed/>
    <w:rsid w:val="00F00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0A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A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7E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6688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malamud@nyu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yu.edu/life/safety-health-wellness/coronavirus-inform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nyu.edu/academicservices/academic-policies/substantial-writing-requiremen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925A-6389-48A9-89DD-C26CB3A9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Law</Company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Malamud, Deborah</dc:creator>
  <cp:keywords/>
  <dc:description/>
  <cp:lastModifiedBy>Katz, Robert A.</cp:lastModifiedBy>
  <cp:revision>2</cp:revision>
  <cp:lastPrinted>2023-12-28T19:56:00Z</cp:lastPrinted>
  <dcterms:created xsi:type="dcterms:W3CDTF">2024-04-15T15:10:00Z</dcterms:created>
  <dcterms:modified xsi:type="dcterms:W3CDTF">2024-04-15T15:10:00Z</dcterms:modified>
</cp:coreProperties>
</file>