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DBF" w:rsidRDefault="004A321A" w:rsidP="00B47C8B">
      <w:pPr>
        <w:pStyle w:val="BodyText2"/>
        <w:spacing w:before="100"/>
        <w:ind w:left="180" w:right="126"/>
      </w:pPr>
      <w:r>
        <w:rPr>
          <w:noProof/>
        </w:rPr>
        <mc:AlternateContent>
          <mc:Choice Requires="wps">
            <w:drawing>
              <wp:anchor distT="0" distB="0" distL="114300" distR="114300" simplePos="0" relativeHeight="251657216" behindDoc="0" locked="0" layoutInCell="1" allowOverlap="1">
                <wp:simplePos x="0" y="0"/>
                <wp:positionH relativeFrom="column">
                  <wp:posOffset>-259080</wp:posOffset>
                </wp:positionH>
                <wp:positionV relativeFrom="paragraph">
                  <wp:posOffset>114300</wp:posOffset>
                </wp:positionV>
                <wp:extent cx="7105650" cy="9644380"/>
                <wp:effectExtent l="19050" t="19050" r="38100" b="330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5650" cy="9644380"/>
                        </a:xfrm>
                        <a:prstGeom prst="rect">
                          <a:avLst/>
                        </a:prstGeom>
                        <a:noFill/>
                        <a:ln w="57150" cmpd="thinThick">
                          <a:solidFill>
                            <a:schemeClr val="bg2">
                              <a:lumMod val="5000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0.4pt;margin-top:9pt;width:559.5pt;height:75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" filled="f" strokecolor="#938953 [1614]" strokeweight="4.5pt">
                <v:stroke linestyle="thinThick"/>
              </v:rect>
            </w:pict>
          </mc:Fallback>
        </mc:AlternateContent>
      </w:r>
    </w:p>
    <w:p w:rsidR="00EF5D5A" w:rsidRDefault="009D6915" w:rsidP="00EF5D5A">
      <w:pPr>
        <w:autoSpaceDE w:val="0"/>
        <w:autoSpaceDN w:val="0"/>
        <w:adjustRightInd w:val="0"/>
        <w:spacing w:line="276" w:lineRule="auto"/>
        <w:ind w:left="180" w:right="-54"/>
        <w:rPr>
          <w:rFonts w:ascii="Arial" w:eastAsia="Helvetica" w:hAnsi="Arial" w:cs="Arial"/>
          <w:b/>
          <w:color w:val="CC0000"/>
          <w:sz w:val="32"/>
          <w:szCs w:val="22"/>
          <w:u w:color="CC0000"/>
        </w:rPr>
      </w:pPr>
      <w:r>
        <w:rPr>
          <w:rFonts w:ascii="Arial" w:eastAsia="Helvetica" w:hAnsi="Arial" w:cs="Arial"/>
          <w:b/>
          <w:noProof/>
          <w:color w:val="CC0000"/>
          <w:sz w:val="32"/>
          <w:szCs w:val="22"/>
          <w:u w:color="CC0000"/>
        </w:rPr>
        <w:drawing>
          <wp:inline distT="0" distB="0" distL="0" distR="0">
            <wp:extent cx="6572250" cy="87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0" cy="876300"/>
                    </a:xfrm>
                    <a:prstGeom prst="rect">
                      <a:avLst/>
                    </a:prstGeom>
                    <a:noFill/>
                    <a:ln>
                      <a:noFill/>
                    </a:ln>
                  </pic:spPr>
                </pic:pic>
              </a:graphicData>
            </a:graphic>
          </wp:inline>
        </w:drawing>
      </w:r>
    </w:p>
    <w:p w:rsidR="00B47C8B" w:rsidRPr="009D6915" w:rsidRDefault="00DC6F43" w:rsidP="00EF5D5A">
      <w:pPr>
        <w:autoSpaceDE w:val="0"/>
        <w:autoSpaceDN w:val="0"/>
        <w:adjustRightInd w:val="0"/>
        <w:spacing w:line="276" w:lineRule="auto"/>
        <w:ind w:left="180" w:right="-54"/>
        <w:rPr>
          <w:rFonts w:ascii="Arial" w:eastAsia="Helvetica" w:hAnsi="Arial" w:cs="Arial"/>
          <w:b/>
          <w:color w:val="4A442A" w:themeColor="background2" w:themeShade="40"/>
          <w:sz w:val="32"/>
          <w:szCs w:val="22"/>
          <w:u w:color="CC0000"/>
        </w:rPr>
      </w:pPr>
      <w:r w:rsidRPr="009D6915">
        <w:rPr>
          <w:rFonts w:ascii="Arial" w:eastAsia="Helvetica" w:hAnsi="Arial" w:cs="Arial"/>
          <w:b/>
          <w:color w:val="4A442A" w:themeColor="background2" w:themeShade="40"/>
          <w:sz w:val="32"/>
          <w:szCs w:val="22"/>
          <w:u w:color="CC0000"/>
        </w:rPr>
        <w:t xml:space="preserve">Workshop </w:t>
      </w:r>
      <w:r w:rsidR="009D6915" w:rsidRPr="009D6915">
        <w:rPr>
          <w:rFonts w:ascii="Arial" w:eastAsia="Helvetica" w:hAnsi="Arial" w:cs="Arial"/>
          <w:b/>
          <w:color w:val="4A442A" w:themeColor="background2" w:themeShade="40"/>
          <w:sz w:val="32"/>
          <w:szCs w:val="22"/>
          <w:u w:color="CC0000"/>
        </w:rPr>
        <w:t>–</w:t>
      </w:r>
      <w:r w:rsidR="00FD21B9" w:rsidRPr="009D6915">
        <w:rPr>
          <w:rFonts w:ascii="Arial" w:eastAsia="Helvetica" w:hAnsi="Arial" w:cs="Arial"/>
          <w:b/>
          <w:color w:val="4A442A" w:themeColor="background2" w:themeShade="40"/>
          <w:sz w:val="32"/>
          <w:szCs w:val="22"/>
          <w:u w:color="CC0000"/>
        </w:rPr>
        <w:t xml:space="preserve"> </w:t>
      </w:r>
      <w:r w:rsidR="009D6915" w:rsidRPr="009D6915">
        <w:rPr>
          <w:rFonts w:ascii="Arial" w:eastAsia="Helvetica" w:hAnsi="Arial" w:cs="Arial"/>
          <w:b/>
          <w:color w:val="4A442A" w:themeColor="background2" w:themeShade="40"/>
          <w:sz w:val="32"/>
          <w:szCs w:val="22"/>
          <w:u w:color="CC0000"/>
        </w:rPr>
        <w:t>Define YOUR People Change Management Strategy</w:t>
      </w:r>
      <w:r w:rsidR="009D6915">
        <w:rPr>
          <w:rFonts w:ascii="Arial" w:eastAsia="Helvetica" w:hAnsi="Arial" w:cs="Arial"/>
          <w:b/>
          <w:color w:val="4A442A" w:themeColor="background2" w:themeShade="40"/>
          <w:sz w:val="32"/>
          <w:szCs w:val="22"/>
          <w:u w:color="CC0000"/>
        </w:rPr>
        <w:t>.</w:t>
      </w:r>
    </w:p>
    <w:p w:rsidR="00D04881" w:rsidRPr="009D6915" w:rsidRDefault="009D6915" w:rsidP="00D04881">
      <w:pPr>
        <w:pStyle w:val="BodyText2"/>
        <w:spacing w:before="100"/>
        <w:ind w:left="180" w:right="126"/>
        <w:rPr>
          <w:rFonts w:eastAsia="Helvetica"/>
          <w:b/>
          <w:bCs/>
          <w:color w:val="808080"/>
          <w:sz w:val="30"/>
          <w:szCs w:val="30"/>
          <w:u w:color="CC0000"/>
        </w:rPr>
      </w:pPr>
      <w:r w:rsidRPr="009D6915">
        <w:rPr>
          <w:rFonts w:eastAsia="Helvetica"/>
          <w:b/>
          <w:bCs/>
          <w:color w:val="808080"/>
          <w:sz w:val="30"/>
          <w:szCs w:val="30"/>
          <w:u w:color="CC0000"/>
        </w:rPr>
        <w:t xml:space="preserve">How much People Change Management is </w:t>
      </w:r>
      <w:r>
        <w:rPr>
          <w:rFonts w:eastAsia="Helvetica"/>
          <w:b/>
          <w:bCs/>
          <w:color w:val="808080"/>
          <w:sz w:val="30"/>
          <w:szCs w:val="30"/>
          <w:u w:color="CC0000"/>
        </w:rPr>
        <w:t>n</w:t>
      </w:r>
      <w:r w:rsidRPr="009D6915">
        <w:rPr>
          <w:rFonts w:eastAsia="Helvetica"/>
          <w:b/>
          <w:bCs/>
          <w:color w:val="808080"/>
          <w:sz w:val="30"/>
          <w:szCs w:val="30"/>
          <w:u w:color="CC0000"/>
        </w:rPr>
        <w:t>eeded for your project?</w:t>
      </w:r>
    </w:p>
    <w:p w:rsidR="00C33B19" w:rsidRDefault="00C33B19" w:rsidP="00C33B19">
      <w:pPr>
        <w:pStyle w:val="BodyText2"/>
        <w:spacing w:before="100"/>
        <w:ind w:left="180" w:right="126"/>
        <w:rPr>
          <w:sz w:val="24"/>
          <w:szCs w:val="24"/>
        </w:rPr>
      </w:pPr>
      <w:r>
        <w:rPr>
          <w:sz w:val="24"/>
          <w:szCs w:val="24"/>
        </w:rPr>
        <w:t>Bring your active project or a project that is just starting and your laptop to this working session.</w:t>
      </w:r>
    </w:p>
    <w:p w:rsidR="009D6915" w:rsidRDefault="009D6915" w:rsidP="00DC6F43">
      <w:pPr>
        <w:pStyle w:val="BodyText2"/>
        <w:spacing w:before="100"/>
        <w:ind w:left="180" w:right="126"/>
        <w:rPr>
          <w:sz w:val="24"/>
          <w:szCs w:val="24"/>
        </w:rPr>
      </w:pPr>
      <w:r>
        <w:rPr>
          <w:sz w:val="24"/>
          <w:szCs w:val="24"/>
        </w:rPr>
        <w:t xml:space="preserve">This interactive </w:t>
      </w:r>
      <w:r w:rsidR="00C33B19">
        <w:rPr>
          <w:sz w:val="24"/>
          <w:szCs w:val="24"/>
        </w:rPr>
        <w:t xml:space="preserve">2-hour </w:t>
      </w:r>
      <w:r>
        <w:rPr>
          <w:sz w:val="24"/>
          <w:szCs w:val="24"/>
        </w:rPr>
        <w:t xml:space="preserve">workshop will help you to start define </w:t>
      </w:r>
      <w:r w:rsidRPr="00C33B19">
        <w:rPr>
          <w:sz w:val="24"/>
          <w:szCs w:val="24"/>
          <w:u w:val="single"/>
        </w:rPr>
        <w:t>your own</w:t>
      </w:r>
      <w:r>
        <w:rPr>
          <w:sz w:val="24"/>
          <w:szCs w:val="24"/>
        </w:rPr>
        <w:t xml:space="preserve"> People Change Management Strategy to answer the question – How much People Change Management is needed for my project?</w:t>
      </w:r>
    </w:p>
    <w:p w:rsidR="00DC6F43" w:rsidRDefault="00E96003" w:rsidP="00D04881">
      <w:pPr>
        <w:pStyle w:val="BodyText2"/>
        <w:spacing w:before="100"/>
        <w:ind w:left="180" w:right="126"/>
        <w:rPr>
          <w:sz w:val="24"/>
          <w:szCs w:val="24"/>
        </w:rPr>
      </w:pPr>
      <w:r>
        <w:rPr>
          <w:sz w:val="24"/>
          <w:szCs w:val="24"/>
        </w:rPr>
        <w:t xml:space="preserve">Any project or program that </w:t>
      </w:r>
      <w:r w:rsidR="001C50DE">
        <w:rPr>
          <w:sz w:val="24"/>
          <w:szCs w:val="24"/>
        </w:rPr>
        <w:t xml:space="preserve">have </w:t>
      </w:r>
      <w:r>
        <w:rPr>
          <w:sz w:val="24"/>
          <w:szCs w:val="24"/>
        </w:rPr>
        <w:t>done their “preparation” before the implementation phase will be more successful than a project starting with execution</w:t>
      </w:r>
      <w:r w:rsidR="00013723">
        <w:rPr>
          <w:sz w:val="24"/>
          <w:szCs w:val="24"/>
        </w:rPr>
        <w:t>,</w:t>
      </w:r>
      <w:r>
        <w:rPr>
          <w:sz w:val="24"/>
          <w:szCs w:val="24"/>
        </w:rPr>
        <w:t xml:space="preserve"> without</w:t>
      </w:r>
      <w:r w:rsidR="001C50DE">
        <w:rPr>
          <w:sz w:val="24"/>
          <w:szCs w:val="24"/>
        </w:rPr>
        <w:t xml:space="preserve"> really knowing what is needed</w:t>
      </w:r>
      <w:r>
        <w:rPr>
          <w:sz w:val="24"/>
          <w:szCs w:val="24"/>
        </w:rPr>
        <w:t xml:space="preserve"> or who will be impacted. The same is true for a People Change </w:t>
      </w:r>
      <w:r w:rsidR="001C50DE">
        <w:rPr>
          <w:sz w:val="24"/>
          <w:szCs w:val="24"/>
        </w:rPr>
        <w:t>M</w:t>
      </w:r>
      <w:r>
        <w:rPr>
          <w:sz w:val="24"/>
          <w:szCs w:val="24"/>
        </w:rPr>
        <w:t>anagement initiative</w:t>
      </w:r>
      <w:r w:rsidR="001C50DE">
        <w:rPr>
          <w:sz w:val="24"/>
          <w:szCs w:val="24"/>
        </w:rPr>
        <w:t xml:space="preserve">, </w:t>
      </w:r>
      <w:r>
        <w:rPr>
          <w:sz w:val="24"/>
          <w:szCs w:val="24"/>
        </w:rPr>
        <w:t xml:space="preserve">preparation is the key to </w:t>
      </w:r>
      <w:r w:rsidR="001C50DE">
        <w:rPr>
          <w:sz w:val="24"/>
          <w:szCs w:val="24"/>
        </w:rPr>
        <w:t>successful transformation</w:t>
      </w:r>
      <w:r w:rsidR="009D6915">
        <w:rPr>
          <w:sz w:val="24"/>
          <w:szCs w:val="24"/>
        </w:rPr>
        <w:t xml:space="preserve"> and the People Change Management Strategy is a key part in the preparation phase.</w:t>
      </w:r>
    </w:p>
    <w:p w:rsidR="001C50DE" w:rsidRDefault="001C50DE" w:rsidP="00D04881">
      <w:pPr>
        <w:pStyle w:val="BodyText2"/>
        <w:spacing w:before="100"/>
        <w:ind w:left="180" w:right="126"/>
        <w:rPr>
          <w:sz w:val="24"/>
          <w:szCs w:val="24"/>
        </w:rPr>
      </w:pPr>
      <w:r>
        <w:rPr>
          <w:sz w:val="24"/>
          <w:szCs w:val="24"/>
        </w:rPr>
        <w:t>In the workshop you will capture the characteristics of the change, organizational attributes, change management team, sponsorship model, project structure, risk assessment, project particulars per impacted group</w:t>
      </w:r>
      <w:r w:rsidR="00013723">
        <w:rPr>
          <w:sz w:val="24"/>
          <w:szCs w:val="24"/>
        </w:rPr>
        <w:t xml:space="preserve"> </w:t>
      </w:r>
      <w:r>
        <w:rPr>
          <w:sz w:val="24"/>
          <w:szCs w:val="24"/>
        </w:rPr>
        <w:t xml:space="preserve">and </w:t>
      </w:r>
      <w:r w:rsidR="00C33B19">
        <w:rPr>
          <w:sz w:val="24"/>
          <w:szCs w:val="24"/>
        </w:rPr>
        <w:t>much more</w:t>
      </w:r>
      <w:r>
        <w:rPr>
          <w:sz w:val="24"/>
          <w:szCs w:val="24"/>
        </w:rPr>
        <w:t>.</w:t>
      </w:r>
      <w:r w:rsidR="00013723">
        <w:rPr>
          <w:sz w:val="24"/>
          <w:szCs w:val="24"/>
        </w:rPr>
        <w:t xml:space="preserve"> Based on the documented </w:t>
      </w:r>
      <w:r w:rsidR="00B66208">
        <w:rPr>
          <w:sz w:val="24"/>
          <w:szCs w:val="24"/>
        </w:rPr>
        <w:t xml:space="preserve">information </w:t>
      </w:r>
      <w:r w:rsidR="00013723">
        <w:rPr>
          <w:sz w:val="24"/>
          <w:szCs w:val="24"/>
        </w:rPr>
        <w:t>you will have a solid base to develop the communication, training, transition, sponsorship, resistance plans and can “sell” the required funding for these activities</w:t>
      </w:r>
      <w:r w:rsidR="00F51FD7">
        <w:rPr>
          <w:sz w:val="24"/>
          <w:szCs w:val="24"/>
        </w:rPr>
        <w:t xml:space="preserve"> based on facts. A</w:t>
      </w:r>
      <w:r>
        <w:rPr>
          <w:sz w:val="24"/>
          <w:szCs w:val="24"/>
        </w:rPr>
        <w:t xml:space="preserve"> number of templates and useful documents will be provided </w:t>
      </w:r>
      <w:r w:rsidR="00F51FD7">
        <w:rPr>
          <w:sz w:val="24"/>
          <w:szCs w:val="24"/>
        </w:rPr>
        <w:t xml:space="preserve">and used </w:t>
      </w:r>
      <w:r>
        <w:rPr>
          <w:sz w:val="24"/>
          <w:szCs w:val="24"/>
        </w:rPr>
        <w:t>during the workshop.</w:t>
      </w:r>
    </w:p>
    <w:p w:rsidR="00C33B19" w:rsidRDefault="00C33B19" w:rsidP="00D04881">
      <w:pPr>
        <w:pStyle w:val="BodyText2"/>
        <w:spacing w:before="100"/>
        <w:ind w:left="180" w:right="126"/>
        <w:rPr>
          <w:sz w:val="24"/>
          <w:szCs w:val="24"/>
        </w:rPr>
      </w:pPr>
    </w:p>
    <w:p w:rsidR="00533DBF" w:rsidRPr="007E5BF0" w:rsidRDefault="00533DBF" w:rsidP="009E7355">
      <w:pPr>
        <w:ind w:right="126"/>
        <w:rPr>
          <w:rFonts w:ascii="Arial" w:hAnsi="Arial" w:cs="Arial"/>
          <w:lang w:val="en-CA"/>
        </w:rPr>
      </w:pPr>
    </w:p>
    <w:p w:rsidR="001C02CA" w:rsidRPr="007E5BF0" w:rsidRDefault="00533DBF" w:rsidP="00B47C8B">
      <w:pPr>
        <w:ind w:left="180" w:right="126"/>
        <w:rPr>
          <w:rFonts w:ascii="Arial" w:hAnsi="Arial" w:cs="Arial"/>
          <w:b/>
        </w:rPr>
      </w:pPr>
      <w:r w:rsidRPr="007E5BF0">
        <w:rPr>
          <w:rFonts w:ascii="Arial" w:hAnsi="Arial" w:cs="Arial"/>
          <w:b/>
        </w:rPr>
        <w:t xml:space="preserve">Speaker: </w:t>
      </w:r>
      <w:r w:rsidR="004D4D39" w:rsidRPr="007E5BF0">
        <w:rPr>
          <w:rFonts w:ascii="Arial" w:eastAsia="Helvetica" w:hAnsi="Arial" w:cs="Arial"/>
          <w:b/>
          <w:color w:val="CC0000"/>
          <w:u w:color="CC0000"/>
        </w:rPr>
        <w:t>Thorsten Manthey</w:t>
      </w:r>
    </w:p>
    <w:p w:rsidR="0031781C" w:rsidRPr="007E5BF0" w:rsidRDefault="004A321A" w:rsidP="00B47C8B">
      <w:pPr>
        <w:pStyle w:val="BodyText2"/>
        <w:spacing w:before="100"/>
        <w:ind w:left="180" w:right="126"/>
        <w:rPr>
          <w:sz w:val="24"/>
          <w:szCs w:val="24"/>
        </w:rPr>
      </w:pPr>
      <w:r>
        <w:rPr>
          <w:noProof/>
        </w:rPr>
        <w:drawing>
          <wp:anchor distT="0" distB="0" distL="114300" distR="114300" simplePos="0" relativeHeight="251658240" behindDoc="0" locked="0" layoutInCell="1" allowOverlap="1">
            <wp:simplePos x="0" y="0"/>
            <wp:positionH relativeFrom="column">
              <wp:posOffset>112395</wp:posOffset>
            </wp:positionH>
            <wp:positionV relativeFrom="paragraph">
              <wp:posOffset>67310</wp:posOffset>
            </wp:positionV>
            <wp:extent cx="1360170" cy="1708785"/>
            <wp:effectExtent l="0" t="0" r="0" b="5715"/>
            <wp:wrapSquare wrapText="bothSides"/>
            <wp:docPr id="3" name="Picture 3" descr="Thor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orst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0170" cy="1708785"/>
                    </a:xfrm>
                    <a:prstGeom prst="rect">
                      <a:avLst/>
                    </a:prstGeom>
                    <a:noFill/>
                    <a:ln>
                      <a:noFill/>
                    </a:ln>
                  </pic:spPr>
                </pic:pic>
              </a:graphicData>
            </a:graphic>
            <wp14:sizeRelH relativeFrom="page">
              <wp14:pctWidth>0</wp14:pctWidth>
            </wp14:sizeRelH>
            <wp14:sizeRelV relativeFrom="page">
              <wp14:pctHeight>0</wp14:pctHeight>
            </wp14:sizeRelV>
          </wp:anchor>
        </w:drawing>
      </w:r>
      <w:r w:rsidR="0031781C" w:rsidRPr="007E5BF0">
        <w:rPr>
          <w:sz w:val="24"/>
          <w:szCs w:val="24"/>
        </w:rPr>
        <w:t xml:space="preserve">Thorsten Manthey </w:t>
      </w:r>
      <w:r w:rsidR="0030158D">
        <w:rPr>
          <w:sz w:val="24"/>
          <w:szCs w:val="24"/>
        </w:rPr>
        <w:t xml:space="preserve">is </w:t>
      </w:r>
      <w:r w:rsidR="00BF1AEA">
        <w:rPr>
          <w:sz w:val="24"/>
          <w:szCs w:val="24"/>
        </w:rPr>
        <w:t>passionate about IT Service M</w:t>
      </w:r>
      <w:r w:rsidR="009E7355">
        <w:rPr>
          <w:sz w:val="24"/>
          <w:szCs w:val="24"/>
        </w:rPr>
        <w:t xml:space="preserve">anagement, </w:t>
      </w:r>
      <w:r w:rsidR="009E7355" w:rsidRPr="007E5BF0">
        <w:rPr>
          <w:sz w:val="24"/>
          <w:szCs w:val="24"/>
        </w:rPr>
        <w:t>cultural and organizational change</w:t>
      </w:r>
      <w:r w:rsidR="009E7355">
        <w:rPr>
          <w:sz w:val="24"/>
          <w:szCs w:val="24"/>
        </w:rPr>
        <w:t xml:space="preserve"> and </w:t>
      </w:r>
      <w:r w:rsidR="00B66208">
        <w:rPr>
          <w:sz w:val="24"/>
          <w:szCs w:val="24"/>
        </w:rPr>
        <w:t>ITSM</w:t>
      </w:r>
      <w:r w:rsidR="000D5F28">
        <w:rPr>
          <w:sz w:val="24"/>
          <w:szCs w:val="24"/>
        </w:rPr>
        <w:t xml:space="preserve"> Governance</w:t>
      </w:r>
      <w:r w:rsidR="0031781C" w:rsidRPr="007E5BF0">
        <w:rPr>
          <w:sz w:val="24"/>
          <w:szCs w:val="24"/>
        </w:rPr>
        <w:t>. Thorsten has worked across multiple industries including health care, pharmaceutical, oil and gas, financial services, insurance and telecommunications in North America, Europe and Scandinavia.</w:t>
      </w:r>
    </w:p>
    <w:p w:rsidR="0031781C" w:rsidRPr="000D5F28" w:rsidRDefault="00B14BA3" w:rsidP="00013723">
      <w:pPr>
        <w:pStyle w:val="BodyText2"/>
        <w:spacing w:before="100"/>
        <w:ind w:left="180" w:right="126"/>
        <w:rPr>
          <w:sz w:val="24"/>
          <w:szCs w:val="24"/>
        </w:rPr>
      </w:pPr>
      <w:r w:rsidRPr="000D5F28">
        <w:rPr>
          <w:sz w:val="24"/>
          <w:szCs w:val="24"/>
        </w:rPr>
        <w:t>Thorsten holds a Master’s degree in Computer Science and Engineering from Chalmers University of Technology and a Bachelor degree in Mechanical Engineering. He is also ITIL V3 Expert and ITIL V2</w:t>
      </w:r>
      <w:r w:rsidR="0030158D" w:rsidRPr="000D5F28">
        <w:rPr>
          <w:sz w:val="24"/>
          <w:szCs w:val="24"/>
        </w:rPr>
        <w:t xml:space="preserve"> master certified</w:t>
      </w:r>
      <w:r w:rsidR="00B95DC8">
        <w:rPr>
          <w:sz w:val="24"/>
          <w:szCs w:val="24"/>
        </w:rPr>
        <w:t>, he is a Certified Change Management Professional (CCMP)</w:t>
      </w:r>
      <w:r w:rsidR="0030158D" w:rsidRPr="000D5F28">
        <w:rPr>
          <w:sz w:val="24"/>
          <w:szCs w:val="24"/>
        </w:rPr>
        <w:t xml:space="preserve"> and </w:t>
      </w:r>
      <w:r w:rsidR="000D5F28" w:rsidRPr="000D5F28">
        <w:rPr>
          <w:sz w:val="24"/>
          <w:szCs w:val="24"/>
        </w:rPr>
        <w:t xml:space="preserve">awarded Distinguished Professional in Service Management (DPSM) </w:t>
      </w:r>
      <w:r w:rsidR="00B66208">
        <w:rPr>
          <w:sz w:val="24"/>
          <w:szCs w:val="24"/>
        </w:rPr>
        <w:t xml:space="preserve">from </w:t>
      </w:r>
      <w:r w:rsidR="00B66208" w:rsidRPr="00B66208">
        <w:rPr>
          <w:i/>
          <w:sz w:val="24"/>
          <w:szCs w:val="24"/>
        </w:rPr>
        <w:t>pri</w:t>
      </w:r>
      <w:r w:rsidR="00B66208">
        <w:rPr>
          <w:sz w:val="24"/>
          <w:szCs w:val="24"/>
        </w:rPr>
        <w:t>SM</w:t>
      </w:r>
      <w:r w:rsidR="00B66208" w:rsidRPr="00B66208">
        <w:rPr>
          <w:sz w:val="24"/>
          <w:szCs w:val="24"/>
          <w:vertAlign w:val="superscript"/>
        </w:rPr>
        <w:t>®</w:t>
      </w:r>
      <w:r w:rsidR="0030158D" w:rsidRPr="000D5F28">
        <w:rPr>
          <w:sz w:val="24"/>
          <w:szCs w:val="24"/>
        </w:rPr>
        <w:t xml:space="preserve">. </w:t>
      </w:r>
      <w:r w:rsidRPr="000D5F28">
        <w:rPr>
          <w:sz w:val="24"/>
          <w:szCs w:val="24"/>
        </w:rPr>
        <w:t>Thorsten spe</w:t>
      </w:r>
      <w:r w:rsidR="00B66208">
        <w:rPr>
          <w:sz w:val="24"/>
          <w:szCs w:val="24"/>
        </w:rPr>
        <w:t xml:space="preserve">aks English, German and Swedish and </w:t>
      </w:r>
      <w:r w:rsidR="00A5766D">
        <w:rPr>
          <w:sz w:val="24"/>
          <w:szCs w:val="24"/>
        </w:rPr>
        <w:t>is an international speaker and presenter.</w:t>
      </w:r>
    </w:p>
    <w:p w:rsidR="007E5BF0" w:rsidRDefault="00F364BC" w:rsidP="00F51FD7">
      <w:pPr>
        <w:pStyle w:val="BodyText2"/>
        <w:spacing w:before="100"/>
        <w:ind w:left="180" w:right="126"/>
        <w:rPr>
          <w:noProof/>
          <w:sz w:val="24"/>
          <w:szCs w:val="24"/>
        </w:rPr>
      </w:pPr>
      <w:r w:rsidRPr="007E5BF0">
        <w:rPr>
          <w:sz w:val="24"/>
          <w:szCs w:val="24"/>
        </w:rPr>
        <w:t xml:space="preserve">Thorsten is actively involved in itSMF </w:t>
      </w:r>
      <w:r w:rsidR="00EF5D5A">
        <w:rPr>
          <w:sz w:val="24"/>
          <w:szCs w:val="24"/>
        </w:rPr>
        <w:t>and was</w:t>
      </w:r>
      <w:r w:rsidRPr="007E5BF0">
        <w:rPr>
          <w:noProof/>
          <w:sz w:val="24"/>
          <w:szCs w:val="24"/>
        </w:rPr>
        <w:t xml:space="preserve"> </w:t>
      </w:r>
      <w:r w:rsidR="0031781C" w:rsidRPr="007E5BF0">
        <w:rPr>
          <w:noProof/>
          <w:sz w:val="24"/>
          <w:szCs w:val="24"/>
        </w:rPr>
        <w:t>a founding board member of the itSMF chapter in Calgary, Canada</w:t>
      </w:r>
      <w:r w:rsidR="007E5BF0">
        <w:rPr>
          <w:noProof/>
          <w:sz w:val="24"/>
          <w:szCs w:val="24"/>
        </w:rPr>
        <w:t>.</w:t>
      </w:r>
    </w:p>
    <w:p w:rsidR="0011414A" w:rsidRPr="00F51FD7" w:rsidRDefault="0011414A" w:rsidP="00F51FD7">
      <w:pPr>
        <w:pStyle w:val="BodyText2"/>
        <w:spacing w:before="100"/>
        <w:ind w:left="180" w:right="126"/>
        <w:rPr>
          <w:noProof/>
          <w:sz w:val="24"/>
          <w:szCs w:val="24"/>
        </w:rPr>
      </w:pPr>
    </w:p>
    <w:p w:rsidR="007E5BF0" w:rsidRPr="007E5BF0" w:rsidRDefault="007E5BF0" w:rsidP="00B47C8B">
      <w:pPr>
        <w:pStyle w:val="BodyText2"/>
        <w:spacing w:before="100"/>
        <w:ind w:left="180" w:right="126"/>
        <w:rPr>
          <w:noProof/>
          <w:sz w:val="24"/>
          <w:szCs w:val="24"/>
          <w:u w:val="single"/>
        </w:rPr>
      </w:pPr>
      <w:r w:rsidRPr="007E5BF0">
        <w:rPr>
          <w:noProof/>
          <w:sz w:val="24"/>
          <w:szCs w:val="24"/>
          <w:u w:val="single"/>
        </w:rPr>
        <w:t>What you can add to your “tool box” after this presentation:</w:t>
      </w:r>
    </w:p>
    <w:p w:rsidR="0011414A" w:rsidRDefault="0011414A" w:rsidP="00013723">
      <w:pPr>
        <w:pStyle w:val="BodyText2"/>
        <w:numPr>
          <w:ilvl w:val="0"/>
          <w:numId w:val="9"/>
        </w:numPr>
        <w:spacing w:before="100"/>
        <w:ind w:right="126"/>
        <w:rPr>
          <w:noProof/>
          <w:sz w:val="22"/>
          <w:szCs w:val="24"/>
        </w:rPr>
      </w:pPr>
      <w:r>
        <w:rPr>
          <w:noProof/>
          <w:sz w:val="22"/>
          <w:szCs w:val="24"/>
        </w:rPr>
        <w:t>Ready to use templates and helpful people change management artifacts</w:t>
      </w:r>
    </w:p>
    <w:p w:rsidR="009E7355" w:rsidRDefault="0011414A" w:rsidP="00013723">
      <w:pPr>
        <w:pStyle w:val="BodyText2"/>
        <w:numPr>
          <w:ilvl w:val="0"/>
          <w:numId w:val="9"/>
        </w:numPr>
        <w:spacing w:before="100"/>
        <w:ind w:right="126"/>
        <w:rPr>
          <w:noProof/>
          <w:sz w:val="22"/>
          <w:szCs w:val="24"/>
        </w:rPr>
      </w:pPr>
      <w:r>
        <w:rPr>
          <w:noProof/>
          <w:sz w:val="22"/>
          <w:szCs w:val="24"/>
        </w:rPr>
        <w:t>Your own</w:t>
      </w:r>
      <w:r w:rsidR="00F51FD7">
        <w:rPr>
          <w:noProof/>
          <w:sz w:val="22"/>
          <w:szCs w:val="24"/>
        </w:rPr>
        <w:t xml:space="preserve"> </w:t>
      </w:r>
      <w:r w:rsidR="00013723">
        <w:rPr>
          <w:noProof/>
          <w:sz w:val="22"/>
          <w:szCs w:val="24"/>
        </w:rPr>
        <w:t>People Change Management Strategy to answer the question “how much change is needed for my project to be successful”</w:t>
      </w:r>
    </w:p>
    <w:p w:rsidR="00C33B19" w:rsidRDefault="00C33B19" w:rsidP="00C33B19">
      <w:pPr>
        <w:pStyle w:val="BodyText2"/>
        <w:spacing w:before="100"/>
        <w:ind w:right="126"/>
        <w:rPr>
          <w:noProof/>
          <w:sz w:val="22"/>
          <w:szCs w:val="24"/>
        </w:rPr>
      </w:pPr>
    </w:p>
    <w:p w:rsidR="00C33B19" w:rsidRDefault="00C33B19" w:rsidP="00C33B19">
      <w:pPr>
        <w:pStyle w:val="BodyText2"/>
        <w:spacing w:before="100"/>
        <w:ind w:right="126"/>
        <w:rPr>
          <w:noProof/>
          <w:sz w:val="22"/>
          <w:szCs w:val="24"/>
        </w:rPr>
      </w:pPr>
    </w:p>
    <w:p w:rsidR="00C33B19" w:rsidRDefault="00C33B19" w:rsidP="00C33B19">
      <w:pPr>
        <w:pStyle w:val="BodyText2"/>
        <w:spacing w:before="100"/>
        <w:ind w:right="126"/>
        <w:rPr>
          <w:noProof/>
          <w:sz w:val="22"/>
          <w:szCs w:val="24"/>
        </w:rPr>
      </w:pPr>
    </w:p>
    <w:p w:rsidR="00C33B19" w:rsidRDefault="00C33B19" w:rsidP="00C33B19">
      <w:pPr>
        <w:pStyle w:val="BodyText2"/>
        <w:spacing w:before="100"/>
        <w:ind w:right="126"/>
        <w:rPr>
          <w:noProof/>
          <w:sz w:val="22"/>
          <w:szCs w:val="24"/>
        </w:rPr>
      </w:pPr>
    </w:p>
    <w:p w:rsidR="00C33B19" w:rsidRDefault="00C33B19" w:rsidP="00C33B19">
      <w:pPr>
        <w:pStyle w:val="BodyText2"/>
        <w:spacing w:before="100"/>
        <w:ind w:right="126"/>
        <w:rPr>
          <w:noProof/>
          <w:sz w:val="22"/>
          <w:szCs w:val="24"/>
        </w:rPr>
      </w:pPr>
    </w:p>
    <w:p w:rsidR="00C33B19" w:rsidRPr="004B3D8D" w:rsidRDefault="00C33B19" w:rsidP="00C33B19">
      <w:pPr>
        <w:pStyle w:val="BodyText2"/>
        <w:spacing w:before="100"/>
        <w:ind w:left="900" w:right="126"/>
        <w:rPr>
          <w:b/>
          <w:noProof/>
          <w:sz w:val="24"/>
          <w:szCs w:val="24"/>
        </w:rPr>
      </w:pPr>
      <w:r w:rsidRPr="004B3D8D">
        <w:rPr>
          <w:b/>
          <w:noProof/>
          <w:sz w:val="24"/>
          <w:szCs w:val="24"/>
        </w:rPr>
        <w:t>200 word text</w:t>
      </w:r>
    </w:p>
    <w:p w:rsidR="00C33B19" w:rsidRDefault="00C33B19" w:rsidP="00C33B19">
      <w:pPr>
        <w:pStyle w:val="BodyText2"/>
        <w:spacing w:before="100"/>
        <w:ind w:left="900" w:right="126"/>
        <w:rPr>
          <w:sz w:val="24"/>
          <w:szCs w:val="24"/>
        </w:rPr>
      </w:pPr>
      <w:r>
        <w:rPr>
          <w:sz w:val="24"/>
          <w:szCs w:val="24"/>
        </w:rPr>
        <w:t>Bring your active project or a project that is just starting and your laptop to this working session.</w:t>
      </w:r>
    </w:p>
    <w:p w:rsidR="00C33B19" w:rsidRDefault="00C33B19" w:rsidP="00C33B19">
      <w:pPr>
        <w:pStyle w:val="BodyText2"/>
        <w:spacing w:before="100"/>
        <w:ind w:left="900" w:right="126"/>
        <w:rPr>
          <w:sz w:val="24"/>
          <w:szCs w:val="24"/>
        </w:rPr>
      </w:pPr>
      <w:r>
        <w:rPr>
          <w:sz w:val="24"/>
          <w:szCs w:val="24"/>
        </w:rPr>
        <w:t xml:space="preserve">This interactive 2-hour workshop will help you to start define </w:t>
      </w:r>
      <w:r w:rsidRPr="00C33B19">
        <w:rPr>
          <w:sz w:val="24"/>
          <w:szCs w:val="24"/>
        </w:rPr>
        <w:t>your own</w:t>
      </w:r>
      <w:r>
        <w:rPr>
          <w:sz w:val="24"/>
          <w:szCs w:val="24"/>
        </w:rPr>
        <w:t xml:space="preserve"> People Change Management Strategy to answer the question – How much People Change Management is needed for my project?</w:t>
      </w:r>
    </w:p>
    <w:p w:rsidR="00C33B19" w:rsidRDefault="00C33B19" w:rsidP="00C33B19">
      <w:pPr>
        <w:pStyle w:val="BodyText2"/>
        <w:spacing w:before="100"/>
        <w:ind w:left="900" w:right="126"/>
        <w:rPr>
          <w:sz w:val="24"/>
          <w:szCs w:val="24"/>
        </w:rPr>
      </w:pPr>
      <w:r>
        <w:rPr>
          <w:sz w:val="24"/>
          <w:szCs w:val="24"/>
        </w:rPr>
        <w:t>Any project or program that have done their “preparation” before the implementation phase will be more successful than a project starting with execution, without really knowing what is needed or who will be impacted. The same is true for a People Change Management initiative, preparation is the key to successful transformation and the People Change Management Strategy is a key part in the preparation phase.</w:t>
      </w:r>
    </w:p>
    <w:p w:rsidR="00C33B19" w:rsidRDefault="00C33B19" w:rsidP="00C33B19">
      <w:pPr>
        <w:pStyle w:val="BodyText2"/>
        <w:spacing w:before="100"/>
        <w:ind w:left="900" w:right="126"/>
        <w:rPr>
          <w:sz w:val="24"/>
          <w:szCs w:val="24"/>
        </w:rPr>
      </w:pPr>
      <w:r>
        <w:rPr>
          <w:sz w:val="24"/>
          <w:szCs w:val="24"/>
        </w:rPr>
        <w:t>In the workshop you will capture the characteristics of the change, organizational attributes, change management team, sponsorship model, project structure, risk assessment, project particulars per impacted group and much more. Based on the documented information you will have a solid base to develop the communication, training, transition, sponsorship, resistance plans and can “sell” the required funding for these activities based on facts. A number of templates and useful documents will be provided and used during the workshop.</w:t>
      </w:r>
    </w:p>
    <w:p w:rsidR="00C33B19" w:rsidRDefault="00C33B19" w:rsidP="00C33B19">
      <w:pPr>
        <w:pStyle w:val="BodyText2"/>
        <w:spacing w:before="100"/>
        <w:ind w:left="900" w:right="126"/>
        <w:rPr>
          <w:sz w:val="24"/>
          <w:szCs w:val="24"/>
        </w:rPr>
      </w:pPr>
    </w:p>
    <w:p w:rsidR="00C33B19" w:rsidRDefault="00C33B19" w:rsidP="00C33B19">
      <w:pPr>
        <w:pStyle w:val="BodyText2"/>
        <w:spacing w:before="100"/>
        <w:ind w:left="900" w:right="126"/>
        <w:rPr>
          <w:b/>
          <w:noProof/>
          <w:sz w:val="24"/>
          <w:szCs w:val="24"/>
        </w:rPr>
      </w:pPr>
      <w:r w:rsidRPr="004B3D8D">
        <w:rPr>
          <w:b/>
          <w:noProof/>
          <w:sz w:val="24"/>
          <w:szCs w:val="24"/>
        </w:rPr>
        <w:t>75 word catalog description</w:t>
      </w:r>
    </w:p>
    <w:p w:rsidR="00C33B19" w:rsidRDefault="00C33B19" w:rsidP="00C33B19">
      <w:pPr>
        <w:pStyle w:val="BodyText2"/>
        <w:spacing w:before="100"/>
        <w:ind w:left="900" w:right="126"/>
        <w:rPr>
          <w:sz w:val="24"/>
          <w:szCs w:val="24"/>
        </w:rPr>
      </w:pPr>
      <w:r>
        <w:rPr>
          <w:sz w:val="24"/>
          <w:szCs w:val="24"/>
        </w:rPr>
        <w:t xml:space="preserve">Bring your active project or </w:t>
      </w:r>
      <w:r>
        <w:rPr>
          <w:sz w:val="24"/>
          <w:szCs w:val="24"/>
        </w:rPr>
        <w:t>a project</w:t>
      </w:r>
      <w:r>
        <w:rPr>
          <w:sz w:val="24"/>
          <w:szCs w:val="24"/>
        </w:rPr>
        <w:t xml:space="preserve"> that is just starting and your laptop to this working session.</w:t>
      </w:r>
    </w:p>
    <w:p w:rsidR="00C33B19" w:rsidRDefault="00C33B19" w:rsidP="00C33B19">
      <w:pPr>
        <w:pStyle w:val="BodyText2"/>
        <w:spacing w:before="100"/>
        <w:ind w:left="900" w:right="126"/>
        <w:rPr>
          <w:sz w:val="24"/>
          <w:szCs w:val="24"/>
        </w:rPr>
      </w:pPr>
      <w:r>
        <w:rPr>
          <w:sz w:val="24"/>
          <w:szCs w:val="24"/>
        </w:rPr>
        <w:t xml:space="preserve">This interactive </w:t>
      </w:r>
      <w:r>
        <w:rPr>
          <w:sz w:val="24"/>
          <w:szCs w:val="24"/>
        </w:rPr>
        <w:t>2-</w:t>
      </w:r>
      <w:r>
        <w:rPr>
          <w:sz w:val="24"/>
          <w:szCs w:val="24"/>
        </w:rPr>
        <w:t xml:space="preserve">hour workshop will help you to start define </w:t>
      </w:r>
      <w:r w:rsidRPr="00C33B19">
        <w:rPr>
          <w:sz w:val="24"/>
          <w:szCs w:val="24"/>
        </w:rPr>
        <w:t>your own</w:t>
      </w:r>
      <w:r>
        <w:rPr>
          <w:sz w:val="24"/>
          <w:szCs w:val="24"/>
        </w:rPr>
        <w:t xml:space="preserve"> People Change Management Strategy to answer the question – How much People Change Management is needed for my project?</w:t>
      </w:r>
    </w:p>
    <w:p w:rsidR="00C33B19" w:rsidRPr="00C33B19" w:rsidRDefault="00C33B19" w:rsidP="00C33B19">
      <w:pPr>
        <w:pStyle w:val="BodyText2"/>
        <w:spacing w:before="100"/>
        <w:ind w:left="900" w:right="126"/>
        <w:rPr>
          <w:sz w:val="24"/>
          <w:szCs w:val="24"/>
        </w:rPr>
      </w:pPr>
      <w:r w:rsidRPr="00C33B19">
        <w:rPr>
          <w:sz w:val="24"/>
          <w:szCs w:val="24"/>
        </w:rPr>
        <w:t xml:space="preserve">Ready to use templates and helpful </w:t>
      </w:r>
      <w:r>
        <w:rPr>
          <w:sz w:val="24"/>
          <w:szCs w:val="24"/>
        </w:rPr>
        <w:t>People Change M</w:t>
      </w:r>
      <w:r w:rsidRPr="00C33B19">
        <w:rPr>
          <w:sz w:val="24"/>
          <w:szCs w:val="24"/>
        </w:rPr>
        <w:t>anagement artifacts</w:t>
      </w:r>
      <w:r>
        <w:rPr>
          <w:sz w:val="24"/>
          <w:szCs w:val="24"/>
        </w:rPr>
        <w:t xml:space="preserve"> will be provided and you will also leave with y</w:t>
      </w:r>
      <w:r w:rsidRPr="00C33B19">
        <w:rPr>
          <w:sz w:val="24"/>
          <w:szCs w:val="24"/>
        </w:rPr>
        <w:t xml:space="preserve">our own People Change Management </w:t>
      </w:r>
      <w:r>
        <w:rPr>
          <w:sz w:val="24"/>
          <w:szCs w:val="24"/>
        </w:rPr>
        <w:t>Strategy document.</w:t>
      </w:r>
    </w:p>
    <w:p w:rsidR="00C33B19" w:rsidRPr="0009560B" w:rsidRDefault="0009560B" w:rsidP="00C33B19">
      <w:pPr>
        <w:pStyle w:val="BodyText2"/>
        <w:spacing w:before="100"/>
        <w:ind w:left="900" w:right="126"/>
        <w:rPr>
          <w:b/>
          <w:noProof/>
          <w:sz w:val="24"/>
          <w:szCs w:val="24"/>
        </w:rPr>
      </w:pPr>
      <w:r w:rsidRPr="0009560B">
        <w:rPr>
          <w:b/>
          <w:noProof/>
          <w:sz w:val="24"/>
          <w:szCs w:val="24"/>
        </w:rPr>
        <w:t>75 word bio</w:t>
      </w:r>
    </w:p>
    <w:p w:rsidR="0009560B" w:rsidRPr="0009560B" w:rsidRDefault="0009560B" w:rsidP="0009560B">
      <w:pPr>
        <w:pStyle w:val="BodyText2"/>
        <w:spacing w:before="100"/>
        <w:ind w:left="900" w:right="126"/>
        <w:rPr>
          <w:sz w:val="24"/>
          <w:szCs w:val="24"/>
        </w:rPr>
      </w:pPr>
      <w:r w:rsidRPr="0009560B">
        <w:rPr>
          <w:sz w:val="24"/>
          <w:szCs w:val="24"/>
        </w:rPr>
        <w:t>Thorsten Manthey is passionate about IT Service Management, cultural and organizational change an</w:t>
      </w:r>
      <w:bookmarkStart w:id="0" w:name="_GoBack"/>
      <w:bookmarkEnd w:id="0"/>
      <w:r w:rsidRPr="0009560B">
        <w:rPr>
          <w:sz w:val="24"/>
          <w:szCs w:val="24"/>
        </w:rPr>
        <w:t>d ITSM Governance. Thorsten has worked across multiple industries in North America, Europe and Scandinavia.</w:t>
      </w:r>
    </w:p>
    <w:p w:rsidR="00C33B19" w:rsidRPr="0009560B" w:rsidRDefault="0009560B" w:rsidP="0009560B">
      <w:pPr>
        <w:pStyle w:val="BodyText2"/>
        <w:spacing w:before="100"/>
        <w:ind w:left="900" w:right="126"/>
        <w:rPr>
          <w:sz w:val="24"/>
          <w:szCs w:val="24"/>
        </w:rPr>
      </w:pPr>
      <w:r w:rsidRPr="0009560B">
        <w:rPr>
          <w:sz w:val="24"/>
          <w:szCs w:val="24"/>
        </w:rPr>
        <w:t>Thorsten holds a Master’s degree in C</w:t>
      </w:r>
      <w:r>
        <w:rPr>
          <w:sz w:val="24"/>
          <w:szCs w:val="24"/>
        </w:rPr>
        <w:t xml:space="preserve">omputer Science and Engineering. </w:t>
      </w:r>
      <w:r w:rsidRPr="0009560B">
        <w:rPr>
          <w:sz w:val="24"/>
          <w:szCs w:val="24"/>
        </w:rPr>
        <w:t>He is also ITIL V3 Expert and a Certified Change Management Professional (CCMP) and awarded Distinguished Professional in Service Management (DPSM) from priSM®. Thorsten speaks English, German and Swedish and is an international speaker and presenter.</w:t>
      </w:r>
    </w:p>
    <w:sectPr w:rsidR="00C33B19" w:rsidRPr="0009560B" w:rsidSect="00EF5D5A">
      <w:footerReference w:type="default" r:id="rId11"/>
      <w:pgSz w:w="12240" w:h="15840"/>
      <w:pgMar w:top="142" w:right="900" w:bottom="284" w:left="993"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DB5" w:rsidRDefault="00CD3DB5">
      <w:r>
        <w:separator/>
      </w:r>
    </w:p>
  </w:endnote>
  <w:endnote w:type="continuationSeparator" w:id="0">
    <w:p w:rsidR="00CD3DB5" w:rsidRDefault="00CD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7A2" w:rsidRPr="00D04881" w:rsidRDefault="00BC645A" w:rsidP="00BC645A">
    <w:pPr>
      <w:pStyle w:val="Footer"/>
      <w:rPr>
        <w:rFonts w:ascii="Arial" w:hAnsi="Arial" w:cs="Arial"/>
        <w:sz w:val="18"/>
        <w:szCs w:val="20"/>
      </w:rPr>
    </w:pPr>
    <w:r w:rsidRPr="00D04881">
      <w:rPr>
        <w:rFonts w:ascii="Arial" w:hAnsi="Arial" w:cs="Arial"/>
        <w:sz w:val="18"/>
        <w:szCs w:val="20"/>
      </w:rPr>
      <w:t xml:space="preserve">Thorsten Manthey (617) 513 0000             </w:t>
    </w:r>
    <w:r w:rsidR="00EF5D5A">
      <w:rPr>
        <w:rFonts w:ascii="Arial" w:hAnsi="Arial" w:cs="Arial"/>
        <w:sz w:val="18"/>
        <w:szCs w:val="20"/>
      </w:rPr>
      <w:tab/>
    </w:r>
    <w:r w:rsidR="00EF5D5A">
      <w:rPr>
        <w:rFonts w:ascii="Arial" w:hAnsi="Arial" w:cs="Arial"/>
        <w:sz w:val="18"/>
        <w:szCs w:val="20"/>
      </w:rPr>
      <w:tab/>
    </w:r>
    <w:r w:rsidRPr="00D04881">
      <w:rPr>
        <w:rFonts w:ascii="Arial" w:hAnsi="Arial" w:cs="Arial"/>
        <w:sz w:val="18"/>
        <w:szCs w:val="20"/>
      </w:rPr>
      <w:t xml:space="preserve"> </w:t>
    </w:r>
    <w:r w:rsidR="00EF5D5A">
      <w:rPr>
        <w:rFonts w:ascii="Arial" w:hAnsi="Arial" w:cs="Arial"/>
        <w:sz w:val="18"/>
        <w:szCs w:val="20"/>
      </w:rPr>
      <w:t>thorsten@tmanthey.com</w:t>
    </w:r>
    <w:r w:rsidRPr="00D04881">
      <w:rPr>
        <w:rFonts w:ascii="Arial" w:hAnsi="Arial" w:cs="Arial"/>
        <w:sz w:val="18"/>
        <w:szCs w:val="20"/>
      </w:rPr>
      <w:t xml:space="preserve">              </w:t>
    </w:r>
    <w:r w:rsidR="00EF5D5A">
      <w:rPr>
        <w:rFonts w:ascii="Arial" w:hAnsi="Arial" w:cs="Arial"/>
        <w:sz w:val="18"/>
        <w:szCs w:val="20"/>
      </w:rPr>
      <w:tab/>
    </w:r>
    <w:r w:rsidR="00EF5D5A">
      <w:rPr>
        <w:rFonts w:ascii="Arial" w:hAnsi="Arial" w:cs="Arial"/>
        <w:sz w:val="18"/>
        <w:szCs w:val="20"/>
      </w:rPr>
      <w:tab/>
    </w:r>
    <w:r w:rsidR="00EF5D5A">
      <w:rPr>
        <w:rFonts w:ascii="Arial" w:hAnsi="Arial" w:cs="Arial"/>
        <w:sz w:val="18"/>
        <w:szCs w:val="20"/>
      </w:rPr>
      <w:tab/>
      <w:t>www.tmanthey.com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DB5" w:rsidRDefault="00CD3DB5">
      <w:r>
        <w:separator/>
      </w:r>
    </w:p>
  </w:footnote>
  <w:footnote w:type="continuationSeparator" w:id="0">
    <w:p w:rsidR="00CD3DB5" w:rsidRDefault="00CD3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A3238"/>
    <w:multiLevelType w:val="hybridMultilevel"/>
    <w:tmpl w:val="A3A6BE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7C21D0"/>
    <w:multiLevelType w:val="hybridMultilevel"/>
    <w:tmpl w:val="E00CD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62820CF"/>
    <w:multiLevelType w:val="multilevel"/>
    <w:tmpl w:val="9C66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93063E"/>
    <w:multiLevelType w:val="hybridMultilevel"/>
    <w:tmpl w:val="4ECC4F0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5DEE40C9"/>
    <w:multiLevelType w:val="hybridMultilevel"/>
    <w:tmpl w:val="57DE70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4F566B0"/>
    <w:multiLevelType w:val="hybridMultilevel"/>
    <w:tmpl w:val="5D5866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0E6B4A"/>
    <w:multiLevelType w:val="hybridMultilevel"/>
    <w:tmpl w:val="629461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351AFB"/>
    <w:multiLevelType w:val="hybridMultilevel"/>
    <w:tmpl w:val="A06CE4EE"/>
    <w:lvl w:ilvl="0" w:tplc="58DC814C">
      <w:numFmt w:val="bullet"/>
      <w:lvlText w:val="-"/>
      <w:lvlJc w:val="left"/>
      <w:pPr>
        <w:tabs>
          <w:tab w:val="num" w:pos="420"/>
        </w:tabs>
        <w:ind w:left="420" w:hanging="360"/>
      </w:pPr>
      <w:rPr>
        <w:rFonts w:ascii="Arial" w:eastAsia="Times New Roman" w:hAnsi="Arial" w:cs="Arial"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nsid w:val="72334C6A"/>
    <w:multiLevelType w:val="hybridMultilevel"/>
    <w:tmpl w:val="A6CE99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6"/>
  </w:num>
  <w:num w:numId="4">
    <w:abstractNumId w:val="8"/>
  </w:num>
  <w:num w:numId="5">
    <w:abstractNumId w:val="4"/>
  </w:num>
  <w:num w:numId="6">
    <w:abstractNumId w:val="1"/>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65F"/>
    <w:rsid w:val="0000151D"/>
    <w:rsid w:val="00003B2C"/>
    <w:rsid w:val="00013723"/>
    <w:rsid w:val="00020E7E"/>
    <w:rsid w:val="00046B73"/>
    <w:rsid w:val="00077871"/>
    <w:rsid w:val="0009560B"/>
    <w:rsid w:val="000C7D34"/>
    <w:rsid w:val="000D5F28"/>
    <w:rsid w:val="000D7194"/>
    <w:rsid w:val="000E0BCD"/>
    <w:rsid w:val="0011414A"/>
    <w:rsid w:val="00120B7D"/>
    <w:rsid w:val="00133C45"/>
    <w:rsid w:val="001657A5"/>
    <w:rsid w:val="001762AB"/>
    <w:rsid w:val="00194C1F"/>
    <w:rsid w:val="001C02CA"/>
    <w:rsid w:val="001C50DE"/>
    <w:rsid w:val="001D27B2"/>
    <w:rsid w:val="001D75D6"/>
    <w:rsid w:val="002822E5"/>
    <w:rsid w:val="00282601"/>
    <w:rsid w:val="002E2DD0"/>
    <w:rsid w:val="002F6C8D"/>
    <w:rsid w:val="0030158D"/>
    <w:rsid w:val="0031781C"/>
    <w:rsid w:val="003218F2"/>
    <w:rsid w:val="00347C58"/>
    <w:rsid w:val="003E14A0"/>
    <w:rsid w:val="003F11F2"/>
    <w:rsid w:val="003F7ED6"/>
    <w:rsid w:val="00402376"/>
    <w:rsid w:val="00402BAE"/>
    <w:rsid w:val="00421B70"/>
    <w:rsid w:val="0049220F"/>
    <w:rsid w:val="004A321A"/>
    <w:rsid w:val="004A5F98"/>
    <w:rsid w:val="004A7B1A"/>
    <w:rsid w:val="004B3D8D"/>
    <w:rsid w:val="004D4D39"/>
    <w:rsid w:val="00503068"/>
    <w:rsid w:val="00533DBF"/>
    <w:rsid w:val="00555F39"/>
    <w:rsid w:val="0057243F"/>
    <w:rsid w:val="00575A2A"/>
    <w:rsid w:val="00583487"/>
    <w:rsid w:val="00592375"/>
    <w:rsid w:val="0059723A"/>
    <w:rsid w:val="005A4C2B"/>
    <w:rsid w:val="005D64BE"/>
    <w:rsid w:val="005F582D"/>
    <w:rsid w:val="00602501"/>
    <w:rsid w:val="006127A2"/>
    <w:rsid w:val="00675E7F"/>
    <w:rsid w:val="006B37D6"/>
    <w:rsid w:val="00712AB4"/>
    <w:rsid w:val="0072087C"/>
    <w:rsid w:val="0073779D"/>
    <w:rsid w:val="007E0F5A"/>
    <w:rsid w:val="007E1A92"/>
    <w:rsid w:val="007E5BF0"/>
    <w:rsid w:val="007F2D3B"/>
    <w:rsid w:val="00823C87"/>
    <w:rsid w:val="008248B8"/>
    <w:rsid w:val="008260E1"/>
    <w:rsid w:val="00863D7B"/>
    <w:rsid w:val="00866D0E"/>
    <w:rsid w:val="008B0ECE"/>
    <w:rsid w:val="00901F2B"/>
    <w:rsid w:val="009176B6"/>
    <w:rsid w:val="0099386B"/>
    <w:rsid w:val="009C7B91"/>
    <w:rsid w:val="009D04C8"/>
    <w:rsid w:val="009D0BAE"/>
    <w:rsid w:val="009D6582"/>
    <w:rsid w:val="009D6915"/>
    <w:rsid w:val="009E7355"/>
    <w:rsid w:val="00A24318"/>
    <w:rsid w:val="00A5766D"/>
    <w:rsid w:val="00A97F51"/>
    <w:rsid w:val="00AA5246"/>
    <w:rsid w:val="00AB03F9"/>
    <w:rsid w:val="00AC090D"/>
    <w:rsid w:val="00AC3A7C"/>
    <w:rsid w:val="00AD2834"/>
    <w:rsid w:val="00B048DF"/>
    <w:rsid w:val="00B14BA3"/>
    <w:rsid w:val="00B410B7"/>
    <w:rsid w:val="00B47C8B"/>
    <w:rsid w:val="00B66208"/>
    <w:rsid w:val="00B662A0"/>
    <w:rsid w:val="00B8066E"/>
    <w:rsid w:val="00B95DC8"/>
    <w:rsid w:val="00BC15A5"/>
    <w:rsid w:val="00BC645A"/>
    <w:rsid w:val="00BD2CB4"/>
    <w:rsid w:val="00BE2874"/>
    <w:rsid w:val="00BF1AEA"/>
    <w:rsid w:val="00C2749C"/>
    <w:rsid w:val="00C33B19"/>
    <w:rsid w:val="00CA6857"/>
    <w:rsid w:val="00CB24CB"/>
    <w:rsid w:val="00CC26BC"/>
    <w:rsid w:val="00CC3667"/>
    <w:rsid w:val="00CC5198"/>
    <w:rsid w:val="00CD3DB5"/>
    <w:rsid w:val="00CD47B5"/>
    <w:rsid w:val="00D0265F"/>
    <w:rsid w:val="00D04881"/>
    <w:rsid w:val="00D30817"/>
    <w:rsid w:val="00D70691"/>
    <w:rsid w:val="00D7407C"/>
    <w:rsid w:val="00D9599C"/>
    <w:rsid w:val="00DC6F43"/>
    <w:rsid w:val="00DF29F4"/>
    <w:rsid w:val="00E16E6B"/>
    <w:rsid w:val="00E213CD"/>
    <w:rsid w:val="00E35935"/>
    <w:rsid w:val="00E4135A"/>
    <w:rsid w:val="00E751D8"/>
    <w:rsid w:val="00E8447D"/>
    <w:rsid w:val="00E96003"/>
    <w:rsid w:val="00EA6A83"/>
    <w:rsid w:val="00EC47DD"/>
    <w:rsid w:val="00EF5D5A"/>
    <w:rsid w:val="00F364BC"/>
    <w:rsid w:val="00F51FD7"/>
    <w:rsid w:val="00FD21B9"/>
    <w:rsid w:val="00FD3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1418"/>
      </w:tabs>
      <w:jc w:val="center"/>
      <w:outlineLvl w:val="0"/>
    </w:pPr>
    <w:rPr>
      <w:rFonts w:ascii="Arial" w:hAnsi="Arial"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pPr>
      <w:spacing w:before="100" w:beforeAutospacing="1" w:after="100" w:afterAutospacing="1"/>
    </w:pPr>
  </w:style>
  <w:style w:type="paragraph" w:styleId="BodyText">
    <w:name w:val="Body Text"/>
    <w:basedOn w:val="Normal"/>
    <w:pPr>
      <w:spacing w:before="60" w:after="60"/>
    </w:pPr>
    <w:rPr>
      <w:rFonts w:ascii="Arial" w:hAnsi="Arial" w:cs="Arial"/>
      <w:color w:val="000000"/>
      <w:sz w:val="20"/>
      <w:szCs w:val="20"/>
    </w:rPr>
  </w:style>
  <w:style w:type="paragraph" w:styleId="Title">
    <w:name w:val="Title"/>
    <w:basedOn w:val="Normal"/>
    <w:qFormat/>
    <w:pPr>
      <w:jc w:val="center"/>
    </w:pPr>
    <w:rPr>
      <w:rFonts w:ascii="Arial" w:hAnsi="Arial" w:cs="Arial"/>
      <w:b/>
      <w:bCs/>
      <w:i/>
      <w:iCs/>
      <w:color w:val="993366"/>
    </w:rPr>
  </w:style>
  <w:style w:type="paragraph" w:styleId="BodyText2">
    <w:name w:val="Body Text 2"/>
    <w:basedOn w:val="Normal"/>
    <w:link w:val="BodyText2Char"/>
    <w:pPr>
      <w:spacing w:before="60" w:after="100"/>
      <w:jc w:val="both"/>
    </w:pPr>
    <w:rPr>
      <w:rFonts w:ascii="Arial" w:hAnsi="Arial" w:cs="Arial"/>
      <w:color w:val="000000"/>
      <w:sz w:val="20"/>
      <w:szCs w:val="20"/>
    </w:rPr>
  </w:style>
  <w:style w:type="character" w:styleId="FollowedHyperlink">
    <w:name w:val="FollowedHyperlink"/>
    <w:rPr>
      <w:color w:val="800080"/>
      <w:u w:val="single"/>
    </w:rPr>
  </w:style>
  <w:style w:type="paragraph" w:styleId="BodyText3">
    <w:name w:val="Body Text 3"/>
    <w:basedOn w:val="Normal"/>
    <w:pPr>
      <w:tabs>
        <w:tab w:val="left" w:pos="1418"/>
        <w:tab w:val="left" w:pos="3402"/>
      </w:tabs>
    </w:pPr>
    <w:rPr>
      <w:rFonts w:ascii="Arial" w:hAnsi="Arial" w:cs="Arial"/>
      <w:sz w:val="18"/>
      <w:szCs w:val="20"/>
    </w:rPr>
  </w:style>
  <w:style w:type="paragraph" w:styleId="Header">
    <w:name w:val="header"/>
    <w:basedOn w:val="Normal"/>
    <w:pPr>
      <w:tabs>
        <w:tab w:val="center" w:pos="4320"/>
        <w:tab w:val="right" w:pos="8640"/>
      </w:tabs>
    </w:pPr>
  </w:style>
  <w:style w:type="character" w:styleId="Strong">
    <w:name w:val="Strong"/>
    <w:qFormat/>
    <w:rPr>
      <w:b/>
      <w:bCs/>
    </w:rPr>
  </w:style>
  <w:style w:type="paragraph" w:styleId="NormalWeb">
    <w:name w:val="Normal (Web)"/>
    <w:basedOn w:val="Normal"/>
    <w:pPr>
      <w:spacing w:before="100" w:beforeAutospacing="1" w:after="100" w:afterAutospacing="1" w:line="255" w:lineRule="atLeast"/>
    </w:pPr>
    <w:rPr>
      <w:rFonts w:ascii="Tahoma" w:eastAsia="Arial Unicode MS" w:hAnsi="Tahoma" w:cs="Tahoma"/>
      <w:sz w:val="17"/>
      <w:szCs w:val="17"/>
    </w:rPr>
  </w:style>
  <w:style w:type="paragraph" w:styleId="BodyTextIndent">
    <w:name w:val="Body Text Indent"/>
    <w:basedOn w:val="Normal"/>
    <w:pPr>
      <w:ind w:left="2160"/>
    </w:pPr>
    <w:rPr>
      <w:szCs w:val="20"/>
    </w:rPr>
  </w:style>
  <w:style w:type="character" w:styleId="CommentReference">
    <w:name w:val="annotation reference"/>
    <w:semiHidden/>
    <w:rPr>
      <w:sz w:val="16"/>
      <w:szCs w:val="16"/>
    </w:rPr>
  </w:style>
  <w:style w:type="character" w:customStyle="1" w:styleId="Style10pt">
    <w:name w:val="Style 10 pt"/>
    <w:rPr>
      <w:sz w:val="20"/>
      <w:lang w:val="en-US"/>
    </w:rPr>
  </w:style>
  <w:style w:type="table" w:styleId="TableGrid">
    <w:name w:val="Table Grid"/>
    <w:basedOn w:val="TableNormal"/>
    <w:rsid w:val="00AC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14BA3"/>
    <w:rPr>
      <w:rFonts w:ascii="Arial" w:hAnsi="Arial" w:cs="Arial"/>
      <w:color w:val="000000"/>
    </w:rPr>
  </w:style>
  <w:style w:type="paragraph" w:styleId="BalloonText">
    <w:name w:val="Balloon Text"/>
    <w:basedOn w:val="Normal"/>
    <w:link w:val="BalloonTextChar"/>
    <w:rsid w:val="00DC6F43"/>
    <w:rPr>
      <w:rFonts w:ascii="Tahoma" w:hAnsi="Tahoma" w:cs="Tahoma"/>
      <w:sz w:val="16"/>
      <w:szCs w:val="16"/>
    </w:rPr>
  </w:style>
  <w:style w:type="character" w:customStyle="1" w:styleId="BalloonTextChar">
    <w:name w:val="Balloon Text Char"/>
    <w:basedOn w:val="DefaultParagraphFont"/>
    <w:link w:val="BalloonText"/>
    <w:rsid w:val="00DC6F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1418"/>
      </w:tabs>
      <w:jc w:val="center"/>
      <w:outlineLvl w:val="0"/>
    </w:pPr>
    <w:rPr>
      <w:rFonts w:ascii="Arial" w:hAnsi="Arial"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Footer">
    <w:name w:val="footer"/>
    <w:basedOn w:val="Normal"/>
    <w:pPr>
      <w:spacing w:before="100" w:beforeAutospacing="1" w:after="100" w:afterAutospacing="1"/>
    </w:pPr>
  </w:style>
  <w:style w:type="paragraph" w:styleId="BodyText">
    <w:name w:val="Body Text"/>
    <w:basedOn w:val="Normal"/>
    <w:pPr>
      <w:spacing w:before="60" w:after="60"/>
    </w:pPr>
    <w:rPr>
      <w:rFonts w:ascii="Arial" w:hAnsi="Arial" w:cs="Arial"/>
      <w:color w:val="000000"/>
      <w:sz w:val="20"/>
      <w:szCs w:val="20"/>
    </w:rPr>
  </w:style>
  <w:style w:type="paragraph" w:styleId="Title">
    <w:name w:val="Title"/>
    <w:basedOn w:val="Normal"/>
    <w:qFormat/>
    <w:pPr>
      <w:jc w:val="center"/>
    </w:pPr>
    <w:rPr>
      <w:rFonts w:ascii="Arial" w:hAnsi="Arial" w:cs="Arial"/>
      <w:b/>
      <w:bCs/>
      <w:i/>
      <w:iCs/>
      <w:color w:val="993366"/>
    </w:rPr>
  </w:style>
  <w:style w:type="paragraph" w:styleId="BodyText2">
    <w:name w:val="Body Text 2"/>
    <w:basedOn w:val="Normal"/>
    <w:link w:val="BodyText2Char"/>
    <w:pPr>
      <w:spacing w:before="60" w:after="100"/>
      <w:jc w:val="both"/>
    </w:pPr>
    <w:rPr>
      <w:rFonts w:ascii="Arial" w:hAnsi="Arial" w:cs="Arial"/>
      <w:color w:val="000000"/>
      <w:sz w:val="20"/>
      <w:szCs w:val="20"/>
    </w:rPr>
  </w:style>
  <w:style w:type="character" w:styleId="FollowedHyperlink">
    <w:name w:val="FollowedHyperlink"/>
    <w:rPr>
      <w:color w:val="800080"/>
      <w:u w:val="single"/>
    </w:rPr>
  </w:style>
  <w:style w:type="paragraph" w:styleId="BodyText3">
    <w:name w:val="Body Text 3"/>
    <w:basedOn w:val="Normal"/>
    <w:pPr>
      <w:tabs>
        <w:tab w:val="left" w:pos="1418"/>
        <w:tab w:val="left" w:pos="3402"/>
      </w:tabs>
    </w:pPr>
    <w:rPr>
      <w:rFonts w:ascii="Arial" w:hAnsi="Arial" w:cs="Arial"/>
      <w:sz w:val="18"/>
      <w:szCs w:val="20"/>
    </w:rPr>
  </w:style>
  <w:style w:type="paragraph" w:styleId="Header">
    <w:name w:val="header"/>
    <w:basedOn w:val="Normal"/>
    <w:pPr>
      <w:tabs>
        <w:tab w:val="center" w:pos="4320"/>
        <w:tab w:val="right" w:pos="8640"/>
      </w:tabs>
    </w:pPr>
  </w:style>
  <w:style w:type="character" w:styleId="Strong">
    <w:name w:val="Strong"/>
    <w:qFormat/>
    <w:rPr>
      <w:b/>
      <w:bCs/>
    </w:rPr>
  </w:style>
  <w:style w:type="paragraph" w:styleId="NormalWeb">
    <w:name w:val="Normal (Web)"/>
    <w:basedOn w:val="Normal"/>
    <w:pPr>
      <w:spacing w:before="100" w:beforeAutospacing="1" w:after="100" w:afterAutospacing="1" w:line="255" w:lineRule="atLeast"/>
    </w:pPr>
    <w:rPr>
      <w:rFonts w:ascii="Tahoma" w:eastAsia="Arial Unicode MS" w:hAnsi="Tahoma" w:cs="Tahoma"/>
      <w:sz w:val="17"/>
      <w:szCs w:val="17"/>
    </w:rPr>
  </w:style>
  <w:style w:type="paragraph" w:styleId="BodyTextIndent">
    <w:name w:val="Body Text Indent"/>
    <w:basedOn w:val="Normal"/>
    <w:pPr>
      <w:ind w:left="2160"/>
    </w:pPr>
    <w:rPr>
      <w:szCs w:val="20"/>
    </w:rPr>
  </w:style>
  <w:style w:type="character" w:styleId="CommentReference">
    <w:name w:val="annotation reference"/>
    <w:semiHidden/>
    <w:rPr>
      <w:sz w:val="16"/>
      <w:szCs w:val="16"/>
    </w:rPr>
  </w:style>
  <w:style w:type="character" w:customStyle="1" w:styleId="Style10pt">
    <w:name w:val="Style 10 pt"/>
    <w:rPr>
      <w:sz w:val="20"/>
      <w:lang w:val="en-US"/>
    </w:rPr>
  </w:style>
  <w:style w:type="table" w:styleId="TableGrid">
    <w:name w:val="Table Grid"/>
    <w:basedOn w:val="TableNormal"/>
    <w:rsid w:val="00AC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B14BA3"/>
    <w:rPr>
      <w:rFonts w:ascii="Arial" w:hAnsi="Arial" w:cs="Arial"/>
      <w:color w:val="000000"/>
    </w:rPr>
  </w:style>
  <w:style w:type="paragraph" w:styleId="BalloonText">
    <w:name w:val="Balloon Text"/>
    <w:basedOn w:val="Normal"/>
    <w:link w:val="BalloonTextChar"/>
    <w:rsid w:val="00DC6F43"/>
    <w:rPr>
      <w:rFonts w:ascii="Tahoma" w:hAnsi="Tahoma" w:cs="Tahoma"/>
      <w:sz w:val="16"/>
      <w:szCs w:val="16"/>
    </w:rPr>
  </w:style>
  <w:style w:type="character" w:customStyle="1" w:styleId="BalloonTextChar">
    <w:name w:val="Balloon Text Char"/>
    <w:basedOn w:val="DefaultParagraphFont"/>
    <w:link w:val="BalloonText"/>
    <w:rsid w:val="00DC6F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01417">
      <w:bodyDiv w:val="1"/>
      <w:marLeft w:val="0"/>
      <w:marRight w:val="0"/>
      <w:marTop w:val="0"/>
      <w:marBottom w:val="0"/>
      <w:divBdr>
        <w:top w:val="none" w:sz="0" w:space="0" w:color="auto"/>
        <w:left w:val="none" w:sz="0" w:space="0" w:color="auto"/>
        <w:bottom w:val="none" w:sz="0" w:space="0" w:color="auto"/>
        <w:right w:val="none" w:sz="0" w:space="0" w:color="auto"/>
      </w:divBdr>
    </w:div>
    <w:div w:id="257830008">
      <w:bodyDiv w:val="1"/>
      <w:marLeft w:val="0"/>
      <w:marRight w:val="0"/>
      <w:marTop w:val="0"/>
      <w:marBottom w:val="0"/>
      <w:divBdr>
        <w:top w:val="none" w:sz="0" w:space="0" w:color="auto"/>
        <w:left w:val="none" w:sz="0" w:space="0" w:color="auto"/>
        <w:bottom w:val="none" w:sz="0" w:space="0" w:color="auto"/>
        <w:right w:val="none" w:sz="0" w:space="0" w:color="auto"/>
      </w:divBdr>
    </w:div>
    <w:div w:id="661159587">
      <w:bodyDiv w:val="1"/>
      <w:marLeft w:val="0"/>
      <w:marRight w:val="0"/>
      <w:marTop w:val="0"/>
      <w:marBottom w:val="0"/>
      <w:divBdr>
        <w:top w:val="none" w:sz="0" w:space="0" w:color="auto"/>
        <w:left w:val="none" w:sz="0" w:space="0" w:color="auto"/>
        <w:bottom w:val="none" w:sz="0" w:space="0" w:color="auto"/>
        <w:right w:val="none" w:sz="0" w:space="0" w:color="auto"/>
      </w:divBdr>
      <w:divsChild>
        <w:div w:id="1293756840">
          <w:marLeft w:val="0"/>
          <w:marRight w:val="0"/>
          <w:marTop w:val="0"/>
          <w:marBottom w:val="0"/>
          <w:divBdr>
            <w:top w:val="none" w:sz="0" w:space="0" w:color="auto"/>
            <w:left w:val="none" w:sz="0" w:space="0" w:color="auto"/>
            <w:bottom w:val="none" w:sz="0" w:space="0" w:color="auto"/>
            <w:right w:val="none" w:sz="0" w:space="0" w:color="auto"/>
          </w:divBdr>
          <w:divsChild>
            <w:div w:id="759637700">
              <w:marLeft w:val="0"/>
              <w:marRight w:val="0"/>
              <w:marTop w:val="0"/>
              <w:marBottom w:val="0"/>
              <w:divBdr>
                <w:top w:val="none" w:sz="0" w:space="0" w:color="auto"/>
                <w:left w:val="none" w:sz="0" w:space="0" w:color="auto"/>
                <w:bottom w:val="none" w:sz="0" w:space="0" w:color="auto"/>
                <w:right w:val="none" w:sz="0" w:space="0" w:color="auto"/>
              </w:divBdr>
              <w:divsChild>
                <w:div w:id="36123816">
                  <w:marLeft w:val="0"/>
                  <w:marRight w:val="0"/>
                  <w:marTop w:val="0"/>
                  <w:marBottom w:val="0"/>
                  <w:divBdr>
                    <w:top w:val="none" w:sz="0" w:space="0" w:color="auto"/>
                    <w:left w:val="none" w:sz="0" w:space="0" w:color="auto"/>
                    <w:bottom w:val="none" w:sz="0" w:space="0" w:color="auto"/>
                    <w:right w:val="none" w:sz="0" w:space="0" w:color="auto"/>
                  </w:divBdr>
                  <w:divsChild>
                    <w:div w:id="1390887415">
                      <w:marLeft w:val="0"/>
                      <w:marRight w:val="0"/>
                      <w:marTop w:val="0"/>
                      <w:marBottom w:val="0"/>
                      <w:divBdr>
                        <w:top w:val="none" w:sz="0" w:space="0" w:color="auto"/>
                        <w:left w:val="none" w:sz="0" w:space="0" w:color="auto"/>
                        <w:bottom w:val="none" w:sz="0" w:space="0" w:color="auto"/>
                        <w:right w:val="none" w:sz="0" w:space="0" w:color="auto"/>
                      </w:divBdr>
                    </w:div>
                    <w:div w:id="1634407369">
                      <w:marLeft w:val="0"/>
                      <w:marRight w:val="0"/>
                      <w:marTop w:val="0"/>
                      <w:marBottom w:val="0"/>
                      <w:divBdr>
                        <w:top w:val="none" w:sz="0" w:space="0" w:color="auto"/>
                        <w:left w:val="none" w:sz="0" w:space="0" w:color="auto"/>
                        <w:bottom w:val="none" w:sz="0" w:space="0" w:color="auto"/>
                        <w:right w:val="none" w:sz="0" w:space="0" w:color="auto"/>
                      </w:divBdr>
                      <w:divsChild>
                        <w:div w:id="9399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378593">
      <w:bodyDiv w:val="1"/>
      <w:marLeft w:val="0"/>
      <w:marRight w:val="0"/>
      <w:marTop w:val="0"/>
      <w:marBottom w:val="0"/>
      <w:divBdr>
        <w:top w:val="none" w:sz="0" w:space="0" w:color="auto"/>
        <w:left w:val="none" w:sz="0" w:space="0" w:color="auto"/>
        <w:bottom w:val="none" w:sz="0" w:space="0" w:color="auto"/>
        <w:right w:val="none" w:sz="0" w:space="0" w:color="auto"/>
      </w:divBdr>
      <w:divsChild>
        <w:div w:id="837380818">
          <w:marLeft w:val="0"/>
          <w:marRight w:val="0"/>
          <w:marTop w:val="0"/>
          <w:marBottom w:val="0"/>
          <w:divBdr>
            <w:top w:val="none" w:sz="0" w:space="0" w:color="auto"/>
            <w:left w:val="none" w:sz="0" w:space="0" w:color="auto"/>
            <w:bottom w:val="none" w:sz="0" w:space="0" w:color="auto"/>
            <w:right w:val="none" w:sz="0" w:space="0" w:color="auto"/>
          </w:divBdr>
          <w:divsChild>
            <w:div w:id="104341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4988">
      <w:bodyDiv w:val="1"/>
      <w:marLeft w:val="0"/>
      <w:marRight w:val="0"/>
      <w:marTop w:val="0"/>
      <w:marBottom w:val="0"/>
      <w:divBdr>
        <w:top w:val="none" w:sz="0" w:space="0" w:color="auto"/>
        <w:left w:val="none" w:sz="0" w:space="0" w:color="auto"/>
        <w:bottom w:val="none" w:sz="0" w:space="0" w:color="auto"/>
        <w:right w:val="none" w:sz="0" w:space="0" w:color="auto"/>
      </w:divBdr>
    </w:div>
    <w:div w:id="194930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67790-EC1E-406A-9762-24EA531C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itSMF NE LIG</vt:lpstr>
    </vt:vector>
  </TitlesOfParts>
  <Company>Cigna</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itSMF NE LIG</dc:title>
  <dc:creator>Thorsten Manthey</dc:creator>
  <cp:lastModifiedBy>Thorsten Manthey</cp:lastModifiedBy>
  <cp:revision>5</cp:revision>
  <cp:lastPrinted>2010-02-25T21:03:00Z</cp:lastPrinted>
  <dcterms:created xsi:type="dcterms:W3CDTF">2015-02-18T17:46:00Z</dcterms:created>
  <dcterms:modified xsi:type="dcterms:W3CDTF">2015-02-18T18:15:00Z</dcterms:modified>
</cp:coreProperties>
</file>