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Kennedy Park Annual HOA Meeting</w:t>
      </w:r>
    </w:p>
    <w:p w:rsidR="00000000" w:rsidDel="00000000" w:rsidP="00000000" w:rsidRDefault="00000000" w:rsidRPr="00000000" w14:paraId="00000002">
      <w:pPr>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October 19, 2025</w:t>
      </w:r>
    </w:p>
    <w:p w:rsidR="00000000" w:rsidDel="00000000" w:rsidP="00000000" w:rsidRDefault="00000000" w:rsidRPr="00000000" w14:paraId="00000004">
      <w:pPr>
        <w:jc w:val="cente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5">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Meeting called to order.  In attendance:  AP, George, Connor, Jan, Robert, Joe and Deb.</w:t>
      </w:r>
    </w:p>
    <w:p w:rsidR="00000000" w:rsidDel="00000000" w:rsidP="00000000" w:rsidRDefault="00000000" w:rsidRPr="00000000" w14:paraId="00000006">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7">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Started out by welcoming those homeowners in attendance.</w:t>
      </w:r>
    </w:p>
    <w:p w:rsidR="00000000" w:rsidDel="00000000" w:rsidP="00000000" w:rsidRDefault="00000000" w:rsidRPr="00000000" w14:paraId="00000008">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9">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Discussed the understanding that the CCR &amp; By-Laws were not updated due to being short three votes.  We are hopeful to be successful at our next BBQ.   Discussed the ARR (Architectural Review Form) that can be found on our website.  Homeowners are required to submit this form BEFORE doing any work.   Once submitted the board will have a meeting and, on average, have responded within seven days.</w:t>
      </w:r>
    </w:p>
    <w:p w:rsidR="00000000" w:rsidDel="00000000" w:rsidP="00000000" w:rsidRDefault="00000000" w:rsidRPr="00000000" w14:paraId="0000000A">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B">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Discussed the annual budget from last year and this coming year.  Everyone had been mailed this information.  Talked a bit about the cost of certified mailings and how much this cost the HOA every year.  In the new years budget talked about the added cost of maintaining the common area.  </w:t>
      </w:r>
    </w:p>
    <w:p w:rsidR="00000000" w:rsidDel="00000000" w:rsidP="00000000" w:rsidRDefault="00000000" w:rsidRPr="00000000" w14:paraId="0000000C">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D">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Update on open court cases.  We have one property owner we will be taking to court.  Out of 99 properties three are past due in HOA dues.</w:t>
      </w:r>
    </w:p>
    <w:p w:rsidR="00000000" w:rsidDel="00000000" w:rsidP="00000000" w:rsidRDefault="00000000" w:rsidRPr="00000000" w14:paraId="0000000E">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0F">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Pond repair project:  Finally received all the bids from various companies for the retention pond.  This is being required of Kennedy Park to fix or the city will be doing it and we will have to pay what ever they bill us.  The board has worked hard to get the best bids in the interest of all homeowners.  Usually a bid is good for 30 days.  The board has also gotten a two month extension on the price guarantee. This work will be state approved.  The deadline for the assessment to be due is December 17, 2025.  Hopefully this work will be starting March 2026.  There is a breakdown on all expenses on the website available to all homeowners to view.  </w:t>
      </w:r>
    </w:p>
    <w:p w:rsidR="00000000" w:rsidDel="00000000" w:rsidP="00000000" w:rsidRDefault="00000000" w:rsidRPr="00000000" w14:paraId="00000010">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1">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Discussed the speeding issues.  The form has been sent into the city of Foley.  We are still going for speed bumps but calling the police every time you see someone speeding will be very helpful.</w:t>
      </w:r>
    </w:p>
    <w:p w:rsidR="00000000" w:rsidDel="00000000" w:rsidP="00000000" w:rsidRDefault="00000000" w:rsidRPr="00000000" w14:paraId="00000012">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3">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Garbage is be put out as close to pick up day as possible. Do NOT combine grass clippings with furniture.  Must have two separate piles. Pick up days are posted on the City of Foley's website.</w:t>
      </w:r>
    </w:p>
    <w:p w:rsidR="00000000" w:rsidDel="00000000" w:rsidP="00000000" w:rsidRDefault="00000000" w:rsidRPr="00000000" w14:paraId="00000014">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5">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Next years BBQ will be in October and serve as our annual meeting.  A suggestion was made to entertain the idea of having it at Alabama Gulf Coast Music Hall.  </w:t>
      </w:r>
    </w:p>
    <w:p w:rsidR="00000000" w:rsidDel="00000000" w:rsidP="00000000" w:rsidRDefault="00000000" w:rsidRPr="00000000" w14:paraId="00000016">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7">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8">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9">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Respectfully submitted</w:t>
      </w:r>
    </w:p>
    <w:p w:rsidR="00000000" w:rsidDel="00000000" w:rsidP="00000000" w:rsidRDefault="00000000" w:rsidRPr="00000000" w14:paraId="0000001A">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B">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C">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D">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Debra Anderson</w:t>
      </w:r>
    </w:p>
    <w:p w:rsidR="00000000" w:rsidDel="00000000" w:rsidP="00000000" w:rsidRDefault="00000000" w:rsidRPr="00000000" w14:paraId="0000001E">
      <w:pPr>
        <w:jc w:val="left"/>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Secretary</w:t>
      </w:r>
    </w:p>
    <w:p w:rsidR="00000000" w:rsidDel="00000000" w:rsidP="00000000" w:rsidRDefault="00000000" w:rsidRPr="00000000" w14:paraId="0000001F">
      <w:pPr>
        <w:jc w:val="left"/>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0">
      <w:pPr>
        <w:jc w:val="left"/>
        <w:rPr>
          <w:rFonts w:ascii="Verdana" w:cs="Verdana" w:eastAsia="Verdana" w:hAnsi="Verdana"/>
          <w:sz w:val="28"/>
          <w:szCs w:val="28"/>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