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191" w:rsidRDefault="00E36191" w:rsidP="0007409E">
      <w:pPr>
        <w:pStyle w:val="Heading3"/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noProof/>
          <w:sz w:val="32"/>
        </w:rPr>
        <w:drawing>
          <wp:inline distT="0" distB="0" distL="0" distR="0">
            <wp:extent cx="2310193" cy="7619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93" cy="76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5429" w:rsidRPr="00E36191" w:rsidRDefault="00E36191" w:rsidP="0007409E">
      <w:pPr>
        <w:pStyle w:val="Heading3"/>
        <w:jc w:val="center"/>
        <w:rPr>
          <w:rFonts w:asciiTheme="minorHAnsi" w:hAnsiTheme="minorHAnsi"/>
          <w:b/>
          <w:color w:val="538135" w:themeColor="accent6" w:themeShade="BF"/>
          <w:sz w:val="32"/>
        </w:rPr>
      </w:pPr>
      <w:r w:rsidRPr="00E36191">
        <w:rPr>
          <w:rFonts w:asciiTheme="minorHAnsi" w:hAnsiTheme="minorHAnsi"/>
          <w:b/>
          <w:color w:val="538135" w:themeColor="accent6" w:themeShade="BF"/>
          <w:sz w:val="32"/>
        </w:rPr>
        <w:t>C</w:t>
      </w:r>
      <w:r w:rsidR="00DC60EB">
        <w:rPr>
          <w:rFonts w:asciiTheme="minorHAnsi" w:hAnsiTheme="minorHAnsi"/>
          <w:b/>
          <w:color w:val="538135" w:themeColor="accent6" w:themeShade="BF"/>
          <w:sz w:val="32"/>
        </w:rPr>
        <w:t>LEARWATER</w:t>
      </w:r>
      <w:r w:rsidR="008F0ED6" w:rsidRPr="00E36191">
        <w:rPr>
          <w:rFonts w:asciiTheme="minorHAnsi" w:hAnsiTheme="minorHAnsi"/>
          <w:b/>
          <w:color w:val="538135" w:themeColor="accent6" w:themeShade="BF"/>
          <w:sz w:val="32"/>
        </w:rPr>
        <w:t xml:space="preserve"> </w:t>
      </w:r>
      <w:r w:rsidR="00425315" w:rsidRPr="00E36191">
        <w:rPr>
          <w:rFonts w:asciiTheme="minorHAnsi" w:hAnsiTheme="minorHAnsi"/>
          <w:b/>
          <w:color w:val="538135" w:themeColor="accent6" w:themeShade="BF"/>
          <w:sz w:val="32"/>
        </w:rPr>
        <w:t xml:space="preserve">SWCD MONITORING PLAN FOR </w:t>
      </w:r>
      <w:r w:rsidR="00EF53F8" w:rsidRPr="00E36191">
        <w:rPr>
          <w:rFonts w:asciiTheme="minorHAnsi" w:hAnsiTheme="minorHAnsi"/>
          <w:b/>
          <w:color w:val="538135" w:themeColor="accent6" w:themeShade="BF"/>
          <w:sz w:val="32"/>
        </w:rPr>
        <w:t>BUFFER COMPLIANCE</w:t>
      </w:r>
      <w:r w:rsidR="00425315" w:rsidRPr="00E36191">
        <w:rPr>
          <w:rFonts w:asciiTheme="minorHAnsi" w:hAnsiTheme="minorHAnsi"/>
          <w:b/>
          <w:color w:val="538135" w:themeColor="accent6" w:themeShade="BF"/>
          <w:sz w:val="32"/>
        </w:rPr>
        <w:t xml:space="preserve"> TRACKING</w:t>
      </w:r>
    </w:p>
    <w:p w:rsidR="0007409E" w:rsidRPr="00E36191" w:rsidRDefault="0007409E" w:rsidP="0007409E">
      <w:pPr>
        <w:pStyle w:val="Heading3"/>
        <w:jc w:val="center"/>
        <w:rPr>
          <w:rFonts w:asciiTheme="minorHAnsi" w:eastAsia="Calibri" w:hAnsiTheme="minorHAnsi" w:cstheme="minorHAnsi"/>
          <w:bCs/>
          <w:color w:val="538135" w:themeColor="accent6" w:themeShade="BF"/>
          <w:sz w:val="22"/>
        </w:rPr>
      </w:pPr>
      <w:r w:rsidRPr="00E36191">
        <w:rPr>
          <w:noProof/>
          <w:color w:val="538135" w:themeColor="accent6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9BB2A" wp14:editId="666DFF44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6827520" cy="7620"/>
                <wp:effectExtent l="0" t="0" r="30480" b="30480"/>
                <wp:wrapSquare wrapText="bothSides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52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EB7B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4pt,22.45pt" to="1024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" strokecolor="#002060" strokeweight="1.5pt">
                <v:stroke joinstyle="miter"/>
                <w10:wrap type="square" anchorx="margin"/>
              </v:line>
            </w:pict>
          </mc:Fallback>
        </mc:AlternateContent>
      </w:r>
      <w:r w:rsidR="00392487" w:rsidRPr="00E36191">
        <w:rPr>
          <w:rFonts w:asciiTheme="minorHAnsi" w:hAnsiTheme="minorHAnsi" w:cstheme="minorHAnsi"/>
          <w:color w:val="538135" w:themeColor="accent6" w:themeShade="BF"/>
          <w:sz w:val="22"/>
        </w:rPr>
        <w:t>§</w:t>
      </w:r>
      <w:r w:rsidR="00392487" w:rsidRPr="00E36191">
        <w:rPr>
          <w:rFonts w:asciiTheme="minorHAnsi" w:eastAsia="Calibri" w:hAnsiTheme="minorHAnsi" w:cstheme="minorHAnsi"/>
          <w:bCs/>
          <w:color w:val="538135" w:themeColor="accent6" w:themeShade="BF"/>
          <w:sz w:val="22"/>
        </w:rPr>
        <w:t>103F.48</w:t>
      </w:r>
      <w:r w:rsidR="00F57585" w:rsidRPr="00E36191">
        <w:rPr>
          <w:rFonts w:asciiTheme="minorHAnsi" w:eastAsia="Calibri" w:hAnsiTheme="minorHAnsi" w:cstheme="minorHAnsi"/>
          <w:bCs/>
          <w:color w:val="538135" w:themeColor="accent6" w:themeShade="BF"/>
          <w:sz w:val="22"/>
        </w:rPr>
        <w:t xml:space="preserve"> RIPARIAN PROTECTION AND WATER QUALITY PRACTICES</w:t>
      </w:r>
    </w:p>
    <w:p w:rsidR="00BF3775" w:rsidRDefault="00BF3775" w:rsidP="0007409E">
      <w:pPr>
        <w:spacing w:after="0"/>
        <w:rPr>
          <w:sz w:val="24"/>
        </w:rPr>
      </w:pPr>
    </w:p>
    <w:p w:rsidR="00CA48E5" w:rsidRPr="00452389" w:rsidRDefault="00CA48E5" w:rsidP="0007409E">
      <w:pPr>
        <w:spacing w:after="0"/>
        <w:rPr>
          <w:sz w:val="24"/>
        </w:rPr>
      </w:pPr>
    </w:p>
    <w:p w:rsidR="00F06FB2" w:rsidRPr="00BF3775" w:rsidRDefault="00F06FB2" w:rsidP="00BF3775">
      <w:pPr>
        <w:pStyle w:val="ListParagraph"/>
        <w:numPr>
          <w:ilvl w:val="0"/>
          <w:numId w:val="1"/>
        </w:numPr>
        <w:spacing w:after="0"/>
        <w:ind w:left="360"/>
        <w:rPr>
          <w:b/>
          <w:sz w:val="24"/>
        </w:rPr>
      </w:pPr>
      <w:r w:rsidRPr="00BF3775">
        <w:rPr>
          <w:b/>
          <w:sz w:val="24"/>
        </w:rPr>
        <w:t>COMPLIANCE TRACKING OF ALL PARCELS SUBJECT TO THE BUFFER LAW</w:t>
      </w:r>
    </w:p>
    <w:p w:rsidR="008F0ED6" w:rsidRPr="00452389" w:rsidRDefault="00CE4C90" w:rsidP="008F0ED6">
      <w:pPr>
        <w:spacing w:after="0"/>
        <w:ind w:left="360"/>
        <w:rPr>
          <w:sz w:val="24"/>
        </w:rPr>
      </w:pPr>
      <w:r>
        <w:rPr>
          <w:sz w:val="24"/>
        </w:rPr>
        <w:t xml:space="preserve">All parcels in </w:t>
      </w:r>
      <w:r w:rsidR="00E36191">
        <w:rPr>
          <w:sz w:val="24"/>
        </w:rPr>
        <w:t>Clearwater</w:t>
      </w:r>
      <w:r>
        <w:rPr>
          <w:sz w:val="24"/>
        </w:rPr>
        <w:t xml:space="preserve"> County are to be reviewed within a 3-year timeframe. The County is broken up into three areas: A, B and C (Attachment A). The </w:t>
      </w:r>
      <w:r w:rsidR="00E36191">
        <w:rPr>
          <w:sz w:val="24"/>
        </w:rPr>
        <w:t>Clearwater</w:t>
      </w:r>
      <w:r>
        <w:rPr>
          <w:sz w:val="24"/>
        </w:rPr>
        <w:t xml:space="preserve"> SWCD will review either area A, B or C each year, with each area being checked in a 3-year time frame. </w:t>
      </w:r>
      <w:r w:rsidR="00BF3775">
        <w:rPr>
          <w:sz w:val="24"/>
        </w:rPr>
        <w:t xml:space="preserve">The area chosen each year will be in a random order. </w:t>
      </w:r>
    </w:p>
    <w:p w:rsidR="008F0ED6" w:rsidRPr="00452389" w:rsidRDefault="008F0ED6" w:rsidP="008F0ED6">
      <w:pPr>
        <w:spacing w:after="0"/>
        <w:ind w:left="360"/>
        <w:rPr>
          <w:sz w:val="24"/>
        </w:rPr>
      </w:pPr>
    </w:p>
    <w:p w:rsidR="00392487" w:rsidRPr="00452389" w:rsidRDefault="00F06FB2" w:rsidP="00392487">
      <w:pPr>
        <w:pStyle w:val="ListParagraph"/>
        <w:numPr>
          <w:ilvl w:val="0"/>
          <w:numId w:val="1"/>
        </w:numPr>
        <w:ind w:left="360"/>
        <w:rPr>
          <w:b/>
          <w:sz w:val="24"/>
        </w:rPr>
      </w:pPr>
      <w:r w:rsidRPr="00452389">
        <w:rPr>
          <w:b/>
          <w:sz w:val="24"/>
        </w:rPr>
        <w:t>RANDOM SPOT CHECKS</w:t>
      </w:r>
      <w:r w:rsidR="009E5429" w:rsidRPr="00452389">
        <w:rPr>
          <w:b/>
          <w:sz w:val="24"/>
        </w:rPr>
        <w:t xml:space="preserve"> </w:t>
      </w:r>
    </w:p>
    <w:p w:rsidR="00F06FB2" w:rsidRPr="00452389" w:rsidRDefault="006A3C63" w:rsidP="00392487">
      <w:pPr>
        <w:pStyle w:val="ListParagraph"/>
        <w:ind w:left="360"/>
        <w:rPr>
          <w:i/>
          <w:noProof/>
          <w:sz w:val="24"/>
        </w:rPr>
      </w:pPr>
      <w:r w:rsidRPr="00452389">
        <w:rPr>
          <w:sz w:val="24"/>
        </w:rPr>
        <w:t>Random s</w:t>
      </w:r>
      <w:r w:rsidR="00392487" w:rsidRPr="00452389">
        <w:rPr>
          <w:sz w:val="24"/>
        </w:rPr>
        <w:t>pot checks will</w:t>
      </w:r>
      <w:r w:rsidR="00F57585" w:rsidRPr="00452389">
        <w:rPr>
          <w:sz w:val="24"/>
        </w:rPr>
        <w:t xml:space="preserve"> be done in addition</w:t>
      </w:r>
      <w:r w:rsidR="00392487" w:rsidRPr="00452389">
        <w:rPr>
          <w:sz w:val="24"/>
        </w:rPr>
        <w:t xml:space="preserve"> to the tra</w:t>
      </w:r>
      <w:r w:rsidR="008F0ED6" w:rsidRPr="00452389">
        <w:rPr>
          <w:sz w:val="24"/>
        </w:rPr>
        <w:t>cking of all parcels within a 3-</w:t>
      </w:r>
      <w:r w:rsidR="00392487" w:rsidRPr="00452389">
        <w:rPr>
          <w:sz w:val="24"/>
        </w:rPr>
        <w:t xml:space="preserve">year span. These checks may be conducted via aerial photo review or on-site </w:t>
      </w:r>
      <w:r w:rsidRPr="00452389">
        <w:rPr>
          <w:sz w:val="24"/>
        </w:rPr>
        <w:t xml:space="preserve">review </w:t>
      </w:r>
      <w:r w:rsidR="00392487" w:rsidRPr="00452389">
        <w:rPr>
          <w:sz w:val="24"/>
        </w:rPr>
        <w:t>depending on availability of</w:t>
      </w:r>
      <w:r w:rsidRPr="00452389">
        <w:rPr>
          <w:sz w:val="24"/>
        </w:rPr>
        <w:t xml:space="preserve"> updated aerial</w:t>
      </w:r>
      <w:r w:rsidR="00392487" w:rsidRPr="00452389">
        <w:rPr>
          <w:sz w:val="24"/>
        </w:rPr>
        <w:t xml:space="preserve"> photos and the practice that is being checked</w:t>
      </w:r>
      <w:r w:rsidRPr="00452389">
        <w:rPr>
          <w:sz w:val="24"/>
        </w:rPr>
        <w:t>/access to farms</w:t>
      </w:r>
      <w:r w:rsidR="00392487" w:rsidRPr="00452389">
        <w:rPr>
          <w:sz w:val="24"/>
        </w:rPr>
        <w:t xml:space="preserve">. A combination of both </w:t>
      </w:r>
      <w:r w:rsidR="004500C2" w:rsidRPr="00452389">
        <w:rPr>
          <w:sz w:val="24"/>
        </w:rPr>
        <w:t xml:space="preserve">aerial and on-site review </w:t>
      </w:r>
      <w:r w:rsidR="00392487" w:rsidRPr="00452389">
        <w:rPr>
          <w:sz w:val="24"/>
        </w:rPr>
        <w:t xml:space="preserve">may also be used. </w:t>
      </w:r>
      <w:r w:rsidR="002E2FE8" w:rsidRPr="00452389">
        <w:rPr>
          <w:noProof/>
          <w:sz w:val="24"/>
        </w:rPr>
        <w:t xml:space="preserve"> </w:t>
      </w:r>
    </w:p>
    <w:p w:rsidR="008F0ED6" w:rsidRPr="00452389" w:rsidRDefault="008F0ED6" w:rsidP="00392487">
      <w:pPr>
        <w:pStyle w:val="ListParagraph"/>
        <w:ind w:left="360"/>
        <w:rPr>
          <w:sz w:val="24"/>
        </w:rPr>
      </w:pPr>
    </w:p>
    <w:p w:rsidR="00F06FB2" w:rsidRPr="00452389" w:rsidRDefault="00F06FB2" w:rsidP="00392487">
      <w:pPr>
        <w:pStyle w:val="ListParagraph"/>
        <w:numPr>
          <w:ilvl w:val="1"/>
          <w:numId w:val="1"/>
        </w:numPr>
        <w:ind w:left="1080"/>
        <w:rPr>
          <w:sz w:val="24"/>
        </w:rPr>
      </w:pPr>
      <w:r w:rsidRPr="00452389">
        <w:rPr>
          <w:sz w:val="24"/>
        </w:rPr>
        <w:t xml:space="preserve">The SWCD will conduct </w:t>
      </w:r>
      <w:r w:rsidR="00BF3775">
        <w:rPr>
          <w:color w:val="FF0000"/>
          <w:sz w:val="24"/>
          <w:u w:val="single"/>
        </w:rPr>
        <w:t>25-50</w:t>
      </w:r>
      <w:r w:rsidR="00BF3775">
        <w:rPr>
          <w:color w:val="FF0000"/>
          <w:sz w:val="24"/>
        </w:rPr>
        <w:t xml:space="preserve"> </w:t>
      </w:r>
      <w:r w:rsidR="00BF3775">
        <w:rPr>
          <w:color w:val="000000" w:themeColor="text1"/>
          <w:sz w:val="24"/>
        </w:rPr>
        <w:t>parcels</w:t>
      </w:r>
      <w:r w:rsidRPr="00452389">
        <w:rPr>
          <w:sz w:val="24"/>
        </w:rPr>
        <w:t xml:space="preserve"> </w:t>
      </w:r>
      <w:r w:rsidR="0060159D" w:rsidRPr="00452389">
        <w:rPr>
          <w:sz w:val="24"/>
        </w:rPr>
        <w:t xml:space="preserve">on a random spot check </w:t>
      </w:r>
      <w:r w:rsidR="00392487" w:rsidRPr="00452389">
        <w:rPr>
          <w:sz w:val="24"/>
        </w:rPr>
        <w:t>review</w:t>
      </w:r>
      <w:r w:rsidRPr="00452389">
        <w:rPr>
          <w:sz w:val="24"/>
        </w:rPr>
        <w:t xml:space="preserve"> each year</w:t>
      </w:r>
      <w:r w:rsidR="00BF3775">
        <w:rPr>
          <w:sz w:val="24"/>
        </w:rPr>
        <w:t xml:space="preserve"> outside of the scheduled area</w:t>
      </w:r>
      <w:r w:rsidRPr="00452389">
        <w:rPr>
          <w:sz w:val="24"/>
        </w:rPr>
        <w:t>.</w:t>
      </w:r>
    </w:p>
    <w:p w:rsidR="00857C3B" w:rsidRPr="00452389" w:rsidRDefault="009E6D86" w:rsidP="00392487">
      <w:pPr>
        <w:pStyle w:val="ListParagraph"/>
        <w:numPr>
          <w:ilvl w:val="1"/>
          <w:numId w:val="1"/>
        </w:numPr>
        <w:ind w:left="1080"/>
        <w:rPr>
          <w:sz w:val="24"/>
        </w:rPr>
      </w:pPr>
      <w:r w:rsidRPr="00452389">
        <w:rPr>
          <w:sz w:val="24"/>
        </w:rPr>
        <w:t>Additionally, t</w:t>
      </w:r>
      <w:r w:rsidR="004933EF" w:rsidRPr="00452389">
        <w:rPr>
          <w:sz w:val="24"/>
        </w:rPr>
        <w:t>he SWCD should</w:t>
      </w:r>
      <w:r w:rsidR="00F06FB2" w:rsidRPr="00452389">
        <w:rPr>
          <w:sz w:val="24"/>
        </w:rPr>
        <w:t xml:space="preserve"> review parcels</w:t>
      </w:r>
      <w:r w:rsidR="001B4FBC" w:rsidRPr="00452389">
        <w:rPr>
          <w:sz w:val="24"/>
        </w:rPr>
        <w:t xml:space="preserve"> of emphasis </w:t>
      </w:r>
      <w:r w:rsidR="00C93312" w:rsidRPr="00452389">
        <w:rPr>
          <w:sz w:val="24"/>
        </w:rPr>
        <w:t>more frequently</w:t>
      </w:r>
      <w:r w:rsidR="001B4FBC" w:rsidRPr="00452389">
        <w:rPr>
          <w:sz w:val="24"/>
        </w:rPr>
        <w:t>.</w:t>
      </w:r>
    </w:p>
    <w:p w:rsidR="00857C3B" w:rsidRPr="00452389" w:rsidRDefault="00857C3B" w:rsidP="00392487">
      <w:pPr>
        <w:pStyle w:val="ListParagraph"/>
        <w:numPr>
          <w:ilvl w:val="2"/>
          <w:numId w:val="3"/>
        </w:numPr>
        <w:ind w:left="1440"/>
        <w:rPr>
          <w:sz w:val="24"/>
        </w:rPr>
      </w:pPr>
      <w:r w:rsidRPr="00452389">
        <w:rPr>
          <w:sz w:val="24"/>
        </w:rPr>
        <w:t>Previously non-compliant</w:t>
      </w:r>
    </w:p>
    <w:p w:rsidR="00857C3B" w:rsidRPr="00452389" w:rsidRDefault="001B4FBC" w:rsidP="00392487">
      <w:pPr>
        <w:pStyle w:val="ListParagraph"/>
        <w:numPr>
          <w:ilvl w:val="2"/>
          <w:numId w:val="3"/>
        </w:numPr>
        <w:ind w:left="1440"/>
        <w:rPr>
          <w:sz w:val="24"/>
        </w:rPr>
      </w:pPr>
      <w:r w:rsidRPr="00452389">
        <w:rPr>
          <w:sz w:val="24"/>
        </w:rPr>
        <w:t>No-till</w:t>
      </w:r>
      <w:r w:rsidR="00D435B1" w:rsidRPr="00452389">
        <w:rPr>
          <w:sz w:val="24"/>
        </w:rPr>
        <w:t>/Conservation tillage</w:t>
      </w:r>
      <w:r w:rsidRPr="00452389">
        <w:rPr>
          <w:sz w:val="24"/>
        </w:rPr>
        <w:t xml:space="preserve"> or cover crop alternative practice plans </w:t>
      </w:r>
    </w:p>
    <w:p w:rsidR="00857C3B" w:rsidRPr="00452389" w:rsidRDefault="001B4FBC" w:rsidP="00392487">
      <w:pPr>
        <w:pStyle w:val="ListParagraph"/>
        <w:numPr>
          <w:ilvl w:val="2"/>
          <w:numId w:val="3"/>
        </w:numPr>
        <w:ind w:left="1440"/>
        <w:rPr>
          <w:sz w:val="24"/>
        </w:rPr>
      </w:pPr>
      <w:r w:rsidRPr="00452389">
        <w:rPr>
          <w:sz w:val="24"/>
        </w:rPr>
        <w:t>Variable width buffers (</w:t>
      </w:r>
      <w:r w:rsidR="00D435B1" w:rsidRPr="00452389">
        <w:rPr>
          <w:sz w:val="24"/>
        </w:rPr>
        <w:t xml:space="preserve">i.e. </w:t>
      </w:r>
      <w:r w:rsidRPr="00452389">
        <w:rPr>
          <w:sz w:val="24"/>
        </w:rPr>
        <w:t>Land O</w:t>
      </w:r>
      <w:r w:rsidR="00622776" w:rsidRPr="00452389">
        <w:rPr>
          <w:sz w:val="24"/>
        </w:rPr>
        <w:t>’</w:t>
      </w:r>
      <w:r w:rsidRPr="00452389">
        <w:rPr>
          <w:sz w:val="24"/>
        </w:rPr>
        <w:t xml:space="preserve"> Lak</w:t>
      </w:r>
      <w:r w:rsidR="00D435B1" w:rsidRPr="00452389">
        <w:rPr>
          <w:sz w:val="24"/>
        </w:rPr>
        <w:t>es buffer tool</w:t>
      </w:r>
      <w:r w:rsidR="00651A00" w:rsidRPr="00452389">
        <w:rPr>
          <w:sz w:val="24"/>
        </w:rPr>
        <w:t>, Decision Support Tool</w:t>
      </w:r>
      <w:r w:rsidRPr="00452389">
        <w:rPr>
          <w:sz w:val="24"/>
        </w:rPr>
        <w:t>)</w:t>
      </w:r>
    </w:p>
    <w:p w:rsidR="00C20926" w:rsidRPr="00452389" w:rsidRDefault="00C20926" w:rsidP="00392487">
      <w:pPr>
        <w:pStyle w:val="ListParagraph"/>
        <w:numPr>
          <w:ilvl w:val="2"/>
          <w:numId w:val="3"/>
        </w:numPr>
        <w:ind w:left="1440"/>
        <w:rPr>
          <w:sz w:val="24"/>
        </w:rPr>
      </w:pPr>
      <w:r w:rsidRPr="00452389">
        <w:rPr>
          <w:sz w:val="24"/>
        </w:rPr>
        <w:t>Other Alternative Practice Plans</w:t>
      </w:r>
    </w:p>
    <w:p w:rsidR="00D435B1" w:rsidRPr="00452389" w:rsidRDefault="00D435B1" w:rsidP="00392487">
      <w:pPr>
        <w:pStyle w:val="ListParagraph"/>
        <w:numPr>
          <w:ilvl w:val="2"/>
          <w:numId w:val="3"/>
        </w:numPr>
        <w:ind w:left="1440"/>
        <w:rPr>
          <w:sz w:val="24"/>
        </w:rPr>
      </w:pPr>
      <w:r w:rsidRPr="00452389">
        <w:rPr>
          <w:sz w:val="24"/>
        </w:rPr>
        <w:t>Cost-</w:t>
      </w:r>
      <w:r w:rsidR="00636B1E">
        <w:rPr>
          <w:sz w:val="24"/>
        </w:rPr>
        <w:t>share funded projects (years 1,5</w:t>
      </w:r>
      <w:r w:rsidRPr="00452389">
        <w:rPr>
          <w:sz w:val="24"/>
        </w:rPr>
        <w:t>,9 of contract)</w:t>
      </w:r>
      <w:r w:rsidRPr="00452389">
        <w:rPr>
          <w:noProof/>
          <w:sz w:val="24"/>
        </w:rPr>
        <w:t xml:space="preserve"> </w:t>
      </w:r>
    </w:p>
    <w:p w:rsidR="001B4FBC" w:rsidRPr="00452389" w:rsidRDefault="00D435B1" w:rsidP="00392487">
      <w:pPr>
        <w:pStyle w:val="ListParagraph"/>
        <w:numPr>
          <w:ilvl w:val="2"/>
          <w:numId w:val="3"/>
        </w:numPr>
        <w:ind w:left="1440"/>
        <w:rPr>
          <w:sz w:val="24"/>
        </w:rPr>
      </w:pPr>
      <w:r w:rsidRPr="00452389">
        <w:rPr>
          <w:sz w:val="24"/>
        </w:rPr>
        <w:t>Parcels of further emphasis (potential violators)</w:t>
      </w:r>
    </w:p>
    <w:p w:rsidR="007719C9" w:rsidRPr="00452389" w:rsidRDefault="007719C9" w:rsidP="007719C9">
      <w:pPr>
        <w:pStyle w:val="ListParagraph"/>
        <w:ind w:left="1440"/>
        <w:rPr>
          <w:sz w:val="24"/>
        </w:rPr>
      </w:pPr>
    </w:p>
    <w:p w:rsidR="000722BC" w:rsidRPr="00452389" w:rsidRDefault="000722BC" w:rsidP="00392487">
      <w:pPr>
        <w:pStyle w:val="ListParagraph"/>
        <w:numPr>
          <w:ilvl w:val="0"/>
          <w:numId w:val="1"/>
        </w:numPr>
        <w:ind w:left="360"/>
        <w:rPr>
          <w:b/>
          <w:sz w:val="24"/>
        </w:rPr>
      </w:pPr>
      <w:r w:rsidRPr="00452389">
        <w:rPr>
          <w:b/>
          <w:sz w:val="24"/>
        </w:rPr>
        <w:t>PROCESS TO HANDLE COMPLA</w:t>
      </w:r>
      <w:r w:rsidR="004B2138" w:rsidRPr="00452389">
        <w:rPr>
          <w:b/>
          <w:sz w:val="24"/>
        </w:rPr>
        <w:t>I</w:t>
      </w:r>
      <w:r w:rsidRPr="00452389">
        <w:rPr>
          <w:b/>
          <w:sz w:val="24"/>
        </w:rPr>
        <w:t>NTS</w:t>
      </w:r>
    </w:p>
    <w:p w:rsidR="00FC539D" w:rsidRDefault="00FC539D" w:rsidP="000D45B2">
      <w:pPr>
        <w:ind w:left="360"/>
        <w:rPr>
          <w:sz w:val="24"/>
        </w:rPr>
      </w:pPr>
      <w:r>
        <w:rPr>
          <w:sz w:val="24"/>
        </w:rPr>
        <w:t xml:space="preserve">If you have any questions or concerns regarding the Minnesota Buffer </w:t>
      </w:r>
      <w:proofErr w:type="gramStart"/>
      <w:r>
        <w:rPr>
          <w:sz w:val="24"/>
        </w:rPr>
        <w:t>Law</w:t>
      </w:r>
      <w:proofErr w:type="gramEnd"/>
      <w:r>
        <w:rPr>
          <w:sz w:val="24"/>
        </w:rPr>
        <w:t xml:space="preserve"> please contact Chester Powell at the Clearwater SWCD Office:</w:t>
      </w:r>
    </w:p>
    <w:p w:rsidR="00FC539D" w:rsidRDefault="00FC539D" w:rsidP="000D45B2">
      <w:pPr>
        <w:ind w:left="360"/>
        <w:contextualSpacing/>
        <w:rPr>
          <w:sz w:val="24"/>
        </w:rPr>
      </w:pPr>
      <w:r>
        <w:rPr>
          <w:sz w:val="24"/>
        </w:rPr>
        <w:t xml:space="preserve">312 Mail Ave N </w:t>
      </w:r>
    </w:p>
    <w:p w:rsidR="00FC539D" w:rsidRDefault="00FC539D" w:rsidP="000D45B2">
      <w:pPr>
        <w:ind w:left="360"/>
        <w:contextualSpacing/>
        <w:rPr>
          <w:sz w:val="24"/>
        </w:rPr>
      </w:pPr>
      <w:r>
        <w:rPr>
          <w:sz w:val="24"/>
        </w:rPr>
        <w:t>Bagley, MN 56621</w:t>
      </w:r>
    </w:p>
    <w:p w:rsidR="00FC539D" w:rsidRDefault="00FC539D" w:rsidP="000D45B2">
      <w:pPr>
        <w:ind w:left="360"/>
        <w:contextualSpacing/>
        <w:rPr>
          <w:sz w:val="24"/>
        </w:rPr>
      </w:pPr>
      <w:r>
        <w:rPr>
          <w:sz w:val="24"/>
        </w:rPr>
        <w:t xml:space="preserve">Phone: 218 694-6845 </w:t>
      </w:r>
      <w:proofErr w:type="spellStart"/>
      <w:r>
        <w:rPr>
          <w:sz w:val="24"/>
        </w:rPr>
        <w:t>ext</w:t>
      </w:r>
      <w:proofErr w:type="spellEnd"/>
      <w:r>
        <w:rPr>
          <w:sz w:val="24"/>
        </w:rPr>
        <w:t xml:space="preserve"> 109</w:t>
      </w:r>
    </w:p>
    <w:p w:rsidR="00933871" w:rsidRDefault="00FC539D" w:rsidP="00FC539D">
      <w:pPr>
        <w:ind w:left="360"/>
        <w:contextualSpacing/>
        <w:rPr>
          <w:sz w:val="24"/>
        </w:rPr>
      </w:pPr>
      <w:r>
        <w:rPr>
          <w:sz w:val="24"/>
        </w:rPr>
        <w:t xml:space="preserve">Email:  </w:t>
      </w:r>
      <w:hyperlink r:id="rId7" w:history="1">
        <w:r w:rsidRPr="008710DB">
          <w:rPr>
            <w:rStyle w:val="Hyperlink"/>
            <w:i/>
            <w:sz w:val="24"/>
          </w:rPr>
          <w:t>Chester.powell@mn.nacdnet.net</w:t>
        </w:r>
      </w:hyperlink>
      <w:r w:rsidR="00BF3775">
        <w:rPr>
          <w:sz w:val="24"/>
        </w:rPr>
        <w:t>.</w:t>
      </w:r>
    </w:p>
    <w:p w:rsidR="00BF3775" w:rsidRDefault="00BF3775" w:rsidP="000D45B2">
      <w:pPr>
        <w:ind w:left="360"/>
        <w:rPr>
          <w:sz w:val="24"/>
        </w:rPr>
      </w:pPr>
    </w:p>
    <w:p w:rsidR="00BF3775" w:rsidRPr="00BF3775" w:rsidRDefault="00BF3775" w:rsidP="000D45B2">
      <w:pPr>
        <w:ind w:left="360"/>
        <w:rPr>
          <w:sz w:val="24"/>
        </w:rPr>
      </w:pPr>
    </w:p>
    <w:p w:rsidR="00933871" w:rsidRDefault="00933871" w:rsidP="00D726AB">
      <w:pPr>
        <w:pStyle w:val="ListParagraph"/>
        <w:ind w:left="360"/>
      </w:pPr>
    </w:p>
    <w:p w:rsidR="00933871" w:rsidRDefault="00933871" w:rsidP="00D726AB">
      <w:pPr>
        <w:pStyle w:val="ListParagraph"/>
        <w:ind w:left="360"/>
      </w:pPr>
    </w:p>
    <w:p w:rsidR="00933871" w:rsidRDefault="00933871" w:rsidP="00D726AB">
      <w:pPr>
        <w:pStyle w:val="ListParagraph"/>
        <w:ind w:left="360"/>
      </w:pPr>
    </w:p>
    <w:p w:rsidR="00933871" w:rsidRDefault="00933871" w:rsidP="00D726AB">
      <w:pPr>
        <w:pStyle w:val="ListParagraph"/>
        <w:ind w:left="360"/>
      </w:pPr>
    </w:p>
    <w:p w:rsidR="00933871" w:rsidRDefault="00933871" w:rsidP="00D726AB">
      <w:pPr>
        <w:pStyle w:val="ListParagraph"/>
        <w:ind w:left="360"/>
      </w:pPr>
    </w:p>
    <w:p w:rsidR="00933871" w:rsidRDefault="00933871" w:rsidP="00D726AB">
      <w:pPr>
        <w:pStyle w:val="ListParagraph"/>
        <w:ind w:left="360"/>
      </w:pPr>
    </w:p>
    <w:p w:rsidR="00933871" w:rsidRDefault="00933871" w:rsidP="00D726AB">
      <w:pPr>
        <w:pStyle w:val="ListParagraph"/>
        <w:ind w:left="360"/>
      </w:pPr>
    </w:p>
    <w:p w:rsidR="00CA48E5" w:rsidRDefault="00CA48E5" w:rsidP="00D726AB">
      <w:pPr>
        <w:pStyle w:val="ListParagraph"/>
        <w:ind w:left="360"/>
      </w:pPr>
    </w:p>
    <w:p w:rsidR="00CA48E5" w:rsidRDefault="00CA48E5" w:rsidP="00D726AB">
      <w:pPr>
        <w:pStyle w:val="ListParagraph"/>
        <w:ind w:left="360"/>
      </w:pPr>
    </w:p>
    <w:p w:rsidR="00CA48E5" w:rsidRDefault="00CA48E5" w:rsidP="00D726AB">
      <w:pPr>
        <w:pStyle w:val="ListParagraph"/>
        <w:ind w:left="360"/>
      </w:pPr>
    </w:p>
    <w:p w:rsidR="00CA48E5" w:rsidRDefault="00CA48E5" w:rsidP="00D726AB">
      <w:pPr>
        <w:pStyle w:val="ListParagraph"/>
        <w:ind w:left="360"/>
      </w:pPr>
    </w:p>
    <w:p w:rsidR="00CA48E5" w:rsidRPr="00FC539D" w:rsidRDefault="00CA48E5" w:rsidP="00FC539D">
      <w:pPr>
        <w:pStyle w:val="ListParagraph"/>
        <w:ind w:left="360"/>
        <w:rPr>
          <w:b/>
          <w:sz w:val="24"/>
        </w:rPr>
      </w:pPr>
      <w:r w:rsidRPr="00CA48E5">
        <w:rPr>
          <w:b/>
          <w:sz w:val="24"/>
        </w:rPr>
        <w:t xml:space="preserve">Attachment A: </w:t>
      </w:r>
    </w:p>
    <w:p w:rsidR="00CA48E5" w:rsidRDefault="00FE06BA" w:rsidP="00D726AB">
      <w:pPr>
        <w:pStyle w:val="ListParagraph"/>
        <w:ind w:left="360"/>
      </w:pPr>
      <w:r>
        <w:rPr>
          <w:noProof/>
        </w:rPr>
        <w:drawing>
          <wp:inline distT="0" distB="0" distL="0" distR="0">
            <wp:extent cx="5676900" cy="7346329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spection ma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1347" cy="735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48E5" w:rsidSect="00C253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6C92"/>
    <w:multiLevelType w:val="hybridMultilevel"/>
    <w:tmpl w:val="D714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6F21"/>
    <w:multiLevelType w:val="hybridMultilevel"/>
    <w:tmpl w:val="CF442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02DE"/>
    <w:multiLevelType w:val="hybridMultilevel"/>
    <w:tmpl w:val="48C62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F0396"/>
    <w:multiLevelType w:val="hybridMultilevel"/>
    <w:tmpl w:val="9DDEC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F8"/>
    <w:rsid w:val="000722BC"/>
    <w:rsid w:val="0007409E"/>
    <w:rsid w:val="000D45B2"/>
    <w:rsid w:val="000E22B2"/>
    <w:rsid w:val="001664A3"/>
    <w:rsid w:val="00195011"/>
    <w:rsid w:val="001B4FBC"/>
    <w:rsid w:val="001E74DD"/>
    <w:rsid w:val="0024445F"/>
    <w:rsid w:val="00245A67"/>
    <w:rsid w:val="002A1F76"/>
    <w:rsid w:val="002B6F78"/>
    <w:rsid w:val="002E2FE8"/>
    <w:rsid w:val="00310E6A"/>
    <w:rsid w:val="00392487"/>
    <w:rsid w:val="003C56C1"/>
    <w:rsid w:val="00425315"/>
    <w:rsid w:val="004349B5"/>
    <w:rsid w:val="004500C2"/>
    <w:rsid w:val="00452389"/>
    <w:rsid w:val="0046598F"/>
    <w:rsid w:val="004933EF"/>
    <w:rsid w:val="004B2138"/>
    <w:rsid w:val="005D5555"/>
    <w:rsid w:val="0060159D"/>
    <w:rsid w:val="0060479F"/>
    <w:rsid w:val="00622776"/>
    <w:rsid w:val="00636B1E"/>
    <w:rsid w:val="00651A00"/>
    <w:rsid w:val="006A3C63"/>
    <w:rsid w:val="00725147"/>
    <w:rsid w:val="00727C3B"/>
    <w:rsid w:val="00762042"/>
    <w:rsid w:val="007719C9"/>
    <w:rsid w:val="00772B11"/>
    <w:rsid w:val="00780930"/>
    <w:rsid w:val="007A6D84"/>
    <w:rsid w:val="007E59F9"/>
    <w:rsid w:val="00806ED4"/>
    <w:rsid w:val="00813CA2"/>
    <w:rsid w:val="00857C3B"/>
    <w:rsid w:val="00877C2A"/>
    <w:rsid w:val="008F0ED6"/>
    <w:rsid w:val="009171C7"/>
    <w:rsid w:val="00933871"/>
    <w:rsid w:val="009B6381"/>
    <w:rsid w:val="009E5429"/>
    <w:rsid w:val="009E6D86"/>
    <w:rsid w:val="00A43982"/>
    <w:rsid w:val="00A56DBC"/>
    <w:rsid w:val="00B208E1"/>
    <w:rsid w:val="00B37AF1"/>
    <w:rsid w:val="00B47FD6"/>
    <w:rsid w:val="00BF3775"/>
    <w:rsid w:val="00C17A97"/>
    <w:rsid w:val="00C20926"/>
    <w:rsid w:val="00C2532F"/>
    <w:rsid w:val="00C76943"/>
    <w:rsid w:val="00C93312"/>
    <w:rsid w:val="00CA48E5"/>
    <w:rsid w:val="00CE4C90"/>
    <w:rsid w:val="00D435B1"/>
    <w:rsid w:val="00D56C5A"/>
    <w:rsid w:val="00D726AB"/>
    <w:rsid w:val="00D971A4"/>
    <w:rsid w:val="00DC60EB"/>
    <w:rsid w:val="00DF25C3"/>
    <w:rsid w:val="00E36191"/>
    <w:rsid w:val="00E533C9"/>
    <w:rsid w:val="00E85F7F"/>
    <w:rsid w:val="00EA5808"/>
    <w:rsid w:val="00EC35F4"/>
    <w:rsid w:val="00EF53F8"/>
    <w:rsid w:val="00F06FB2"/>
    <w:rsid w:val="00F57585"/>
    <w:rsid w:val="00F75482"/>
    <w:rsid w:val="00F95D08"/>
    <w:rsid w:val="00FC539D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FB6D"/>
  <w15:chartTrackingRefBased/>
  <w15:docId w15:val="{A49932F3-A288-4562-96C3-05D1731B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40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3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2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740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40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40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37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7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Chester.powell@mn.nacd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CA1F-B2C0-4913-90FD-12E5241F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Mayers, Darren (BWSR)</dc:creator>
  <cp:keywords/>
  <dc:description/>
  <cp:lastModifiedBy>Powell, Chester - NRCS-CD, Bagley, MN</cp:lastModifiedBy>
  <cp:revision>3</cp:revision>
  <cp:lastPrinted>2018-04-26T20:57:00Z</cp:lastPrinted>
  <dcterms:created xsi:type="dcterms:W3CDTF">2019-02-13T16:38:00Z</dcterms:created>
  <dcterms:modified xsi:type="dcterms:W3CDTF">2019-02-13T16:51:00Z</dcterms:modified>
</cp:coreProperties>
</file>