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D73" w:rsidRDefault="00B23D73" w:rsidP="00B23D73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B23D73">
        <w:rPr>
          <w:rFonts w:ascii="Helvetica" w:hAnsi="Helvetica" w:cs="Helvetica"/>
        </w:rPr>
        <w:t>Your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consciousness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has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been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completely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transformed.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Now</w:t>
      </w:r>
      <w:r w:rsidR="0038743F">
        <w:rPr>
          <w:rFonts w:ascii="Helvetica" w:hAnsi="Helvetica" w:cs="Helvetica"/>
        </w:rPr>
        <w:t xml:space="preserve"> </w:t>
      </w:r>
      <w:r w:rsidRPr="00B23D73">
        <w:rPr>
          <w:rFonts w:ascii="Helvetica" w:hAnsi="Helvetica" w:cs="Helvetica"/>
        </w:rPr>
        <w:t>what?</w:t>
      </w:r>
    </w:p>
    <w:p w:rsidR="00B23D73" w:rsidRPr="00B23D73" w:rsidRDefault="00B23D73" w:rsidP="00B23D73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</w:p>
    <w:p w:rsidR="002D2418" w:rsidRPr="002D2418" w:rsidRDefault="002D2418" w:rsidP="00B23D73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b/>
          <w:bCs/>
          <w:color w:val="2D2B29"/>
          <w:kern w:val="0"/>
          <w:sz w:val="28"/>
          <w:szCs w:val="28"/>
          <w14:ligatures w14:val="none"/>
        </w:rPr>
      </w:pPr>
      <w:r w:rsidRPr="002D2418">
        <w:rPr>
          <w:rFonts w:ascii="Georgia" w:eastAsia="Times New Roman" w:hAnsi="Georgia" w:cs="Times New Roman"/>
          <w:b/>
          <w:bCs/>
          <w:color w:val="2D2B29"/>
          <w:kern w:val="0"/>
          <w:sz w:val="28"/>
          <w:szCs w:val="28"/>
          <w14:ligatures w14:val="none"/>
        </w:rPr>
        <w:t>By Kevin Berryman</w:t>
      </w:r>
    </w:p>
    <w:p w:rsidR="00B23D73" w:rsidRPr="00B23D73" w:rsidRDefault="00B23D73" w:rsidP="00B23D73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if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there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‘path’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enlightenment?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temporary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moments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acceptance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self-transcendence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toward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permanent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states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happiness,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oneness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freedom?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Instead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ascending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clearly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marked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path,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ourselves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drifting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immense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merciless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ocean.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toward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enlightenment,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known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often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mistakenly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thought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unequivocally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positive.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initiated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4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practices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meditation,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prayer,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ritual,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reflection,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sensory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deprivation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5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hallucinogens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spiritual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states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often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believed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unlock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mysteries,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provide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ultimate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happiness,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reveal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so-called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higher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truth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permanent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positive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perfect.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anyone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radical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accompany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simple.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Sacred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knowledge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cost.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Emboldened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promise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enlightenment,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everything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away: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family,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friends,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beer,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sex,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entertainment,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money,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decent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fashion.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Decades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ago,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Buddhist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monk.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Well,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I’m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still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unenlightened,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I’ve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experiences: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overwhelming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epiphanies,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euphoric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self-transcendence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unshakeable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equanimity.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match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lastRenderedPageBreak/>
        <w:t>profundity.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confusion.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Sometimes,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euphoria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accompanies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epiphany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gives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disorientation,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self-transcendence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turn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self-deception.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took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years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wrong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turns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spell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realise</w:t>
      </w:r>
      <w:proofErr w:type="spell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from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point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direction.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first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neither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meditation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Buddhist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6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LSD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teenager.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taking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first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glimpsed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‘myself’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pattern,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illusion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perceptually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moved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substance.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thought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‘me’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‘not-me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’.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unfolded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world-shattering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glory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intricate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patterns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Persian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rug,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before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eyes.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saw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patterns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created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countless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threads,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themselves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countless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atoms.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assumed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‘me’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different: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bunch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particles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formed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pattern.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spell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centre</w:t>
      </w:r>
      <w:proofErr w:type="spell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took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myself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disintegrated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bled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rug.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important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broke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better.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problem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shattered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pieces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back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together.</w:t>
      </w:r>
    </w:p>
    <w:p w:rsid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should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ourselves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shattered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7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experience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Unfortunately,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Dummies’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handbook.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hard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words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describe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we’ve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glimpsed,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understand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aftermath?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Answers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easy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guidance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from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contemplative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traditions.</w:t>
      </w:r>
    </w:p>
    <w:p w:rsidR="00FB15BF" w:rsidRPr="00B23D73" w:rsidRDefault="00FB15BF" w:rsidP="00FB15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FB15B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 last thing on my mind the first night I took psychedelics was that staring at a Persian rug might lead me to become a Buddhist monk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lastRenderedPageBreak/>
        <w:t>Contemplative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traditions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throughout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history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extolled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importance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spiritual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radically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existence.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Peeling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back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curtain,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almost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impossible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unsee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hiding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behind.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easy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explain.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Different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contemplative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traditions,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religions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cultures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8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attempted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describe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‘indescribable’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various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terms,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including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transcendence,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absorption,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oneness,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ego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dissolution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nothingness.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Regardless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described,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contemporary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research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found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common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‘awakening’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spell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flavour</w:t>
      </w:r>
      <w:proofErr w:type="spell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certain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9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ingredients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First,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unity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individual’s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ego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dissolve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oneness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god,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universal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consciousness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blur.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Second,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emotional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intensity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boundless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love,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ecstasy,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bliss,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absolute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pure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compassion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imbue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aspect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Third,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clarity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describe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certain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understanding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about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nature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existence.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Finally,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surrender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acceptance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process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opposed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making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happen,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surrender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divine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balanced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equanimity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things.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Sometimes,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ingredients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create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profound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last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teenage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first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took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psychedelics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Persian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rug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celibate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Buddhist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monk.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flash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illumination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shattering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moment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serve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inflection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point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permanent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person’s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including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meaning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purpose,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beliefs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lastRenderedPageBreak/>
        <w:t>values,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relationships,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careers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0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health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Furthermore,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mostly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1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better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problem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powerfully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transformative,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utterly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2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disorienting</w:t>
        </w:r>
      </w:hyperlink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cases,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flights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fancy.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cases,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delusions.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spend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great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talking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meditators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years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still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understand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(or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misinterpreted)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should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you’ve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overcome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adrift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vast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ocean?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first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step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hardest: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find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guide.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Because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new,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subjective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unique,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hard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contemplative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traditions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including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great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religions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spiritual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practices,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Indigenous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cultural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beliefs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modern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frameworks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transcendentalism.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you’ve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found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tradition,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relevant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community,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guide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similar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process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difficult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daunting.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involves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trial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error,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run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strange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along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guide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understand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figure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next.</w:t>
      </w:r>
    </w:p>
    <w:p w:rsid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can’t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just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yourself?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Bronze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text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weirdo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bedsheet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reinterpret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teachers,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traditions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communities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infallible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answers,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rather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easy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fact,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huge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risks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trying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yourself.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lastRenderedPageBreak/>
        <w:t>Without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check,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interpret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‘awakening’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significant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was.</w:t>
      </w:r>
    </w:p>
    <w:p w:rsidR="00FB15BF" w:rsidRDefault="00FB15BF" w:rsidP="00FB15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FB15B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One experience </w:t>
      </w:r>
      <w:proofErr w:type="gramStart"/>
      <w:r w:rsidRPr="00FB15B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won’t</w:t>
      </w:r>
      <w:proofErr w:type="gramEnd"/>
      <w:r w:rsidRPr="00FB15B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likely make you a saint, but small shifts can make big differences over time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brings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second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step: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overestimate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doesn’t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enlightened,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spiritually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adept,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expert.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taken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important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first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step,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many,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go.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often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think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initial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reaching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destination.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envision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ourselves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going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journey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across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ocean,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just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gotten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spell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harbour</w:t>
      </w:r>
      <w:proofErr w:type="spellEnd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contemplative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frameworks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communities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point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direction.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Taking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spiritual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delusion.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Believing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we’ve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reached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destination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causes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float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worse,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drift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further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wrong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Often,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occur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again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badly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start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imagine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them,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never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spell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realising</w:t>
      </w:r>
      <w:proofErr w:type="spell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creating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escapist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fantasy.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Buddhist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monk,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often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across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(including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teachers)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vivid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image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their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next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decades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believing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telling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mystical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powers.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easy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blinded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glow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aftereffects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persistent,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themselves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last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forever.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mundane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existence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creeps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back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we’re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confronted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jobs,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unmown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lawns,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sick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kids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microwaves.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becomes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memory.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Regardless,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memory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serve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influential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reference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points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remainder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lives.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lastRenderedPageBreak/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potentially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better.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there’s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guarantee.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Though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it’s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hard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gauge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will</w:t>
      </w:r>
      <w:r w:rsidR="0038743F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b/>
          <w:bCs/>
          <w:color w:val="2D2B29"/>
          <w:kern w:val="0"/>
          <w:sz w:val="33"/>
          <w:szCs w:val="33"/>
          <w14:ligatures w14:val="none"/>
        </w:rPr>
        <w:t>change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long-lasting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researchers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3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refer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‘secondary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shift’.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significant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values,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beliefs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attitudes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produce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cognitive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which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permanent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identity.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secondary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Most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4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reports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indicate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associated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self-transcendence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during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dissolved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deconstructed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intensity,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acceptance.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certain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parts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identity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could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include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traits.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indicator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permanent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because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traits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thought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hyperlink r:id="rId15" w:tgtFrame="_blank" w:history="1">
        <w:r w:rsidRPr="00B23D73">
          <w:rPr>
            <w:rFonts w:ascii="Georgia" w:eastAsia="Times New Roman" w:hAnsi="Georgia" w:cs="Times New Roman"/>
            <w:color w:val="0000FF"/>
            <w:kern w:val="0"/>
            <w:sz w:val="33"/>
            <w:szCs w:val="33"/>
            <w14:ligatures w14:val="none"/>
          </w:rPr>
          <w:t>more</w:t>
        </w:r>
      </w:hyperlink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important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self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identity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part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mind.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During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identity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could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response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feelings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question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whether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you’ll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degree,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depend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much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moral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identity.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likely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saint,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small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shifts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make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big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differences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over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–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eventually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lead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positive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change.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Ideally,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wouldn’t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better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yourself,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serve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compass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guide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where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it’s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helpful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recall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primary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elements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experience: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intensity,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surrender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acceptance.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seemed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disorienting,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repeatedly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lastRenderedPageBreak/>
        <w:t>reflecting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subjective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elements,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continually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trying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integrate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daily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start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process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profound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improve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mental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world.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example,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cultivating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that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includes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variety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lifeforms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planet?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Remembering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unifying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qualities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aid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continually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adjusting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harm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help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doing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world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ethical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interactions.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bringing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positive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states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such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compassion,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gratitude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kindness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relationships?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Remembering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reminds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extend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emotions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people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towards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you’re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indifferent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never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meet,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even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who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continuing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from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shape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priorities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decisions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Clarity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used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reflect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spending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precious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time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life.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Finally,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bringing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surrender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acceptance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operate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world?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Going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beyond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one’s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egocentric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desires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surrendering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something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bigger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provide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heightened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purpose.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matter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greater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sense,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shouldn’t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improve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only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also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shared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existence.</w:t>
      </w:r>
    </w:p>
    <w:p w:rsidR="00B23D73" w:rsidRPr="00B23D73" w:rsidRDefault="00B23D73" w:rsidP="00B23D7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takes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lot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work,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reflection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patience,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subjective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states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become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part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day-to-day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reality.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temporary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epiphany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live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forever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actions.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If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you’ve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been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fortunate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enough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consciousness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transformed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through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awakening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experience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and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thought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Well,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now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proofErr w:type="gramStart"/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what?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,</w:t>
      </w:r>
      <w:proofErr w:type="gramEnd"/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these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steps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might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give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some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direction.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ship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out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open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waters.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Your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navigation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instruments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are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working.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You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now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have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ocean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  <w:t>traverse.</w:t>
      </w:r>
    </w:p>
    <w:p w:rsidR="00B23D73" w:rsidRPr="00B23D73" w:rsidRDefault="00B23D73" w:rsidP="00B23D7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2D2B29"/>
          <w:kern w:val="0"/>
          <w:sz w:val="33"/>
          <w:szCs w:val="33"/>
          <w14:ligatures w14:val="none"/>
        </w:rPr>
      </w:pP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Idea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is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part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of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a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series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contemplation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produced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with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the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hyperlink r:id="rId16" w:tgtFrame="_blank" w:history="1"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Monash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Centre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for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Consciousness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and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Contemplative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lastRenderedPageBreak/>
          <w:t>Studies</w:t>
        </w:r>
      </w:hyperlink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.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To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read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other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articles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in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this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series,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see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hyperlink r:id="rId17" w:tgtFrame="_blank" w:history="1"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Jennifer</w:t>
        </w:r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proofErr w:type="spellStart"/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Windt’s</w:t>
        </w:r>
        <w:proofErr w:type="spellEnd"/>
        <w:r w:rsidR="0038743F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 xml:space="preserve"> </w:t>
        </w:r>
        <w:r w:rsidRPr="00B23D73">
          <w:rPr>
            <w:rFonts w:ascii="Georgia" w:eastAsia="Times New Roman" w:hAnsi="Georgia" w:cs="Times New Roman"/>
            <w:i/>
            <w:iCs/>
            <w:color w:val="0000FF"/>
            <w:kern w:val="0"/>
            <w:sz w:val="33"/>
            <w:szCs w:val="33"/>
            <w14:ligatures w14:val="none"/>
          </w:rPr>
          <w:t>Idea</w:t>
        </w:r>
      </w:hyperlink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on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personal</w:t>
      </w:r>
      <w:r w:rsidR="0038743F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 xml:space="preserve"> </w:t>
      </w:r>
      <w:r w:rsidRPr="00B23D73">
        <w:rPr>
          <w:rFonts w:ascii="Georgia" w:eastAsia="Times New Roman" w:hAnsi="Georgia" w:cs="Times New Roman"/>
          <w:i/>
          <w:iCs/>
          <w:color w:val="2D2B29"/>
          <w:kern w:val="0"/>
          <w:sz w:val="33"/>
          <w:szCs w:val="33"/>
          <w14:ligatures w14:val="none"/>
        </w:rPr>
        <w:t>transformation.</w:t>
      </w:r>
    </w:p>
    <w:p w:rsidR="006C151D" w:rsidRDefault="00000000"/>
    <w:p w:rsidR="00B23D73" w:rsidRDefault="00B23D73"/>
    <w:p w:rsidR="00B23D73" w:rsidRDefault="00000000">
      <w:hyperlink r:id="rId18" w:history="1">
        <w:r w:rsidR="00B23D73">
          <w:rPr>
            <w:rStyle w:val="Hyperlink"/>
            <w:rFonts w:ascii="Helvetica" w:hAnsi="Helvetica" w:cs="Helvetica"/>
            <w:b/>
            <w:bCs/>
            <w:color w:val="92110B"/>
            <w:sz w:val="21"/>
            <w:szCs w:val="21"/>
            <w:shd w:val="clear" w:color="auto" w:fill="FFFFFF"/>
          </w:rPr>
          <w:t>Kevin</w:t>
        </w:r>
        <w:r w:rsidR="0038743F">
          <w:rPr>
            <w:rStyle w:val="Hyperlink"/>
            <w:rFonts w:ascii="Helvetica" w:hAnsi="Helvetica" w:cs="Helvetica"/>
            <w:b/>
            <w:bCs/>
            <w:color w:val="92110B"/>
            <w:sz w:val="21"/>
            <w:szCs w:val="21"/>
            <w:shd w:val="clear" w:color="auto" w:fill="FFFFFF"/>
          </w:rPr>
          <w:t xml:space="preserve"> </w:t>
        </w:r>
        <w:proofErr w:type="spellStart"/>
        <w:r w:rsidR="00B23D73">
          <w:rPr>
            <w:rStyle w:val="Hyperlink"/>
            <w:rFonts w:ascii="Helvetica" w:hAnsi="Helvetica" w:cs="Helvetica"/>
            <w:b/>
            <w:bCs/>
            <w:color w:val="92110B"/>
            <w:sz w:val="21"/>
            <w:szCs w:val="21"/>
            <w:shd w:val="clear" w:color="auto" w:fill="FFFFFF"/>
          </w:rPr>
          <w:t>Berryman</w:t>
        </w:r>
      </w:hyperlink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is</w:t>
      </w:r>
      <w:proofErr w:type="spellEnd"/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a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PhD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student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at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Monash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University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in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Melbourne.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His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research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examines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the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moral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psychology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of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contemplative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practices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and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selfless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experiences.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For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more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than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two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decades,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he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has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been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a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Buddhist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monk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in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the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proofErr w:type="spellStart"/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Theravāda</w:t>
      </w:r>
      <w:proofErr w:type="spellEnd"/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forest</w:t>
      </w:r>
      <w:r w:rsidR="0038743F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 xml:space="preserve"> </w:t>
      </w:r>
      <w:r w:rsidR="00B23D73">
        <w:rPr>
          <w:rFonts w:ascii="Helvetica" w:hAnsi="Helvetica" w:cs="Helvetica"/>
          <w:color w:val="2D2B29"/>
          <w:sz w:val="21"/>
          <w:szCs w:val="21"/>
          <w:shd w:val="clear" w:color="auto" w:fill="FFFFFF"/>
        </w:rPr>
        <w:t>lineage.</w:t>
      </w:r>
    </w:p>
    <w:sectPr w:rsidR="00B2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3"/>
    <w:rsid w:val="002D2418"/>
    <w:rsid w:val="00373A10"/>
    <w:rsid w:val="0038743F"/>
    <w:rsid w:val="00627C20"/>
    <w:rsid w:val="00685F85"/>
    <w:rsid w:val="00895AB8"/>
    <w:rsid w:val="00B23D73"/>
    <w:rsid w:val="00C73FBE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1DBA"/>
  <w15:chartTrackingRefBased/>
  <w15:docId w15:val="{053B2214-5199-4640-BBAA-1D967FE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7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23D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3D73"/>
    <w:rPr>
      <w:color w:val="0000FF"/>
      <w:u w:val="single"/>
    </w:rPr>
  </w:style>
  <w:style w:type="paragraph" w:customStyle="1" w:styleId="pullquote">
    <w:name w:val="pullquote"/>
    <w:basedOn w:val="Normal"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3D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3D7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customStyle="1" w:styleId="styledexplainertext-sc-11dqrr7-4">
    <w:name w:val="styled__explainertext-sc-11dqrr7-4"/>
    <w:basedOn w:val="Normal"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3D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3D7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Emphasis">
    <w:name w:val="Emphasis"/>
    <w:basedOn w:val="DefaultParagraphFont"/>
    <w:uiPriority w:val="20"/>
    <w:qFormat/>
    <w:rsid w:val="00B23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1-4020-9018-9_11" TargetMode="External"/><Relationship Id="rId13" Type="http://schemas.openxmlformats.org/officeDocument/2006/relationships/hyperlink" Target="https://transpersonaljournal.com/en/component/edocman/jtr-2013-5-2-steve-taylor.html" TargetMode="External"/><Relationship Id="rId18" Type="http://schemas.openxmlformats.org/officeDocument/2006/relationships/hyperlink" Target="https://psyche.co/users/kevin-berrym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eon.co/essays/religion-has-no-monopoly-on-transcendent-experience" TargetMode="External"/><Relationship Id="rId12" Type="http://schemas.openxmlformats.org/officeDocument/2006/relationships/hyperlink" Target="https://journals.plos.org/plosone/article?id=10.1371/journal.pone.0176239" TargetMode="External"/><Relationship Id="rId17" Type="http://schemas.openxmlformats.org/officeDocument/2006/relationships/hyperlink" Target="https://psyche.co/ideas/personal-transformation-can-start-with-a-whisper-not-a-ba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nash.edu/consciousness-contemplative-studi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syche.co/guides/how-to-have-a-safe-psychedelic-trip" TargetMode="External"/><Relationship Id="rId11" Type="http://schemas.openxmlformats.org/officeDocument/2006/relationships/hyperlink" Target="https://static1.squarespace.com/static/52402ca4e4b0b7dd2fafe453/t/5a550db6f9619abfe3fe4582/1515523511614/the-varieties-of-self-transcendent-experience.pdf" TargetMode="External"/><Relationship Id="rId5" Type="http://schemas.openxmlformats.org/officeDocument/2006/relationships/hyperlink" Target="https://psyche.co/ideas/psychedelics-show-religion-isnt-the-only-route-to-spirituality" TargetMode="External"/><Relationship Id="rId15" Type="http://schemas.openxmlformats.org/officeDocument/2006/relationships/hyperlink" Target="https://www.sciencedirect.com/science/article/pii/S0010027713002497?casa_token=_ePlHSKengEAAAAA:amrGvQNJB04dOQv25rSNTRqMTJ3gUU23H27CbNYAuAwmo_J-j74DW7L_BwUyqTgR8c9vN09stu8" TargetMode="External"/><Relationship Id="rId10" Type="http://schemas.openxmlformats.org/officeDocument/2006/relationships/hyperlink" Target="https://www.tandfonline.com/doi/full/10.1080/07347324.2019.163276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lobal.oup.com/academic/product/the-varieties-of-spiritual-experience-9780190665678?lang=en&amp;cc=ca" TargetMode="External"/><Relationship Id="rId9" Type="http://schemas.openxmlformats.org/officeDocument/2006/relationships/hyperlink" Target="https://psyche.co/ideas/how-an-intense-spiritual-retreat-might-change-your-brain" TargetMode="External"/><Relationship Id="rId14" Type="http://schemas.openxmlformats.org/officeDocument/2006/relationships/hyperlink" Target="https://journals.sagepub.com/doi/abs/10.1037/gpr0000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2189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Kavanagh</dc:creator>
  <cp:keywords/>
  <dc:description/>
  <cp:lastModifiedBy>Your Journey</cp:lastModifiedBy>
  <cp:revision>4</cp:revision>
  <dcterms:created xsi:type="dcterms:W3CDTF">2023-04-18T18:11:00Z</dcterms:created>
  <dcterms:modified xsi:type="dcterms:W3CDTF">2023-06-03T16:15:00Z</dcterms:modified>
</cp:coreProperties>
</file>