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74751" w14:textId="60D41FD9" w:rsidR="00FD06DE" w:rsidRPr="00E34F59" w:rsidRDefault="00FD06DE">
      <w:pPr>
        <w:rPr>
          <w:b/>
          <w:bCs/>
          <w:sz w:val="28"/>
          <w:szCs w:val="28"/>
        </w:rPr>
      </w:pPr>
      <w:r w:rsidRPr="00E34F59">
        <w:rPr>
          <w:b/>
          <w:bCs/>
          <w:sz w:val="28"/>
          <w:szCs w:val="28"/>
        </w:rPr>
        <w:t xml:space="preserve">Quotes from church leaders and </w:t>
      </w:r>
      <w:r w:rsidR="00E34F59" w:rsidRPr="00E34F59">
        <w:rPr>
          <w:b/>
          <w:bCs/>
          <w:sz w:val="28"/>
          <w:szCs w:val="28"/>
        </w:rPr>
        <w:t>scriptures related to financial stability</w:t>
      </w:r>
    </w:p>
    <w:p w14:paraId="1C81079F" w14:textId="4FFBC166" w:rsidR="008E4582" w:rsidRDefault="00905E12">
      <w:r w:rsidRPr="00905E12">
        <w:t>“I urge you … to look to the condition of your finances. I urge you to be modest in your expenditures; discipline yourselves in your purchases to avoid debt to the extent possible. Pay off debt as quickly as you can, and free yourselves from bondage.</w:t>
      </w:r>
      <w:r>
        <w:t xml:space="preserve">”  </w:t>
      </w:r>
      <w:r>
        <w:br/>
        <w:t xml:space="preserve">  ~  Gordon B. Hinckley, Oct 1998</w:t>
      </w:r>
    </w:p>
    <w:p w14:paraId="47E945E5" w14:textId="3DD02BBF" w:rsidR="00905E12" w:rsidRDefault="00905E12">
      <w:r>
        <w:t>“Cry unto him for mercy, for he is mighty to save. …Cry unto him when ye are in your fields, yea, over all your flocks. Cry unto him in your houses, yea, over all your household, both morning, mid-day, and evening. …Cry over the crops of your fields, that they may increase. …let your hearts be full, drawn out in prayer unto him continually for your welfare…”</w:t>
      </w:r>
      <w:r w:rsidR="009A7609">
        <w:br/>
        <w:t xml:space="preserve">  ~ </w:t>
      </w:r>
      <w:r w:rsidR="00E57D5E">
        <w:t xml:space="preserve"> </w:t>
      </w:r>
      <w:r w:rsidR="009A7609">
        <w:t xml:space="preserve">Amulek, speaking to the poor among the </w:t>
      </w:r>
      <w:proofErr w:type="spellStart"/>
      <w:r w:rsidR="009A7609">
        <w:t>Zoramites</w:t>
      </w:r>
      <w:proofErr w:type="spellEnd"/>
      <w:r w:rsidR="009A7609">
        <w:t>; Alma 34:18-27</w:t>
      </w:r>
    </w:p>
    <w:p w14:paraId="4AB51A84" w14:textId="0C0F30CF" w:rsidR="00E57D5E" w:rsidRDefault="00E57D5E">
      <w:r w:rsidRPr="00E57D5E">
        <w:t xml:space="preserve">“I, the Lord, stretched out the heavens, and built the earth, my very handiwork; and all things therein are mine. And it is my purpose to provide for my saints, for all things are mine” </w:t>
      </w:r>
      <w:r>
        <w:br/>
        <w:t xml:space="preserve">  ~  </w:t>
      </w:r>
      <w:hyperlink r:id="rId6" w:anchor="p14" w:history="1">
        <w:r w:rsidRPr="00E57D5E">
          <w:rPr>
            <w:rStyle w:val="Hyperlink"/>
            <w:color w:val="auto"/>
            <w:u w:val="none"/>
          </w:rPr>
          <w:t>D&amp;C 104:14–15</w:t>
        </w:r>
      </w:hyperlink>
    </w:p>
    <w:p w14:paraId="1599CCA8" w14:textId="3A5F685F" w:rsidR="00E57D5E" w:rsidRDefault="00E57D5E">
      <w:r>
        <w:t>“</w:t>
      </w:r>
      <w:r w:rsidRPr="00E57D5E">
        <w:t>Work is an antidote for anxiety, an ointment for sorrow, and a doorway to possibility. … When our wagon gets stuck in the mud, God is much more likely to assist the man who gets out to push than the man who merely raises his voice in prayer—no matter how eloquent the oration”</w:t>
      </w:r>
      <w:r w:rsidR="000313D0">
        <w:br/>
        <w:t xml:space="preserve">  ~  Dieter F. Uchtdorf, October 2009</w:t>
      </w:r>
    </w:p>
    <w:p w14:paraId="177725E1" w14:textId="60DC39AB" w:rsidR="00D10FF1" w:rsidRDefault="00D10FF1">
      <w:r>
        <w:t>“Bring ye all the tithes into the storehouse, that there may be meat in mine house, and prove me now herewith, saith the Lord of hosts, if I will not open you the windows of heaven, and pour you out a blessing, that there shall not be room enough to receive it.”</w:t>
      </w:r>
      <w:r>
        <w:br/>
        <w:t xml:space="preserve">  ~  Malachi 3:10</w:t>
      </w:r>
    </w:p>
    <w:p w14:paraId="6EEA61D0" w14:textId="78706A08" w:rsidR="000313D0" w:rsidRDefault="00D10FF1">
      <w:r w:rsidRPr="00D10FF1">
        <w:t>“The imagery of the ‘windows of heaven</w:t>
      </w:r>
      <w:r>
        <w:t>’</w:t>
      </w:r>
      <w:r w:rsidRPr="00D10FF1">
        <w:t xml:space="preserve"> used by Malachi is most instructive. Windows allow natural light to enter into a building. In like manner, spiritual illumination and perspective are poured out through the windows of heaven and into our lives as we honor the law of tithing. … We may need and pray for help to find suitable employment. … The spiritual gift of enhanced discernment [can] empower us to identify job opportunities that many other people might overlook. … We may appropriately desire and work to receive a pay raise in our employment to better provide the necessities of life. … [Or in some cases] we might want and expect a larger paycheck, but the blessing that comes to us through heavenly windows may be greater capacity to act and change our own circumstances rather than expecting our circumstances to be changed by someone or something else</w:t>
      </w:r>
      <w:r>
        <w:t>.</w:t>
      </w:r>
      <w:r w:rsidRPr="00D10FF1">
        <w:t>”</w:t>
      </w:r>
      <w:r>
        <w:br/>
        <w:t xml:space="preserve">  ~  David A. Bednar, October 2013</w:t>
      </w:r>
    </w:p>
    <w:p w14:paraId="082EBBCD" w14:textId="77777777" w:rsidR="00E34F59" w:rsidRDefault="00E34F59"/>
    <w:p w14:paraId="666FE941" w14:textId="77777777" w:rsidR="00C61C39" w:rsidRDefault="00C61C39" w:rsidP="00C61C39">
      <w:r>
        <w:t>“</w:t>
      </w:r>
      <w:r w:rsidRPr="000313D0">
        <w:t>The knowledge which we seek, the answers for which we yearn, and the strength which we desire today to meet the challenges of a complex and changing world can be ours when we willingly obey the Lord’s commandments.</w:t>
      </w:r>
      <w:r>
        <w:t>”</w:t>
      </w:r>
      <w:r>
        <w:br/>
        <w:t xml:space="preserve">  ~  Thomas S. Monson, April 2013</w:t>
      </w:r>
    </w:p>
    <w:p w14:paraId="19D1D17C" w14:textId="42AD29F0" w:rsidR="001C76E8" w:rsidRDefault="001C76E8">
      <w:r w:rsidRPr="001C76E8">
        <w:t>“I bear witness of the miracles, both spiritual and temporal, that come to those who live the law of the fast. … Cherish that sacred privilege at least monthly, and be as generous as circumstances permit in your fast offering and other humanitarian, educational, and missionary contributions. I promise that God will be generous to you, and those who find relief at your hand will call your name blessed forever</w:t>
      </w:r>
      <w:r>
        <w:t>.</w:t>
      </w:r>
      <w:r w:rsidRPr="001C76E8">
        <w:t>”</w:t>
      </w:r>
      <w:r>
        <w:br/>
        <w:t xml:space="preserve">  ~  </w:t>
      </w:r>
      <w:r w:rsidRPr="001C76E8">
        <w:t>Jeffrey R. Holland</w:t>
      </w:r>
      <w:r>
        <w:t>, October 2014</w:t>
      </w:r>
    </w:p>
    <w:p w14:paraId="5DAD5499" w14:textId="438CC2B7" w:rsidR="00397DA5" w:rsidRDefault="008930D6">
      <w:r>
        <w:t>"</w:t>
      </w:r>
      <w:r w:rsidR="00397DA5" w:rsidRPr="00397DA5">
        <w:t>Self-reliance is a product of provident living and exercising economic self-discipline. From the beginning the Church has taught that families—to the extent they can—need to assume responsibility for their own temporal welfare. Each generation is required to learn anew the foundational principles of self-reliance: avoid debt, implement principles of thrift, prepare for times of distress, listen to and follow the words of the living oracles, develop the discipline to distinguish between needs and wants and then live accordingly.</w:t>
      </w:r>
      <w:r w:rsidR="003E1545">
        <w:br/>
        <w:t xml:space="preserve">  ~  Bishop H. David Burton, </w:t>
      </w:r>
      <w:r w:rsidR="00AC3D07">
        <w:t>2011</w:t>
      </w:r>
    </w:p>
    <w:p w14:paraId="7426909D" w14:textId="14FAFF81" w:rsidR="00A25F57" w:rsidRDefault="007747E6">
      <w:r>
        <w:t>“</w:t>
      </w:r>
      <w:r w:rsidR="00416019" w:rsidRPr="00416019">
        <w:t>But He also expects us to be wise enough to limit our financial obligations to a reasonable expectation of paying out. In our planning, why not write a priority system for our family to cover our particular financial circumstances and make sure that first things really do come first? We can avoid financial bondage if we follow such a plan. Let us wisely ask ourselves whether our desires—or our actual needs—determine what we buy. The Lord has given us a welfare program. It is inspired. It applies to all Church members. A most important part of that plan is that we ourselves—each one of us—shall learn to become self</w:t>
      </w:r>
      <w:r w:rsidR="00A25F57">
        <w:t>-</w:t>
      </w:r>
      <w:r w:rsidR="00416019" w:rsidRPr="00416019">
        <w:t>sustaining, that we accept the principle that we must look ahead, save a little, build up some reserves, live within our income, and make every effort to sustain ourselves in good times and bad.</w:t>
      </w:r>
      <w:r>
        <w:t>”</w:t>
      </w:r>
      <w:r w:rsidR="003607DC">
        <w:br/>
        <w:t xml:space="preserve">  ~  Mark E. Petersen, </w:t>
      </w:r>
      <w:r>
        <w:t>1981</w:t>
      </w:r>
    </w:p>
    <w:p w14:paraId="3481B204" w14:textId="5CEB13B0" w:rsidR="00B33774" w:rsidRDefault="00126DD5">
      <w:r>
        <w:t>“</w:t>
      </w:r>
      <w:r w:rsidR="000D6E4C" w:rsidRPr="000D6E4C">
        <w:t>All of us are responsible to provide for ourselves and our families in both temporal and spiritual ways. To provide providently, we must practice the principles of provident living: joyfully living within our means, being content with what we have, avoiding excessive debt, and diligently saving and preparing for rainy-day emergencies. When we live providently, we can provide for ourselves and our families and also follow the Savior’s example to serve and bless others.</w:t>
      </w:r>
      <w:r>
        <w:t>”</w:t>
      </w:r>
      <w:r w:rsidR="00CB7281">
        <w:br/>
      </w:r>
      <w:r>
        <w:t xml:space="preserve">  ~  Robert D. Hales, 2009</w:t>
      </w:r>
    </w:p>
    <w:sectPr w:rsidR="00B3377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A2EB5" w14:textId="77777777" w:rsidR="000076BD" w:rsidRDefault="000076BD" w:rsidP="000076BD">
      <w:pPr>
        <w:spacing w:after="0" w:line="240" w:lineRule="auto"/>
      </w:pPr>
      <w:r>
        <w:separator/>
      </w:r>
    </w:p>
  </w:endnote>
  <w:endnote w:type="continuationSeparator" w:id="0">
    <w:p w14:paraId="323213A2" w14:textId="77777777" w:rsidR="000076BD" w:rsidRDefault="000076BD" w:rsidP="00007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347010"/>
      <w:docPartObj>
        <w:docPartGallery w:val="Page Numbers (Bottom of Page)"/>
        <w:docPartUnique/>
      </w:docPartObj>
    </w:sdtPr>
    <w:sdtEndPr>
      <w:rPr>
        <w:color w:val="7F7F7F" w:themeColor="background1" w:themeShade="7F"/>
        <w:spacing w:val="60"/>
      </w:rPr>
    </w:sdtEndPr>
    <w:sdtContent>
      <w:p w14:paraId="3ED29253" w14:textId="6A0F57B0" w:rsidR="00D52883" w:rsidRDefault="00D5288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31231FC" w14:textId="77777777" w:rsidR="00D52883" w:rsidRDefault="00D528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4C8D8" w14:textId="77777777" w:rsidR="000076BD" w:rsidRDefault="000076BD" w:rsidP="000076BD">
      <w:pPr>
        <w:spacing w:after="0" w:line="240" w:lineRule="auto"/>
      </w:pPr>
      <w:r>
        <w:separator/>
      </w:r>
    </w:p>
  </w:footnote>
  <w:footnote w:type="continuationSeparator" w:id="0">
    <w:p w14:paraId="65FCFA60" w14:textId="77777777" w:rsidR="000076BD" w:rsidRDefault="000076BD" w:rsidP="000076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E12"/>
    <w:rsid w:val="000076BD"/>
    <w:rsid w:val="000313D0"/>
    <w:rsid w:val="000D6E4C"/>
    <w:rsid w:val="00126DD5"/>
    <w:rsid w:val="001C76E8"/>
    <w:rsid w:val="003607DC"/>
    <w:rsid w:val="00397DA5"/>
    <w:rsid w:val="003E1545"/>
    <w:rsid w:val="00416019"/>
    <w:rsid w:val="00435A4B"/>
    <w:rsid w:val="00555935"/>
    <w:rsid w:val="006122D2"/>
    <w:rsid w:val="00762E04"/>
    <w:rsid w:val="007747E6"/>
    <w:rsid w:val="008930D6"/>
    <w:rsid w:val="008E4582"/>
    <w:rsid w:val="00905E12"/>
    <w:rsid w:val="009A7609"/>
    <w:rsid w:val="00A25F57"/>
    <w:rsid w:val="00AA563C"/>
    <w:rsid w:val="00AC3D07"/>
    <w:rsid w:val="00B33774"/>
    <w:rsid w:val="00BD5E30"/>
    <w:rsid w:val="00C61C39"/>
    <w:rsid w:val="00CB7281"/>
    <w:rsid w:val="00D10FF1"/>
    <w:rsid w:val="00D52883"/>
    <w:rsid w:val="00D94DF3"/>
    <w:rsid w:val="00E34F59"/>
    <w:rsid w:val="00E57D5E"/>
    <w:rsid w:val="00E95834"/>
    <w:rsid w:val="00EE0213"/>
    <w:rsid w:val="00F44D01"/>
    <w:rsid w:val="00FD06DE"/>
    <w:rsid w:val="00FE0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20E34"/>
  <w15:chartTrackingRefBased/>
  <w15:docId w15:val="{39414375-21A9-4D1B-8FCA-E7504B944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5E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5E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5E1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5E1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5E1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5E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E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E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E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E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5E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5E1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5E1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5E1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5E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E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E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E12"/>
    <w:rPr>
      <w:rFonts w:eastAsiaTheme="majorEastAsia" w:cstheme="majorBidi"/>
      <w:color w:val="272727" w:themeColor="text1" w:themeTint="D8"/>
    </w:rPr>
  </w:style>
  <w:style w:type="paragraph" w:styleId="Title">
    <w:name w:val="Title"/>
    <w:basedOn w:val="Normal"/>
    <w:next w:val="Normal"/>
    <w:link w:val="TitleChar"/>
    <w:uiPriority w:val="10"/>
    <w:qFormat/>
    <w:rsid w:val="00905E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E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E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E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E12"/>
    <w:pPr>
      <w:spacing w:before="160"/>
      <w:jc w:val="center"/>
    </w:pPr>
    <w:rPr>
      <w:i/>
      <w:iCs/>
      <w:color w:val="404040" w:themeColor="text1" w:themeTint="BF"/>
    </w:rPr>
  </w:style>
  <w:style w:type="character" w:customStyle="1" w:styleId="QuoteChar">
    <w:name w:val="Quote Char"/>
    <w:basedOn w:val="DefaultParagraphFont"/>
    <w:link w:val="Quote"/>
    <w:uiPriority w:val="29"/>
    <w:rsid w:val="00905E12"/>
    <w:rPr>
      <w:i/>
      <w:iCs/>
      <w:color w:val="404040" w:themeColor="text1" w:themeTint="BF"/>
    </w:rPr>
  </w:style>
  <w:style w:type="paragraph" w:styleId="ListParagraph">
    <w:name w:val="List Paragraph"/>
    <w:basedOn w:val="Normal"/>
    <w:uiPriority w:val="34"/>
    <w:qFormat/>
    <w:rsid w:val="00905E12"/>
    <w:pPr>
      <w:ind w:left="720"/>
      <w:contextualSpacing/>
    </w:pPr>
  </w:style>
  <w:style w:type="character" w:styleId="IntenseEmphasis">
    <w:name w:val="Intense Emphasis"/>
    <w:basedOn w:val="DefaultParagraphFont"/>
    <w:uiPriority w:val="21"/>
    <w:qFormat/>
    <w:rsid w:val="00905E12"/>
    <w:rPr>
      <w:i/>
      <w:iCs/>
      <w:color w:val="2F5496" w:themeColor="accent1" w:themeShade="BF"/>
    </w:rPr>
  </w:style>
  <w:style w:type="paragraph" w:styleId="IntenseQuote">
    <w:name w:val="Intense Quote"/>
    <w:basedOn w:val="Normal"/>
    <w:next w:val="Normal"/>
    <w:link w:val="IntenseQuoteChar"/>
    <w:uiPriority w:val="30"/>
    <w:qFormat/>
    <w:rsid w:val="00905E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5E12"/>
    <w:rPr>
      <w:i/>
      <w:iCs/>
      <w:color w:val="2F5496" w:themeColor="accent1" w:themeShade="BF"/>
    </w:rPr>
  </w:style>
  <w:style w:type="character" w:styleId="IntenseReference">
    <w:name w:val="Intense Reference"/>
    <w:basedOn w:val="DefaultParagraphFont"/>
    <w:uiPriority w:val="32"/>
    <w:qFormat/>
    <w:rsid w:val="00905E12"/>
    <w:rPr>
      <w:b/>
      <w:bCs/>
      <w:smallCaps/>
      <w:color w:val="2F5496" w:themeColor="accent1" w:themeShade="BF"/>
      <w:spacing w:val="5"/>
    </w:rPr>
  </w:style>
  <w:style w:type="character" w:styleId="Hyperlink">
    <w:name w:val="Hyperlink"/>
    <w:basedOn w:val="DefaultParagraphFont"/>
    <w:uiPriority w:val="99"/>
    <w:unhideWhenUsed/>
    <w:rsid w:val="00E57D5E"/>
    <w:rPr>
      <w:color w:val="0563C1" w:themeColor="hyperlink"/>
      <w:u w:val="single"/>
    </w:rPr>
  </w:style>
  <w:style w:type="character" w:styleId="UnresolvedMention">
    <w:name w:val="Unresolved Mention"/>
    <w:basedOn w:val="DefaultParagraphFont"/>
    <w:uiPriority w:val="99"/>
    <w:semiHidden/>
    <w:unhideWhenUsed/>
    <w:rsid w:val="00E57D5E"/>
    <w:rPr>
      <w:color w:val="605E5C"/>
      <w:shd w:val="clear" w:color="auto" w:fill="E1DFDD"/>
    </w:rPr>
  </w:style>
  <w:style w:type="paragraph" w:styleId="Header">
    <w:name w:val="header"/>
    <w:basedOn w:val="Normal"/>
    <w:link w:val="HeaderChar"/>
    <w:uiPriority w:val="99"/>
    <w:unhideWhenUsed/>
    <w:rsid w:val="000076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6BD"/>
  </w:style>
  <w:style w:type="paragraph" w:styleId="Footer">
    <w:name w:val="footer"/>
    <w:basedOn w:val="Normal"/>
    <w:link w:val="FooterChar"/>
    <w:uiPriority w:val="99"/>
    <w:unhideWhenUsed/>
    <w:rsid w:val="000076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hurchofjesuschrist.org/study/scriptures/dc-testament/dc/104?lang=eng&amp;id=p14-p15"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5412</TotalTime>
  <Pages>2</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May</dc:creator>
  <cp:keywords/>
  <dc:description/>
  <cp:lastModifiedBy>Laurel May</cp:lastModifiedBy>
  <cp:revision>19</cp:revision>
  <dcterms:created xsi:type="dcterms:W3CDTF">2026-09-11T00:08:00Z</dcterms:created>
  <dcterms:modified xsi:type="dcterms:W3CDTF">2026-09-14T19:58:00Z</dcterms:modified>
</cp:coreProperties>
</file>