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F9" w:rsidRDefault="003544E9" w:rsidP="005B27F9">
      <w:pPr>
        <w:shd w:val="clear" w:color="auto" w:fill="FFFFFF"/>
        <w:spacing w:before="360" w:after="360" w:line="360" w:lineRule="atLeast"/>
        <w:outlineLvl w:val="0"/>
        <w:rPr>
          <w:rFonts w:ascii="Arial" w:eastAsia="Times New Roman" w:hAnsi="Arial" w:cs="Arial"/>
          <w:b/>
          <w:bCs/>
          <w:kern w:val="36"/>
          <w:sz w:val="33"/>
          <w:szCs w:val="33"/>
        </w:rPr>
      </w:pPr>
      <w:r>
        <w:rPr>
          <w:rFonts w:ascii="Arial" w:eastAsia="Times New Roman" w:hAnsi="Arial" w:cs="Arial"/>
          <w:b/>
          <w:bCs/>
          <w:kern w:val="36"/>
          <w:sz w:val="33"/>
          <w:szCs w:val="33"/>
        </w:rPr>
        <w:t>“</w:t>
      </w:r>
      <w:r w:rsidR="005B27F9" w:rsidRPr="003544E9">
        <w:rPr>
          <w:rFonts w:ascii="Arial" w:eastAsia="Times New Roman" w:hAnsi="Arial" w:cs="Arial"/>
          <w:b/>
          <w:bCs/>
          <w:kern w:val="36"/>
          <w:sz w:val="33"/>
          <w:szCs w:val="33"/>
        </w:rPr>
        <w:t>2022</w:t>
      </w:r>
      <w:r>
        <w:rPr>
          <w:rFonts w:ascii="Arial" w:eastAsia="Times New Roman" w:hAnsi="Arial" w:cs="Arial"/>
          <w:b/>
          <w:bCs/>
          <w:kern w:val="36"/>
          <w:sz w:val="33"/>
          <w:szCs w:val="33"/>
        </w:rPr>
        <w:t>”</w:t>
      </w:r>
      <w:r w:rsidR="005B27F9" w:rsidRPr="003544E9">
        <w:rPr>
          <w:rFonts w:ascii="Arial" w:eastAsia="Times New Roman" w:hAnsi="Arial" w:cs="Arial"/>
          <w:b/>
          <w:bCs/>
          <w:kern w:val="36"/>
          <w:sz w:val="33"/>
          <w:szCs w:val="33"/>
        </w:rPr>
        <w:t xml:space="preserve"> Medicare Part D Rx Plan and Clarification</w:t>
      </w:r>
    </w:p>
    <w:p w:rsidR="003544E9" w:rsidRPr="003544E9" w:rsidRDefault="00D47804" w:rsidP="005B27F9">
      <w:pPr>
        <w:shd w:val="clear" w:color="auto" w:fill="FFFFFF"/>
        <w:spacing w:before="360" w:after="360" w:line="360" w:lineRule="atLeast"/>
        <w:outlineLvl w:val="0"/>
        <w:rPr>
          <w:rFonts w:ascii="Arial" w:eastAsia="Times New Roman" w:hAnsi="Arial" w:cs="Arial"/>
          <w:b/>
          <w:bCs/>
          <w:kern w:val="36"/>
          <w:sz w:val="33"/>
          <w:szCs w:val="33"/>
        </w:rPr>
      </w:pPr>
      <w:r>
        <w:rPr>
          <w:rFonts w:ascii="Arial" w:eastAsia="Times New Roman" w:hAnsi="Arial" w:cs="Arial"/>
          <w:b/>
          <w:bCs/>
          <w:kern w:val="36"/>
          <w:sz w:val="33"/>
          <w:szCs w:val="33"/>
        </w:rPr>
        <w:t>By Rick Solofsky</w:t>
      </w:r>
    </w:p>
    <w:p w:rsidR="005B27F9" w:rsidRPr="003544E9" w:rsidRDefault="005B27F9" w:rsidP="005B27F9">
      <w:pPr>
        <w:shd w:val="clear" w:color="auto" w:fill="FFFFFF"/>
        <w:spacing w:before="360" w:after="360" w:line="360" w:lineRule="atLeast"/>
        <w:outlineLvl w:val="0"/>
        <w:rPr>
          <w:rFonts w:ascii="Arial" w:eastAsia="Times New Roman" w:hAnsi="Arial" w:cs="Arial"/>
          <w:b/>
          <w:bCs/>
          <w:kern w:val="36"/>
          <w:sz w:val="33"/>
          <w:szCs w:val="33"/>
        </w:rPr>
      </w:pPr>
      <w:r w:rsidRPr="005B27F9">
        <w:rPr>
          <w:rFonts w:ascii="Arial" w:eastAsia="Times New Roman" w:hAnsi="Arial" w:cs="Arial"/>
          <w:b/>
          <w:bCs/>
          <w:kern w:val="36"/>
          <w:sz w:val="33"/>
          <w:szCs w:val="33"/>
        </w:rPr>
        <w:t xml:space="preserve">The Four Coverage Stages </w:t>
      </w:r>
      <w:r w:rsidRPr="003544E9">
        <w:rPr>
          <w:rFonts w:ascii="Arial" w:eastAsia="Times New Roman" w:hAnsi="Arial" w:cs="Arial"/>
          <w:b/>
          <w:bCs/>
          <w:kern w:val="36"/>
          <w:sz w:val="33"/>
          <w:szCs w:val="33"/>
        </w:rPr>
        <w:t xml:space="preserve">or Phases </w:t>
      </w:r>
      <w:r w:rsidRPr="005B27F9">
        <w:rPr>
          <w:rFonts w:ascii="Arial" w:eastAsia="Times New Roman" w:hAnsi="Arial" w:cs="Arial"/>
          <w:b/>
          <w:bCs/>
          <w:kern w:val="36"/>
          <w:sz w:val="33"/>
          <w:szCs w:val="33"/>
        </w:rPr>
        <w:t>of Medicare's Part D Program</w:t>
      </w:r>
    </w:p>
    <w:p w:rsidR="005B27F9" w:rsidRPr="005B27F9" w:rsidRDefault="005B27F9" w:rsidP="005B27F9">
      <w:pPr>
        <w:shd w:val="clear" w:color="auto" w:fill="FFFFFF"/>
        <w:spacing w:before="360" w:after="360" w:line="360" w:lineRule="atLeast"/>
        <w:outlineLvl w:val="0"/>
        <w:rPr>
          <w:rFonts w:ascii="Arial" w:eastAsia="Times New Roman" w:hAnsi="Arial" w:cs="Arial"/>
          <w:b/>
          <w:bCs/>
          <w:color w:val="275A89"/>
          <w:kern w:val="36"/>
          <w:sz w:val="33"/>
          <w:szCs w:val="33"/>
        </w:rPr>
      </w:pPr>
    </w:p>
    <w:p w:rsidR="005B27F9" w:rsidRDefault="005B27F9" w:rsidP="005B27F9">
      <w:pPr>
        <w:shd w:val="clear" w:color="auto" w:fill="FFFFFF"/>
        <w:spacing w:after="0" w:line="270" w:lineRule="atLeast"/>
        <w:rPr>
          <w:rFonts w:ascii="Helvetica" w:eastAsia="Times New Roman" w:hAnsi="Helvetica" w:cs="Helvetica"/>
          <w:b/>
          <w:color w:val="333333"/>
          <w:sz w:val="28"/>
          <w:szCs w:val="28"/>
        </w:rPr>
      </w:pPr>
      <w:r w:rsidRPr="005B27F9">
        <w:rPr>
          <w:rFonts w:ascii="Helvetica" w:eastAsia="Times New Roman" w:hAnsi="Helvetica" w:cs="Helvetica"/>
          <w:b/>
          <w:color w:val="333333"/>
          <w:sz w:val="28"/>
          <w:szCs w:val="28"/>
        </w:rPr>
        <w:t xml:space="preserve">Throughout the year, your prescription drug plan costs may change depending on the coverage stage you are in. If you have a Part D plan, you move through the CMS </w:t>
      </w:r>
      <w:r>
        <w:rPr>
          <w:rFonts w:ascii="Helvetica" w:eastAsia="Times New Roman" w:hAnsi="Helvetica" w:cs="Helvetica"/>
          <w:b/>
          <w:color w:val="333333"/>
          <w:sz w:val="28"/>
          <w:szCs w:val="28"/>
        </w:rPr>
        <w:t>coverage stages in this order: Deductible (if applicable), Initial coverage, C</w:t>
      </w:r>
      <w:r w:rsidRPr="005B27F9">
        <w:rPr>
          <w:rFonts w:ascii="Helvetica" w:eastAsia="Times New Roman" w:hAnsi="Helvetica" w:cs="Helvetica"/>
          <w:b/>
          <w:color w:val="333333"/>
          <w:sz w:val="28"/>
          <w:szCs w:val="28"/>
        </w:rPr>
        <w:t>overage gap, and</w:t>
      </w:r>
      <w:r>
        <w:rPr>
          <w:rFonts w:ascii="Helvetica" w:eastAsia="Times New Roman" w:hAnsi="Helvetica" w:cs="Helvetica"/>
          <w:b/>
          <w:color w:val="333333"/>
          <w:sz w:val="28"/>
          <w:szCs w:val="28"/>
        </w:rPr>
        <w:t xml:space="preserve"> C</w:t>
      </w:r>
      <w:r w:rsidRPr="005B27F9">
        <w:rPr>
          <w:rFonts w:ascii="Helvetica" w:eastAsia="Times New Roman" w:hAnsi="Helvetica" w:cs="Helvetica"/>
          <w:b/>
          <w:color w:val="333333"/>
          <w:sz w:val="28"/>
          <w:szCs w:val="28"/>
        </w:rPr>
        <w:t>atastrophic coverage.</w:t>
      </w:r>
    </w:p>
    <w:p w:rsidR="003544E9" w:rsidRPr="005B27F9" w:rsidRDefault="003544E9" w:rsidP="005B27F9">
      <w:pPr>
        <w:shd w:val="clear" w:color="auto" w:fill="FFFFFF"/>
        <w:spacing w:after="0" w:line="270" w:lineRule="atLeast"/>
        <w:rPr>
          <w:rFonts w:ascii="Helvetica" w:eastAsia="Times New Roman" w:hAnsi="Helvetica" w:cs="Helvetica"/>
          <w:b/>
          <w:color w:val="333333"/>
          <w:sz w:val="28"/>
          <w:szCs w:val="28"/>
        </w:rPr>
      </w:pPr>
    </w:p>
    <w:p w:rsidR="005B27F9" w:rsidRPr="005B27F9" w:rsidRDefault="005B27F9" w:rsidP="005B27F9">
      <w:pPr>
        <w:shd w:val="clear" w:color="auto" w:fill="FFFFFF"/>
        <w:spacing w:after="0" w:line="270" w:lineRule="atLeast"/>
        <w:rPr>
          <w:rFonts w:ascii="Helvetica" w:eastAsia="Times New Roman" w:hAnsi="Helvetica" w:cs="Helvetica"/>
          <w:color w:val="333333"/>
          <w:sz w:val="21"/>
          <w:szCs w:val="21"/>
        </w:rPr>
      </w:pPr>
    </w:p>
    <w:p w:rsidR="005B27F9" w:rsidRPr="003544E9" w:rsidRDefault="003544E9" w:rsidP="005B27F9">
      <w:pPr>
        <w:shd w:val="clear" w:color="auto" w:fill="EFF7FB"/>
        <w:spacing w:before="180" w:after="180" w:line="330" w:lineRule="atLeast"/>
        <w:outlineLvl w:val="1"/>
        <w:rPr>
          <w:rFonts w:ascii="Helvetica" w:eastAsia="Times New Roman" w:hAnsi="Helvetica" w:cs="Helvetica"/>
          <w:b/>
          <w:color w:val="FF0000"/>
          <w:sz w:val="24"/>
          <w:szCs w:val="24"/>
        </w:rPr>
      </w:pPr>
      <w:r w:rsidRPr="003544E9">
        <w:rPr>
          <w:rFonts w:ascii="Helvetica" w:eastAsia="Times New Roman" w:hAnsi="Helvetica" w:cs="Helvetica"/>
          <w:b/>
          <w:color w:val="FF0000"/>
          <w:sz w:val="24"/>
          <w:szCs w:val="24"/>
          <w:highlight w:val="yellow"/>
        </w:rPr>
        <w:t xml:space="preserve">Everybody’s Slate Starts clean every </w:t>
      </w:r>
      <w:r>
        <w:rPr>
          <w:rFonts w:ascii="Helvetica" w:eastAsia="Times New Roman" w:hAnsi="Helvetica" w:cs="Helvetica"/>
          <w:b/>
          <w:color w:val="FF0000"/>
          <w:sz w:val="24"/>
          <w:szCs w:val="24"/>
          <w:highlight w:val="yellow"/>
        </w:rPr>
        <w:t>“</w:t>
      </w:r>
      <w:r w:rsidRPr="003544E9">
        <w:rPr>
          <w:rFonts w:ascii="Helvetica" w:eastAsia="Times New Roman" w:hAnsi="Helvetica" w:cs="Helvetica"/>
          <w:b/>
          <w:color w:val="FF0000"/>
          <w:sz w:val="24"/>
          <w:szCs w:val="24"/>
          <w:highlight w:val="yellow"/>
        </w:rPr>
        <w:t xml:space="preserve">January </w:t>
      </w:r>
      <w:bookmarkStart w:id="0" w:name="_GoBack"/>
      <w:bookmarkEnd w:id="0"/>
      <w:r w:rsidRPr="002E0E42">
        <w:rPr>
          <w:rFonts w:ascii="Helvetica" w:eastAsia="Times New Roman" w:hAnsi="Helvetica" w:cs="Helvetica"/>
          <w:b/>
          <w:color w:val="FF0000"/>
          <w:sz w:val="24"/>
          <w:szCs w:val="24"/>
          <w:highlight w:val="yellow"/>
        </w:rPr>
        <w:t>1”</w:t>
      </w:r>
    </w:p>
    <w:p w:rsidR="003544E9" w:rsidRDefault="003544E9" w:rsidP="005B27F9">
      <w:pPr>
        <w:shd w:val="clear" w:color="auto" w:fill="EFF7FB"/>
        <w:spacing w:before="180" w:after="180" w:line="330" w:lineRule="atLeast"/>
        <w:outlineLvl w:val="1"/>
        <w:rPr>
          <w:rFonts w:ascii="Helvetica" w:eastAsia="Times New Roman" w:hAnsi="Helvetica" w:cs="Helvetica"/>
          <w:color w:val="333333"/>
          <w:sz w:val="21"/>
          <w:szCs w:val="21"/>
        </w:rPr>
      </w:pPr>
    </w:p>
    <w:p w:rsidR="005B27F9" w:rsidRDefault="005B27F9" w:rsidP="005B27F9">
      <w:pPr>
        <w:shd w:val="clear" w:color="auto" w:fill="EFF7FB"/>
        <w:spacing w:before="180" w:after="180" w:line="330" w:lineRule="atLeast"/>
        <w:outlineLvl w:val="1"/>
        <w:rPr>
          <w:rFonts w:ascii="Arial" w:hAnsi="Arial" w:cs="Arial"/>
          <w:color w:val="202124"/>
          <w:shd w:val="clear" w:color="auto" w:fill="FFFFFF"/>
        </w:rPr>
      </w:pPr>
      <w:r>
        <w:rPr>
          <w:rFonts w:ascii="Arial" w:hAnsi="Arial" w:cs="Arial"/>
          <w:color w:val="202124"/>
          <w:shd w:val="clear" w:color="auto" w:fill="FFFFFF"/>
        </w:rPr>
        <w:t>If you have a Part D plan, you move through the CMS coverage stages in this order: </w:t>
      </w:r>
    </w:p>
    <w:p w:rsidR="005B27F9" w:rsidRPr="003544E9" w:rsidRDefault="005B27F9" w:rsidP="005B27F9">
      <w:pPr>
        <w:shd w:val="clear" w:color="auto" w:fill="EFF7FB"/>
        <w:spacing w:before="180" w:after="180" w:line="330" w:lineRule="atLeast"/>
        <w:outlineLvl w:val="1"/>
        <w:rPr>
          <w:rFonts w:ascii="Helvetica" w:eastAsia="Times New Roman" w:hAnsi="Helvetica" w:cs="Helvetica"/>
          <w:b/>
          <w:color w:val="FF0000"/>
          <w:sz w:val="21"/>
          <w:szCs w:val="21"/>
        </w:rPr>
      </w:pPr>
      <w:r w:rsidRPr="003544E9">
        <w:rPr>
          <w:rFonts w:ascii="Arial" w:hAnsi="Arial" w:cs="Arial"/>
          <w:b/>
          <w:color w:val="FF0000"/>
          <w:highlight w:val="yellow"/>
          <w:shd w:val="clear" w:color="auto" w:fill="FFFFFF"/>
        </w:rPr>
        <w:t>Stage 1 “</w:t>
      </w:r>
      <w:r w:rsidRPr="003544E9">
        <w:rPr>
          <w:rFonts w:ascii="Arial" w:hAnsi="Arial" w:cs="Arial"/>
          <w:b/>
          <w:bCs/>
          <w:color w:val="FF0000"/>
          <w:highlight w:val="yellow"/>
          <w:shd w:val="clear" w:color="auto" w:fill="FFFFFF"/>
        </w:rPr>
        <w:t>Deductible Phase” (if applicable), Stage 2 “Initial Coverage,” Stage 3 “Doughnut Hole/Coverage Gap,” Stage 4 “Catastrophic coverage</w:t>
      </w:r>
      <w:r w:rsidRPr="003544E9">
        <w:rPr>
          <w:rFonts w:ascii="Arial" w:hAnsi="Arial" w:cs="Arial"/>
          <w:b/>
          <w:color w:val="FF0000"/>
          <w:highlight w:val="yellow"/>
          <w:shd w:val="clear" w:color="auto" w:fill="FFFFFF"/>
        </w:rPr>
        <w:t>.”</w:t>
      </w:r>
    </w:p>
    <w:p w:rsidR="005B27F9" w:rsidRDefault="005B27F9" w:rsidP="005B27F9">
      <w:pPr>
        <w:shd w:val="clear" w:color="auto" w:fill="EFF7FB"/>
        <w:spacing w:before="180" w:after="180" w:line="330" w:lineRule="atLeast"/>
        <w:outlineLvl w:val="1"/>
        <w:rPr>
          <w:rFonts w:ascii="Arial" w:hAnsi="Arial" w:cs="Arial"/>
          <w:color w:val="202124"/>
          <w:shd w:val="clear" w:color="auto" w:fill="FFFFFF"/>
        </w:rPr>
      </w:pPr>
    </w:p>
    <w:p w:rsidR="005B27F9" w:rsidRPr="005B27F9" w:rsidRDefault="005B27F9" w:rsidP="005B27F9">
      <w:pPr>
        <w:shd w:val="clear" w:color="auto" w:fill="EFF7FB"/>
        <w:spacing w:before="180" w:after="180" w:line="330" w:lineRule="atLeast"/>
        <w:outlineLvl w:val="1"/>
        <w:rPr>
          <w:rFonts w:ascii="Arial" w:eastAsia="Times New Roman" w:hAnsi="Arial" w:cs="Arial"/>
          <w:b/>
          <w:bCs/>
          <w:color w:val="FF0000"/>
          <w:sz w:val="27"/>
          <w:szCs w:val="27"/>
        </w:rPr>
      </w:pPr>
      <w:r w:rsidRPr="005B27F9">
        <w:rPr>
          <w:rFonts w:ascii="Arial" w:eastAsia="Times New Roman" w:hAnsi="Arial" w:cs="Arial"/>
          <w:b/>
          <w:bCs/>
          <w:color w:val="FF0000"/>
          <w:sz w:val="27"/>
          <w:szCs w:val="27"/>
          <w:highlight w:val="yellow"/>
        </w:rPr>
        <w:t>Annual Deductible</w:t>
      </w:r>
      <w:r w:rsidR="003544E9">
        <w:rPr>
          <w:rFonts w:ascii="Arial" w:eastAsia="Times New Roman" w:hAnsi="Arial" w:cs="Arial"/>
          <w:b/>
          <w:bCs/>
          <w:color w:val="FF0000"/>
          <w:sz w:val="27"/>
          <w:szCs w:val="27"/>
        </w:rPr>
        <w:t xml:space="preserve"> </w:t>
      </w:r>
      <w:r w:rsidR="003544E9" w:rsidRPr="003544E9">
        <w:rPr>
          <w:rFonts w:ascii="Arial" w:eastAsia="Times New Roman" w:hAnsi="Arial" w:cs="Arial"/>
          <w:b/>
          <w:bCs/>
          <w:color w:val="FF0000"/>
          <w:sz w:val="27"/>
          <w:szCs w:val="27"/>
          <w:highlight w:val="yellow"/>
        </w:rPr>
        <w:t>(</w:t>
      </w:r>
      <w:r w:rsidR="003544E9">
        <w:rPr>
          <w:rFonts w:ascii="Arial" w:eastAsia="Times New Roman" w:hAnsi="Arial" w:cs="Arial"/>
          <w:b/>
          <w:bCs/>
          <w:color w:val="FF0000"/>
          <w:sz w:val="27"/>
          <w:szCs w:val="27"/>
          <w:highlight w:val="yellow"/>
        </w:rPr>
        <w:t xml:space="preserve">Phase </w:t>
      </w:r>
      <w:r w:rsidR="003544E9" w:rsidRPr="003544E9">
        <w:rPr>
          <w:rFonts w:ascii="Arial" w:eastAsia="Times New Roman" w:hAnsi="Arial" w:cs="Arial"/>
          <w:b/>
          <w:bCs/>
          <w:color w:val="FF0000"/>
          <w:sz w:val="27"/>
          <w:szCs w:val="27"/>
          <w:highlight w:val="yellow"/>
        </w:rPr>
        <w:t>I)</w:t>
      </w:r>
    </w:p>
    <w:p w:rsidR="005B27F9" w:rsidRPr="005B27F9" w:rsidRDefault="003544E9" w:rsidP="005B27F9">
      <w:pPr>
        <w:shd w:val="clear" w:color="auto" w:fill="EFF7FB"/>
        <w:spacing w:before="100" w:beforeAutospacing="1" w:after="0" w:line="27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Begins </w:t>
      </w:r>
      <w:r w:rsidR="005B27F9" w:rsidRPr="005B27F9">
        <w:rPr>
          <w:rFonts w:ascii="Helvetica" w:eastAsia="Times New Roman" w:hAnsi="Helvetica" w:cs="Helvetica"/>
          <w:b/>
          <w:bCs/>
          <w:color w:val="333333"/>
          <w:sz w:val="21"/>
          <w:szCs w:val="21"/>
        </w:rPr>
        <w:t>with your first prescription of the plan year.</w:t>
      </w:r>
    </w:p>
    <w:p w:rsidR="005B27F9" w:rsidRPr="005B27F9" w:rsidRDefault="005B27F9" w:rsidP="005B27F9">
      <w:pPr>
        <w:shd w:val="clear" w:color="auto" w:fill="EFF7FB"/>
        <w:spacing w:before="100" w:beforeAutospacing="1" w:after="0" w:line="270" w:lineRule="atLeast"/>
        <w:rPr>
          <w:rFonts w:ascii="Helvetica" w:eastAsia="Times New Roman" w:hAnsi="Helvetica" w:cs="Helvetica"/>
          <w:color w:val="333333"/>
          <w:sz w:val="21"/>
          <w:szCs w:val="21"/>
        </w:rPr>
      </w:pPr>
      <w:r w:rsidRPr="005B27F9">
        <w:rPr>
          <w:rFonts w:ascii="Helvetica" w:eastAsia="Times New Roman" w:hAnsi="Helvetica" w:cs="Helvetica"/>
          <w:color w:val="333333"/>
          <w:sz w:val="21"/>
          <w:szCs w:val="21"/>
        </w:rPr>
        <w:t xml:space="preserve">You pay the full cost of your prescriptions until your spending </w:t>
      </w:r>
      <w:proofErr w:type="gramStart"/>
      <w:r w:rsidRPr="005B27F9">
        <w:rPr>
          <w:rFonts w:ascii="Helvetica" w:eastAsia="Times New Roman" w:hAnsi="Helvetica" w:cs="Helvetica"/>
          <w:color w:val="333333"/>
          <w:sz w:val="21"/>
          <w:szCs w:val="21"/>
        </w:rPr>
        <w:t>adds</w:t>
      </w:r>
      <w:proofErr w:type="gramEnd"/>
      <w:r w:rsidRPr="005B27F9">
        <w:rPr>
          <w:rFonts w:ascii="Helvetica" w:eastAsia="Times New Roman" w:hAnsi="Helvetica" w:cs="Helvetica"/>
          <w:color w:val="333333"/>
          <w:sz w:val="21"/>
          <w:szCs w:val="21"/>
        </w:rPr>
        <w:t xml:space="preserve"> up to the amount of your deductible. So, if your plan has a $0 deductible, you skip straight to the next stage. Keep in mind that some deductibles may only apply to drugs on specific tiers, which means you may not have any deductible if you do not take any medications on those tiers. Any payments for your monthly premium or for medications on tiers that do not apply to the deductible are not counted toward reaching the deductible.</w:t>
      </w:r>
    </w:p>
    <w:p w:rsidR="00C3585D" w:rsidRDefault="00C3585D"/>
    <w:p w:rsidR="005B27F9" w:rsidRDefault="005B27F9"/>
    <w:p w:rsidR="005B27F9" w:rsidRDefault="005B27F9"/>
    <w:p w:rsidR="005B27F9" w:rsidRDefault="005B27F9"/>
    <w:p w:rsidR="005B27F9" w:rsidRDefault="005B27F9"/>
    <w:p w:rsidR="005B27F9" w:rsidRDefault="005B27F9"/>
    <w:p w:rsidR="005B27F9" w:rsidRPr="003544E9" w:rsidRDefault="005B27F9" w:rsidP="005B27F9">
      <w:pPr>
        <w:pStyle w:val="Heading2"/>
        <w:shd w:val="clear" w:color="auto" w:fill="EFF7FB"/>
        <w:spacing w:before="180" w:beforeAutospacing="0" w:after="180" w:afterAutospacing="0" w:line="330" w:lineRule="atLeast"/>
        <w:rPr>
          <w:rFonts w:ascii="Arial" w:hAnsi="Arial" w:cs="Arial"/>
          <w:color w:val="FF0000"/>
          <w:sz w:val="27"/>
          <w:szCs w:val="27"/>
        </w:rPr>
      </w:pPr>
      <w:r w:rsidRPr="003544E9">
        <w:rPr>
          <w:rFonts w:ascii="Arial" w:hAnsi="Arial" w:cs="Arial"/>
          <w:color w:val="FF0000"/>
          <w:sz w:val="27"/>
          <w:szCs w:val="27"/>
          <w:highlight w:val="yellow"/>
        </w:rPr>
        <w:t>Initial Coverage</w:t>
      </w:r>
      <w:r w:rsidR="003544E9" w:rsidRPr="003544E9">
        <w:rPr>
          <w:rFonts w:ascii="Arial" w:hAnsi="Arial" w:cs="Arial"/>
          <w:color w:val="FF0000"/>
          <w:sz w:val="27"/>
          <w:szCs w:val="27"/>
          <w:highlight w:val="yellow"/>
        </w:rPr>
        <w:t xml:space="preserve"> Period (Phase II)</w:t>
      </w:r>
    </w:p>
    <w:p w:rsidR="005B27F9" w:rsidRDefault="005B27F9" w:rsidP="005B27F9">
      <w:pPr>
        <w:pStyle w:val="mt-10"/>
        <w:shd w:val="clear" w:color="auto" w:fill="EFF7FB"/>
        <w:spacing w:after="0" w:afterAutospacing="0" w:line="270" w:lineRule="atLeast"/>
        <w:rPr>
          <w:rStyle w:val="Strong"/>
          <w:rFonts w:ascii="Helvetica" w:hAnsi="Helvetica" w:cs="Helvetica"/>
          <w:color w:val="333333"/>
          <w:sz w:val="21"/>
          <w:szCs w:val="21"/>
        </w:rPr>
      </w:pPr>
      <w:r>
        <w:rPr>
          <w:rStyle w:val="Strong"/>
          <w:rFonts w:ascii="Helvetica" w:hAnsi="Helvetica" w:cs="Helvetica"/>
          <w:color w:val="333333"/>
          <w:sz w:val="21"/>
          <w:szCs w:val="21"/>
        </w:rPr>
        <w:t>Begins immediately if your plan has no deductible. Or, when the prescription payments you have made equal your plan's deductible.</w:t>
      </w:r>
    </w:p>
    <w:p w:rsidR="005B27F9" w:rsidRDefault="005B27F9" w:rsidP="005B27F9">
      <w:pPr>
        <w:pStyle w:val="mt-10"/>
        <w:shd w:val="clear" w:color="auto" w:fill="EFF7FB"/>
        <w:spacing w:after="0" w:afterAutospacing="0" w:line="270" w:lineRule="atLeast"/>
        <w:rPr>
          <w:rStyle w:val="Strong"/>
          <w:rFonts w:ascii="Helvetica" w:hAnsi="Helvetica" w:cs="Helvetica"/>
          <w:color w:val="333333"/>
          <w:sz w:val="21"/>
          <w:szCs w:val="21"/>
        </w:rPr>
      </w:pPr>
    </w:p>
    <w:p w:rsidR="005B27F9" w:rsidRPr="005B27F9" w:rsidRDefault="005B27F9" w:rsidP="005B27F9">
      <w:pPr>
        <w:shd w:val="clear" w:color="auto" w:fill="EFF7FB"/>
        <w:spacing w:before="180" w:after="180" w:line="330" w:lineRule="atLeast"/>
        <w:outlineLvl w:val="1"/>
        <w:rPr>
          <w:rFonts w:ascii="Arial" w:hAnsi="Arial" w:cs="Arial"/>
          <w:b/>
          <w:color w:val="202124"/>
          <w:shd w:val="clear" w:color="auto" w:fill="FFFFFF"/>
        </w:rPr>
      </w:pPr>
      <w:r w:rsidRPr="005B27F9">
        <w:rPr>
          <w:rFonts w:ascii="Arial" w:hAnsi="Arial" w:cs="Arial"/>
          <w:b/>
          <w:color w:val="202124"/>
          <w:shd w:val="clear" w:color="auto" w:fill="FFFFFF"/>
        </w:rPr>
        <w:t>The Initial Coverage Limit (ICL) will go up from $4,130 in 2021 to </w:t>
      </w:r>
      <w:r w:rsidRPr="003544E9">
        <w:rPr>
          <w:rFonts w:ascii="Arial" w:hAnsi="Arial" w:cs="Arial"/>
          <w:b/>
          <w:bCs/>
          <w:color w:val="FF0000"/>
          <w:highlight w:val="yellow"/>
          <w:shd w:val="clear" w:color="auto" w:fill="FFFFFF"/>
        </w:rPr>
        <w:t>$4,430</w:t>
      </w:r>
      <w:r w:rsidRPr="003544E9">
        <w:rPr>
          <w:rFonts w:ascii="Arial" w:hAnsi="Arial" w:cs="Arial"/>
          <w:b/>
          <w:color w:val="FF0000"/>
          <w:highlight w:val="yellow"/>
          <w:shd w:val="clear" w:color="auto" w:fill="FFFFFF"/>
        </w:rPr>
        <w:t> in 2022.</w:t>
      </w:r>
      <w:r w:rsidRPr="003544E9">
        <w:rPr>
          <w:rFonts w:ascii="Arial" w:hAnsi="Arial" w:cs="Arial"/>
          <w:b/>
          <w:color w:val="FF0000"/>
          <w:shd w:val="clear" w:color="auto" w:fill="FFFFFF"/>
        </w:rPr>
        <w:t xml:space="preserve"> </w:t>
      </w:r>
      <w:r w:rsidRPr="005B27F9">
        <w:rPr>
          <w:rFonts w:ascii="Arial" w:hAnsi="Arial" w:cs="Arial"/>
          <w:b/>
          <w:color w:val="202124"/>
          <w:shd w:val="clear" w:color="auto" w:fill="FFFFFF"/>
        </w:rPr>
        <w:t>This means you can purchase prescriptions worth up to $4,430 before entering what's known as the Medicare Part D Donut Hole, which has historically been a gap in coverage.</w:t>
      </w:r>
    </w:p>
    <w:p w:rsidR="005B27F9" w:rsidRPr="005B27F9" w:rsidRDefault="005B27F9" w:rsidP="005B27F9">
      <w:pPr>
        <w:pStyle w:val="mt-10"/>
        <w:shd w:val="clear" w:color="auto" w:fill="EFF7FB"/>
        <w:spacing w:after="0" w:afterAutospacing="0" w:line="270" w:lineRule="atLeast"/>
        <w:rPr>
          <w:rFonts w:ascii="Helvetica" w:hAnsi="Helvetica" w:cs="Helvetica"/>
          <w:b/>
          <w:color w:val="FF0000"/>
          <w:sz w:val="21"/>
          <w:szCs w:val="21"/>
        </w:rPr>
      </w:pPr>
      <w:r w:rsidRPr="005B27F9">
        <w:rPr>
          <w:rFonts w:ascii="Helvetica" w:hAnsi="Helvetica" w:cs="Helvetica"/>
          <w:b/>
          <w:color w:val="FF0000"/>
          <w:sz w:val="21"/>
          <w:szCs w:val="21"/>
          <w:highlight w:val="yellow"/>
        </w:rPr>
        <w:t>This $4,430 Number is reached by adding your copays AND The Pharmacist’s Average Wholesale cost of EACH Prescription you purchase, EACH Month.</w:t>
      </w:r>
      <w:r w:rsidRPr="005B27F9">
        <w:rPr>
          <w:rFonts w:ascii="Helvetica" w:hAnsi="Helvetica" w:cs="Helvetica"/>
          <w:b/>
          <w:color w:val="FF0000"/>
          <w:sz w:val="21"/>
          <w:szCs w:val="21"/>
        </w:rPr>
        <w:t xml:space="preserve"> </w:t>
      </w:r>
    </w:p>
    <w:p w:rsidR="005B27F9" w:rsidRDefault="005B27F9" w:rsidP="005B27F9">
      <w:pPr>
        <w:pStyle w:val="mt-10"/>
        <w:shd w:val="clear" w:color="auto" w:fill="EFF7FB"/>
        <w:spacing w:after="0" w:afterAutospacing="0" w:line="270" w:lineRule="atLeast"/>
        <w:rPr>
          <w:rFonts w:ascii="Helvetica" w:hAnsi="Helvetica" w:cs="Helvetica"/>
          <w:color w:val="333333"/>
          <w:sz w:val="21"/>
          <w:szCs w:val="21"/>
        </w:rPr>
      </w:pPr>
      <w:r>
        <w:rPr>
          <w:rFonts w:ascii="Helvetica" w:hAnsi="Helvetica" w:cs="Helvetica"/>
          <w:color w:val="333333"/>
          <w:sz w:val="21"/>
          <w:szCs w:val="21"/>
        </w:rPr>
        <w:t>Your plan pays for a portion of each prescription drug you purchase, as long as that medication is covered under the plan's formulary (list of covered drugs). You pay the other portion, which is either a copayment (a set dollar amount) or coinsurance (a percentage of the drug's cost). The amount you pay will depend on the tier level assigned to your drug.</w:t>
      </w:r>
      <w:hyperlink r:id="rId4" w:anchor="footnote-1" w:history="1">
        <w:r>
          <w:rPr>
            <w:rStyle w:val="Hyperlink"/>
            <w:rFonts w:ascii="Helvetica" w:hAnsi="Helvetica" w:cs="Helvetica"/>
            <w:color w:val="333333"/>
            <w:sz w:val="16"/>
            <w:szCs w:val="16"/>
            <w:vertAlign w:val="superscript"/>
          </w:rPr>
          <w:t>1</w:t>
        </w:r>
      </w:hyperlink>
      <w:r>
        <w:rPr>
          <w:rFonts w:ascii="Helvetica" w:hAnsi="Helvetica" w:cs="Helvetica"/>
          <w:color w:val="333333"/>
          <w:sz w:val="21"/>
          <w:szCs w:val="21"/>
        </w:rPr>
        <w:t> This stage ends when the amount spent by you and your plan on your covered drugs adds up to equal the initial coverage limit set by Medicare for that year. In 2022 that limit is $4,430. Your monthly premium payments do not count toward reaching that limit</w:t>
      </w:r>
    </w:p>
    <w:p w:rsidR="005B27F9" w:rsidRDefault="005B27F9"/>
    <w:p w:rsidR="003544E9" w:rsidRDefault="003544E9"/>
    <w:p w:rsidR="005B27F9" w:rsidRPr="005B27F9" w:rsidRDefault="005B27F9" w:rsidP="005B27F9">
      <w:pPr>
        <w:spacing w:before="180" w:after="180" w:line="330" w:lineRule="atLeast"/>
        <w:outlineLvl w:val="1"/>
        <w:rPr>
          <w:rFonts w:ascii="Arial" w:eastAsia="Times New Roman" w:hAnsi="Arial" w:cs="Arial"/>
          <w:b/>
          <w:bCs/>
          <w:color w:val="FF0000"/>
          <w:sz w:val="27"/>
          <w:szCs w:val="27"/>
        </w:rPr>
      </w:pPr>
      <w:r w:rsidRPr="005B27F9">
        <w:rPr>
          <w:rFonts w:ascii="Arial" w:eastAsia="Times New Roman" w:hAnsi="Arial" w:cs="Arial"/>
          <w:b/>
          <w:bCs/>
          <w:color w:val="FF0000"/>
          <w:sz w:val="27"/>
          <w:szCs w:val="27"/>
          <w:highlight w:val="yellow"/>
        </w:rPr>
        <w:t>Coverage Gap</w:t>
      </w:r>
      <w:r w:rsidR="003544E9">
        <w:rPr>
          <w:rFonts w:ascii="Arial" w:eastAsia="Times New Roman" w:hAnsi="Arial" w:cs="Arial"/>
          <w:b/>
          <w:bCs/>
          <w:color w:val="FF0000"/>
          <w:sz w:val="27"/>
          <w:szCs w:val="27"/>
        </w:rPr>
        <w:t>/</w:t>
      </w:r>
      <w:r w:rsidR="003544E9" w:rsidRPr="003544E9">
        <w:rPr>
          <w:rFonts w:ascii="Arial" w:eastAsia="Times New Roman" w:hAnsi="Arial" w:cs="Arial"/>
          <w:b/>
          <w:bCs/>
          <w:color w:val="FF0000"/>
          <w:sz w:val="27"/>
          <w:szCs w:val="27"/>
          <w:highlight w:val="yellow"/>
        </w:rPr>
        <w:t>Doughnut Hole (Phase III)</w:t>
      </w:r>
    </w:p>
    <w:p w:rsidR="005B27F9" w:rsidRPr="005B27F9" w:rsidRDefault="003544E9" w:rsidP="005B27F9">
      <w:pPr>
        <w:spacing w:before="100" w:beforeAutospacing="1" w:after="0" w:line="27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Begins</w:t>
      </w:r>
      <w:r w:rsidR="005B27F9" w:rsidRPr="005B27F9">
        <w:rPr>
          <w:rFonts w:ascii="Helvetica" w:eastAsia="Times New Roman" w:hAnsi="Helvetica" w:cs="Helvetica"/>
          <w:b/>
          <w:bCs/>
          <w:color w:val="333333"/>
          <w:sz w:val="21"/>
          <w:szCs w:val="21"/>
        </w:rPr>
        <w:t xml:space="preserve"> when you and your plan have collectively spent $4,430 on your covered drugs.</w:t>
      </w:r>
    </w:p>
    <w:p w:rsidR="005B27F9" w:rsidRPr="005B27F9" w:rsidRDefault="005B27F9" w:rsidP="005B27F9">
      <w:pPr>
        <w:spacing w:before="100" w:beforeAutospacing="1" w:after="0" w:line="270" w:lineRule="atLeast"/>
        <w:rPr>
          <w:rFonts w:ascii="Helvetica" w:eastAsia="Times New Roman" w:hAnsi="Helvetica" w:cs="Helvetica"/>
          <w:color w:val="333333"/>
          <w:sz w:val="21"/>
          <w:szCs w:val="21"/>
        </w:rPr>
      </w:pPr>
      <w:r w:rsidRPr="005B27F9">
        <w:rPr>
          <w:rFonts w:ascii="Helvetica" w:eastAsia="Times New Roman" w:hAnsi="Helvetica" w:cs="Helvetica"/>
          <w:color w:val="333333"/>
          <w:sz w:val="21"/>
          <w:szCs w:val="21"/>
        </w:rPr>
        <w:t>Not everyone will enter the coverage gap (also referred to as the "donut hole"). In the coverage gap, the plan is temporarily limited in how much it can pay for your drugs. If you do enter the gap, you'll pay 25% of the plan's cost for covered brand-name drugs and 25% of the plan's cost for covered generic drugs.</w:t>
      </w:r>
    </w:p>
    <w:p w:rsidR="005B27F9" w:rsidRPr="005B27F9" w:rsidRDefault="005B27F9" w:rsidP="005B27F9">
      <w:pPr>
        <w:spacing w:before="100" w:beforeAutospacing="1" w:after="0" w:line="270" w:lineRule="atLeast"/>
        <w:rPr>
          <w:rFonts w:ascii="Helvetica" w:eastAsia="Times New Roman" w:hAnsi="Helvetica" w:cs="Helvetica"/>
          <w:color w:val="333333"/>
          <w:sz w:val="21"/>
          <w:szCs w:val="21"/>
        </w:rPr>
      </w:pPr>
      <w:r w:rsidRPr="005B27F9">
        <w:rPr>
          <w:rFonts w:ascii="Helvetica" w:eastAsia="Times New Roman" w:hAnsi="Helvetica" w:cs="Helvetica"/>
          <w:color w:val="333333"/>
          <w:sz w:val="21"/>
          <w:szCs w:val="21"/>
        </w:rPr>
        <w:t>Keep in mind that while the percentage you pay for brand-name drugs is lower, the price of that drug may be much higher than the generic option. Calculate the amount you would owe for each to see which one really offers the best cost savings for you.</w:t>
      </w:r>
    </w:p>
    <w:p w:rsidR="005B27F9" w:rsidRDefault="005B27F9" w:rsidP="005B27F9">
      <w:pPr>
        <w:spacing w:before="100" w:beforeAutospacing="1" w:after="0" w:line="270" w:lineRule="atLeast"/>
        <w:rPr>
          <w:rFonts w:ascii="Helvetica" w:eastAsia="Times New Roman" w:hAnsi="Helvetica" w:cs="Helvetica"/>
          <w:color w:val="333333"/>
          <w:sz w:val="21"/>
          <w:szCs w:val="21"/>
        </w:rPr>
      </w:pPr>
      <w:r w:rsidRPr="005B27F9">
        <w:rPr>
          <w:rFonts w:ascii="Helvetica" w:eastAsia="Times New Roman" w:hAnsi="Helvetica" w:cs="Helvetica"/>
          <w:color w:val="333333"/>
          <w:sz w:val="21"/>
          <w:szCs w:val="21"/>
        </w:rPr>
        <w:t>You exit the coverage gap when your total out-of-pocket cost on covered drugs (not including premiums) reaches $7,050. Your out-of-pocket cost is calculated by adding together all of the following: yearly deductible, coinsurance, and copayments from the entire plan year, and what you paid for drugs in the coverage gap (including the discounted amount</w:t>
      </w:r>
      <w:r>
        <w:rPr>
          <w:rFonts w:ascii="Helvetica" w:eastAsia="Times New Roman" w:hAnsi="Helvetica" w:cs="Helvetica"/>
          <w:color w:val="333333"/>
          <w:sz w:val="21"/>
          <w:szCs w:val="21"/>
        </w:rPr>
        <w:t>s you didn't pay in that stage)</w:t>
      </w:r>
    </w:p>
    <w:p w:rsidR="005B27F9" w:rsidRPr="005B27F9" w:rsidRDefault="005B27F9" w:rsidP="005B27F9">
      <w:pPr>
        <w:spacing w:before="100" w:beforeAutospacing="1" w:after="0" w:line="270" w:lineRule="atLeast"/>
        <w:rPr>
          <w:rFonts w:ascii="Helvetica" w:eastAsia="Times New Roman" w:hAnsi="Helvetica" w:cs="Helvetica"/>
          <w:color w:val="333333"/>
          <w:sz w:val="21"/>
          <w:szCs w:val="21"/>
        </w:rPr>
      </w:pPr>
    </w:p>
    <w:p w:rsidR="005B27F9" w:rsidRDefault="005B27F9"/>
    <w:p w:rsidR="003544E9" w:rsidRDefault="003544E9" w:rsidP="005B27F9">
      <w:pPr>
        <w:spacing w:before="180" w:after="180" w:line="330" w:lineRule="atLeast"/>
        <w:outlineLvl w:val="1"/>
        <w:rPr>
          <w:rFonts w:ascii="Arial" w:eastAsia="Times New Roman" w:hAnsi="Arial" w:cs="Arial"/>
          <w:b/>
          <w:bCs/>
          <w:color w:val="275A89"/>
          <w:sz w:val="27"/>
          <w:szCs w:val="27"/>
        </w:rPr>
      </w:pPr>
    </w:p>
    <w:p w:rsidR="003544E9" w:rsidRDefault="003544E9" w:rsidP="005B27F9">
      <w:pPr>
        <w:spacing w:before="180" w:after="180" w:line="330" w:lineRule="atLeast"/>
        <w:outlineLvl w:val="1"/>
        <w:rPr>
          <w:rFonts w:ascii="Arial" w:eastAsia="Times New Roman" w:hAnsi="Arial" w:cs="Arial"/>
          <w:b/>
          <w:bCs/>
          <w:color w:val="275A89"/>
          <w:sz w:val="27"/>
          <w:szCs w:val="27"/>
        </w:rPr>
      </w:pPr>
    </w:p>
    <w:p w:rsidR="005B27F9" w:rsidRPr="005B27F9" w:rsidRDefault="005B27F9" w:rsidP="005B27F9">
      <w:pPr>
        <w:spacing w:before="180" w:after="180" w:line="330" w:lineRule="atLeast"/>
        <w:outlineLvl w:val="1"/>
        <w:rPr>
          <w:rFonts w:ascii="Arial" w:eastAsia="Times New Roman" w:hAnsi="Arial" w:cs="Arial"/>
          <w:b/>
          <w:bCs/>
          <w:color w:val="FF0000"/>
          <w:sz w:val="27"/>
          <w:szCs w:val="27"/>
        </w:rPr>
      </w:pPr>
      <w:r w:rsidRPr="005B27F9">
        <w:rPr>
          <w:rFonts w:ascii="Arial" w:eastAsia="Times New Roman" w:hAnsi="Arial" w:cs="Arial"/>
          <w:b/>
          <w:bCs/>
          <w:color w:val="FF0000"/>
          <w:sz w:val="27"/>
          <w:szCs w:val="27"/>
          <w:highlight w:val="yellow"/>
        </w:rPr>
        <w:t>Catastrophic Coverage</w:t>
      </w:r>
      <w:r w:rsidR="003544E9">
        <w:rPr>
          <w:rFonts w:ascii="Arial" w:eastAsia="Times New Roman" w:hAnsi="Arial" w:cs="Arial"/>
          <w:b/>
          <w:bCs/>
          <w:color w:val="FF0000"/>
          <w:sz w:val="27"/>
          <w:szCs w:val="27"/>
        </w:rPr>
        <w:t xml:space="preserve"> </w:t>
      </w:r>
      <w:r w:rsidR="003544E9" w:rsidRPr="003544E9">
        <w:rPr>
          <w:rFonts w:ascii="Arial" w:eastAsia="Times New Roman" w:hAnsi="Arial" w:cs="Arial"/>
          <w:b/>
          <w:bCs/>
          <w:color w:val="FF0000"/>
          <w:sz w:val="27"/>
          <w:szCs w:val="27"/>
          <w:highlight w:val="yellow"/>
        </w:rPr>
        <w:t>(Phase IV)</w:t>
      </w:r>
    </w:p>
    <w:p w:rsidR="005B27F9" w:rsidRPr="005B27F9" w:rsidRDefault="003544E9" w:rsidP="005B27F9">
      <w:pPr>
        <w:spacing w:before="100" w:beforeAutospacing="1" w:after="0" w:line="27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Begins </w:t>
      </w:r>
      <w:r w:rsidR="005B27F9" w:rsidRPr="005B27F9">
        <w:rPr>
          <w:rFonts w:ascii="Helvetica" w:eastAsia="Times New Roman" w:hAnsi="Helvetica" w:cs="Helvetica"/>
          <w:b/>
          <w:bCs/>
          <w:color w:val="333333"/>
          <w:sz w:val="21"/>
          <w:szCs w:val="21"/>
        </w:rPr>
        <w:t>when your out-of-pocket costs reach $7,050 on covered drugs.</w:t>
      </w:r>
    </w:p>
    <w:p w:rsidR="005B27F9" w:rsidRPr="005B27F9" w:rsidRDefault="005B27F9" w:rsidP="005B27F9">
      <w:pPr>
        <w:spacing w:before="100" w:beforeAutospacing="1" w:after="0" w:line="270" w:lineRule="atLeast"/>
        <w:rPr>
          <w:rFonts w:ascii="Helvetica" w:eastAsia="Times New Roman" w:hAnsi="Helvetica" w:cs="Helvetica"/>
          <w:color w:val="333333"/>
          <w:sz w:val="21"/>
          <w:szCs w:val="21"/>
        </w:rPr>
      </w:pPr>
      <w:r w:rsidRPr="005B27F9">
        <w:rPr>
          <w:rFonts w:ascii="Helvetica" w:eastAsia="Times New Roman" w:hAnsi="Helvetica" w:cs="Helvetica"/>
          <w:color w:val="333333"/>
          <w:sz w:val="21"/>
          <w:szCs w:val="21"/>
        </w:rPr>
        <w:t>After your out-of-pocket cost totals $7,050, you exit the gap and get catastrophic coverage. In the catastrophic stage, you will pay a low coinsurance or copayment amount (which is set by Medicare) for all of your covered prescription drugs. That means the plan and the government pay for the rest – about 95% of the cost. You will remain in this phase until the end of the plan year.</w:t>
      </w:r>
    </w:p>
    <w:p w:rsidR="005B27F9" w:rsidRDefault="005B27F9"/>
    <w:sectPr w:rsidR="005B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F9"/>
    <w:rsid w:val="002E0E42"/>
    <w:rsid w:val="003544E9"/>
    <w:rsid w:val="005B27F9"/>
    <w:rsid w:val="00C3585D"/>
    <w:rsid w:val="00D4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58FCA-83EF-46A9-9501-D4F8F35F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2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27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7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7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2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10">
    <w:name w:val="mt-10"/>
    <w:basedOn w:val="Normal"/>
    <w:rsid w:val="005B2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7F9"/>
    <w:rPr>
      <w:b/>
      <w:bCs/>
    </w:rPr>
  </w:style>
  <w:style w:type="character" w:styleId="Hyperlink">
    <w:name w:val="Hyperlink"/>
    <w:basedOn w:val="DefaultParagraphFont"/>
    <w:uiPriority w:val="99"/>
    <w:semiHidden/>
    <w:unhideWhenUsed/>
    <w:rsid w:val="005B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5903">
      <w:bodyDiv w:val="1"/>
      <w:marLeft w:val="0"/>
      <w:marRight w:val="0"/>
      <w:marTop w:val="0"/>
      <w:marBottom w:val="0"/>
      <w:divBdr>
        <w:top w:val="none" w:sz="0" w:space="0" w:color="auto"/>
        <w:left w:val="none" w:sz="0" w:space="0" w:color="auto"/>
        <w:bottom w:val="none" w:sz="0" w:space="0" w:color="auto"/>
        <w:right w:val="none" w:sz="0" w:space="0" w:color="auto"/>
      </w:divBdr>
    </w:div>
    <w:div w:id="1172447064">
      <w:bodyDiv w:val="1"/>
      <w:marLeft w:val="0"/>
      <w:marRight w:val="0"/>
      <w:marTop w:val="0"/>
      <w:marBottom w:val="0"/>
      <w:divBdr>
        <w:top w:val="none" w:sz="0" w:space="0" w:color="auto"/>
        <w:left w:val="none" w:sz="0" w:space="0" w:color="auto"/>
        <w:bottom w:val="none" w:sz="0" w:space="0" w:color="auto"/>
        <w:right w:val="none" w:sz="0" w:space="0" w:color="auto"/>
      </w:divBdr>
      <w:divsChild>
        <w:div w:id="1482770063">
          <w:marLeft w:val="0"/>
          <w:marRight w:val="0"/>
          <w:marTop w:val="750"/>
          <w:marBottom w:val="0"/>
          <w:divBdr>
            <w:top w:val="none" w:sz="0" w:space="0" w:color="auto"/>
            <w:left w:val="none" w:sz="0" w:space="0" w:color="auto"/>
            <w:bottom w:val="none" w:sz="0" w:space="0" w:color="auto"/>
            <w:right w:val="none" w:sz="0" w:space="0" w:color="auto"/>
          </w:divBdr>
          <w:divsChild>
            <w:div w:id="245657386">
              <w:marLeft w:val="0"/>
              <w:marRight w:val="0"/>
              <w:marTop w:val="0"/>
              <w:marBottom w:val="0"/>
              <w:divBdr>
                <w:top w:val="none" w:sz="0" w:space="0" w:color="auto"/>
                <w:left w:val="none" w:sz="0" w:space="0" w:color="auto"/>
                <w:bottom w:val="none" w:sz="0" w:space="0" w:color="auto"/>
                <w:right w:val="none" w:sz="0" w:space="0" w:color="auto"/>
              </w:divBdr>
              <w:divsChild>
                <w:div w:id="1558469148">
                  <w:marLeft w:val="0"/>
                  <w:marRight w:val="0"/>
                  <w:marTop w:val="0"/>
                  <w:marBottom w:val="0"/>
                  <w:divBdr>
                    <w:top w:val="none" w:sz="0" w:space="0" w:color="auto"/>
                    <w:left w:val="none" w:sz="0" w:space="0" w:color="auto"/>
                    <w:bottom w:val="none" w:sz="0" w:space="0" w:color="auto"/>
                    <w:right w:val="none" w:sz="0" w:space="0" w:color="auto"/>
                  </w:divBdr>
                </w:div>
                <w:div w:id="28530824">
                  <w:marLeft w:val="0"/>
                  <w:marRight w:val="0"/>
                  <w:marTop w:val="0"/>
                  <w:marBottom w:val="0"/>
                  <w:divBdr>
                    <w:top w:val="none" w:sz="0" w:space="0" w:color="auto"/>
                    <w:left w:val="none" w:sz="0" w:space="0" w:color="auto"/>
                    <w:bottom w:val="none" w:sz="0" w:space="0" w:color="auto"/>
                    <w:right w:val="none" w:sz="0" w:space="0" w:color="auto"/>
                  </w:divBdr>
                </w:div>
                <w:div w:id="1777825995">
                  <w:marLeft w:val="0"/>
                  <w:marRight w:val="0"/>
                  <w:marTop w:val="0"/>
                  <w:marBottom w:val="0"/>
                  <w:divBdr>
                    <w:top w:val="none" w:sz="0" w:space="0" w:color="auto"/>
                    <w:left w:val="none" w:sz="0" w:space="0" w:color="auto"/>
                    <w:bottom w:val="none" w:sz="0" w:space="0" w:color="auto"/>
                    <w:right w:val="none" w:sz="0" w:space="0" w:color="auto"/>
                  </w:divBdr>
                </w:div>
                <w:div w:id="575287621">
                  <w:marLeft w:val="0"/>
                  <w:marRight w:val="0"/>
                  <w:marTop w:val="0"/>
                  <w:marBottom w:val="0"/>
                  <w:divBdr>
                    <w:top w:val="none" w:sz="0" w:space="0" w:color="auto"/>
                    <w:left w:val="none" w:sz="0" w:space="0" w:color="auto"/>
                    <w:bottom w:val="none" w:sz="0" w:space="0" w:color="auto"/>
                    <w:right w:val="none" w:sz="0" w:space="0" w:color="auto"/>
                  </w:divBdr>
                </w:div>
                <w:div w:id="749276212">
                  <w:marLeft w:val="0"/>
                  <w:marRight w:val="0"/>
                  <w:marTop w:val="0"/>
                  <w:marBottom w:val="0"/>
                  <w:divBdr>
                    <w:top w:val="none" w:sz="0" w:space="0" w:color="auto"/>
                    <w:left w:val="none" w:sz="0" w:space="0" w:color="auto"/>
                    <w:bottom w:val="none" w:sz="0" w:space="0" w:color="auto"/>
                    <w:right w:val="none" w:sz="0" w:space="0" w:color="auto"/>
                  </w:divBdr>
                </w:div>
                <w:div w:id="814757406">
                  <w:marLeft w:val="0"/>
                  <w:marRight w:val="0"/>
                  <w:marTop w:val="0"/>
                  <w:marBottom w:val="0"/>
                  <w:divBdr>
                    <w:top w:val="none" w:sz="0" w:space="0" w:color="auto"/>
                    <w:left w:val="none" w:sz="0" w:space="0" w:color="auto"/>
                    <w:bottom w:val="none" w:sz="0" w:space="0" w:color="auto"/>
                    <w:right w:val="none" w:sz="0" w:space="0" w:color="auto"/>
                  </w:divBdr>
                </w:div>
                <w:div w:id="1207180263">
                  <w:marLeft w:val="0"/>
                  <w:marRight w:val="0"/>
                  <w:marTop w:val="0"/>
                  <w:marBottom w:val="0"/>
                  <w:divBdr>
                    <w:top w:val="none" w:sz="0" w:space="0" w:color="auto"/>
                    <w:left w:val="none" w:sz="0" w:space="0" w:color="auto"/>
                    <w:bottom w:val="none" w:sz="0" w:space="0" w:color="auto"/>
                    <w:right w:val="none" w:sz="0" w:space="0" w:color="auto"/>
                  </w:divBdr>
                </w:div>
                <w:div w:id="2372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0987">
          <w:marLeft w:val="0"/>
          <w:marRight w:val="0"/>
          <w:marTop w:val="0"/>
          <w:marBottom w:val="0"/>
          <w:divBdr>
            <w:top w:val="none" w:sz="0" w:space="0" w:color="auto"/>
            <w:left w:val="none" w:sz="0" w:space="0" w:color="auto"/>
            <w:bottom w:val="none" w:sz="0" w:space="0" w:color="auto"/>
            <w:right w:val="none" w:sz="0" w:space="0" w:color="auto"/>
          </w:divBdr>
        </w:div>
      </w:divsChild>
    </w:div>
    <w:div w:id="1908568860">
      <w:bodyDiv w:val="1"/>
      <w:marLeft w:val="0"/>
      <w:marRight w:val="0"/>
      <w:marTop w:val="0"/>
      <w:marBottom w:val="0"/>
      <w:divBdr>
        <w:top w:val="none" w:sz="0" w:space="0" w:color="auto"/>
        <w:left w:val="none" w:sz="0" w:space="0" w:color="auto"/>
        <w:bottom w:val="none" w:sz="0" w:space="0" w:color="auto"/>
        <w:right w:val="none" w:sz="0" w:space="0" w:color="auto"/>
      </w:divBdr>
      <w:divsChild>
        <w:div w:id="1882783964">
          <w:marLeft w:val="0"/>
          <w:marRight w:val="0"/>
          <w:marTop w:val="750"/>
          <w:marBottom w:val="0"/>
          <w:divBdr>
            <w:top w:val="none" w:sz="0" w:space="0" w:color="auto"/>
            <w:left w:val="none" w:sz="0" w:space="0" w:color="auto"/>
            <w:bottom w:val="none" w:sz="0" w:space="0" w:color="auto"/>
            <w:right w:val="none" w:sz="0" w:space="0" w:color="auto"/>
          </w:divBdr>
          <w:divsChild>
            <w:div w:id="1660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151">
      <w:bodyDiv w:val="1"/>
      <w:marLeft w:val="0"/>
      <w:marRight w:val="0"/>
      <w:marTop w:val="0"/>
      <w:marBottom w:val="0"/>
      <w:divBdr>
        <w:top w:val="none" w:sz="0" w:space="0" w:color="auto"/>
        <w:left w:val="none" w:sz="0" w:space="0" w:color="auto"/>
        <w:bottom w:val="none" w:sz="0" w:space="0" w:color="auto"/>
        <w:right w:val="none" w:sz="0" w:space="0" w:color="auto"/>
      </w:divBdr>
      <w:divsChild>
        <w:div w:id="634219851">
          <w:marLeft w:val="0"/>
          <w:marRight w:val="0"/>
          <w:marTop w:val="750"/>
          <w:marBottom w:val="0"/>
          <w:divBdr>
            <w:top w:val="none" w:sz="0" w:space="0" w:color="auto"/>
            <w:left w:val="none" w:sz="0" w:space="0" w:color="auto"/>
            <w:bottom w:val="none" w:sz="0" w:space="0" w:color="auto"/>
            <w:right w:val="none" w:sz="0" w:space="0" w:color="auto"/>
          </w:divBdr>
          <w:divsChild>
            <w:div w:id="6452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xmedicareplans.com/Learn/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Eric Solofsky</cp:lastModifiedBy>
  <cp:revision>3</cp:revision>
  <dcterms:created xsi:type="dcterms:W3CDTF">2022-04-11T16:21:00Z</dcterms:created>
  <dcterms:modified xsi:type="dcterms:W3CDTF">2022-04-11T16:41:00Z</dcterms:modified>
</cp:coreProperties>
</file>