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C1F5A" w14:textId="57F1D9D7" w:rsidR="00926F3E" w:rsidRDefault="00EA42EE">
      <w:r>
        <w:t xml:space="preserve">Wednesday September 30, </w:t>
      </w:r>
      <w:proofErr w:type="gramStart"/>
      <w:r>
        <w:t>2026  9</w:t>
      </w:r>
      <w:proofErr w:type="gramEnd"/>
      <w:r>
        <w:t>:05 a.m.</w:t>
      </w:r>
    </w:p>
    <w:p w14:paraId="5AB1AFDC" w14:textId="19CCDB0D" w:rsidR="00EA42EE" w:rsidRDefault="00EA42EE">
      <w:r>
        <w:t>The following is an email sent to owners in the SCT group from CPA Brian Arnold:</w:t>
      </w:r>
    </w:p>
    <w:p w14:paraId="407D1FC8" w14:textId="77777777" w:rsidR="00EA42EE" w:rsidRDefault="00EA42EE" w:rsidP="00EA42EE">
      <w:pPr>
        <w:spacing w:after="0" w:line="240" w:lineRule="auto"/>
      </w:pPr>
    </w:p>
    <w:p w14:paraId="0E063325" w14:textId="77777777" w:rsidR="00EA42EE" w:rsidRDefault="00EA42EE" w:rsidP="00EA42EE">
      <w:pPr>
        <w:spacing w:after="0" w:line="240" w:lineRule="auto"/>
      </w:pPr>
      <w:r>
        <w:t>Fellow Owners,</w:t>
      </w:r>
    </w:p>
    <w:p w14:paraId="1EE4CF23" w14:textId="77777777" w:rsidR="00EA42EE" w:rsidRDefault="00EA42EE" w:rsidP="00EA42EE">
      <w:pPr>
        <w:spacing w:after="0" w:line="240" w:lineRule="auto"/>
      </w:pPr>
    </w:p>
    <w:p w14:paraId="4AEB2A23" w14:textId="77777777" w:rsidR="00EA42EE" w:rsidRDefault="00EA42EE" w:rsidP="00EA42EE">
      <w:pPr>
        <w:spacing w:after="0" w:line="240" w:lineRule="auto"/>
      </w:pPr>
      <w:r>
        <w:t>The 2025 audited financial statements were issued on September 28, 2026 (attached). They show an operating fund balance of $(386,291) at December 31, 2025. They also contain errors that owners should be aware of, especially because the Special Master, to whom the statements are addressed, is required to review and approve them as part of the audit.</w:t>
      </w:r>
    </w:p>
    <w:p w14:paraId="3ABC51F0" w14:textId="77777777" w:rsidR="00EA42EE" w:rsidRDefault="00EA42EE" w:rsidP="00EA42EE">
      <w:pPr>
        <w:spacing w:after="0" w:line="240" w:lineRule="auto"/>
      </w:pPr>
    </w:p>
    <w:p w14:paraId="65A03A21" w14:textId="77777777" w:rsidR="00EA42EE" w:rsidRPr="00661F0F" w:rsidRDefault="00EA42EE" w:rsidP="00EA42EE">
      <w:pPr>
        <w:spacing w:after="0" w:line="240" w:lineRule="auto"/>
        <w:rPr>
          <w:b/>
          <w:bCs/>
        </w:rPr>
      </w:pPr>
      <w:r w:rsidRPr="00661F0F">
        <w:rPr>
          <w:b/>
          <w:bCs/>
        </w:rPr>
        <w:t>1. The reserve fund was used to keep operations afloat</w:t>
      </w:r>
    </w:p>
    <w:p w14:paraId="4EE2EAF0" w14:textId="77777777" w:rsidR="00EA42EE" w:rsidRDefault="00EA42EE" w:rsidP="00EA42EE">
      <w:pPr>
        <w:spacing w:after="0" w:line="240" w:lineRule="auto"/>
      </w:pPr>
    </w:p>
    <w:p w14:paraId="725BE90D" w14:textId="77777777" w:rsidR="00EA42EE" w:rsidRDefault="00EA42EE" w:rsidP="00EA42EE">
      <w:pPr>
        <w:spacing w:after="0" w:line="240" w:lineRule="auto"/>
      </w:pPr>
      <w:r>
        <w:t xml:space="preserve">Although operating cash increased $93,905 during the year, this was only possible because the Association borrowed $299,698 from the reserve fund. Without that borrowing, operating cash would have declined by approximately $206,000. The operating fund now owes the reserve fund $468,525, up from $168,827 a year earlier, and the operating fund balance remains a deficit of $(386,291). Reserve funds are meant for major repairs and replacements, not day-to-day operations. The auditor's own letter to the Special Master flags this.  </w:t>
      </w:r>
    </w:p>
    <w:p w14:paraId="4B089F31" w14:textId="77777777" w:rsidR="00EA42EE" w:rsidRDefault="00EA42EE" w:rsidP="00EA42EE">
      <w:pPr>
        <w:spacing w:after="0" w:line="240" w:lineRule="auto"/>
      </w:pPr>
    </w:p>
    <w:p w14:paraId="24D0043A" w14:textId="77777777" w:rsidR="00EA42EE" w:rsidRDefault="00EA42EE" w:rsidP="00EA42EE">
      <w:pPr>
        <w:spacing w:after="0" w:line="240" w:lineRule="auto"/>
        <w:rPr>
          <w:b/>
          <w:bCs/>
        </w:rPr>
      </w:pPr>
      <w:r w:rsidRPr="00661F0F">
        <w:rPr>
          <w:b/>
          <w:bCs/>
        </w:rPr>
        <w:t>2. Other financial drivers in 2025:</w:t>
      </w:r>
    </w:p>
    <w:p w14:paraId="1292FDA0" w14:textId="77777777" w:rsidR="00661F0F" w:rsidRPr="00661F0F" w:rsidRDefault="00661F0F" w:rsidP="00EA42EE">
      <w:pPr>
        <w:spacing w:after="0" w:line="240" w:lineRule="auto"/>
        <w:rPr>
          <w:b/>
          <w:bCs/>
        </w:rPr>
      </w:pPr>
    </w:p>
    <w:p w14:paraId="5B3EEE59" w14:textId="77777777" w:rsidR="00EA42EE" w:rsidRDefault="00EA42EE" w:rsidP="00661F0F">
      <w:pPr>
        <w:pStyle w:val="ListParagraph"/>
        <w:numPr>
          <w:ilvl w:val="0"/>
          <w:numId w:val="1"/>
        </w:numPr>
        <w:spacing w:after="0" w:line="240" w:lineRule="auto"/>
      </w:pPr>
      <w:r>
        <w:t>Uncollected assessments (credit losses) rose to $590,048 from $387,202 in 2024.</w:t>
      </w:r>
    </w:p>
    <w:p w14:paraId="184ABEE6" w14:textId="77777777" w:rsidR="00EA42EE" w:rsidRDefault="00EA42EE" w:rsidP="00661F0F">
      <w:pPr>
        <w:pStyle w:val="ListParagraph"/>
        <w:numPr>
          <w:ilvl w:val="0"/>
          <w:numId w:val="1"/>
        </w:numPr>
        <w:spacing w:after="0" w:line="240" w:lineRule="auto"/>
      </w:pPr>
      <w:r>
        <w:t>Legal and professional fees rose to $212,348 from $46,676, largely paid to the LKG law firm.</w:t>
      </w:r>
    </w:p>
    <w:p w14:paraId="068A4CFC" w14:textId="77777777" w:rsidR="00EA42EE" w:rsidRDefault="00EA42EE" w:rsidP="00661F0F">
      <w:pPr>
        <w:pStyle w:val="ListParagraph"/>
        <w:numPr>
          <w:ilvl w:val="0"/>
          <w:numId w:val="1"/>
        </w:numPr>
        <w:spacing w:after="0" w:line="240" w:lineRule="auto"/>
      </w:pPr>
      <w:r>
        <w:t>The reserve study recommended a $285,000 contribution in 2025. The Association assessed only $145,000.</w:t>
      </w:r>
    </w:p>
    <w:p w14:paraId="1DB1C47F" w14:textId="77777777" w:rsidR="00661F0F" w:rsidRDefault="00661F0F" w:rsidP="00EA42EE">
      <w:pPr>
        <w:spacing w:after="0" w:line="240" w:lineRule="auto"/>
      </w:pPr>
    </w:p>
    <w:p w14:paraId="02B80158" w14:textId="492B503B" w:rsidR="00EA42EE" w:rsidRPr="00661F0F" w:rsidRDefault="00EA42EE" w:rsidP="00EA42EE">
      <w:pPr>
        <w:spacing w:after="0" w:line="240" w:lineRule="auto"/>
        <w:rPr>
          <w:b/>
          <w:bCs/>
        </w:rPr>
      </w:pPr>
      <w:r w:rsidRPr="00661F0F">
        <w:rPr>
          <w:b/>
          <w:bCs/>
        </w:rPr>
        <w:t>3. The number of Association owned units doesn't add up - and it affects the election</w:t>
      </w:r>
    </w:p>
    <w:p w14:paraId="68183D5F" w14:textId="77777777" w:rsidR="00EA42EE" w:rsidRDefault="00EA42EE" w:rsidP="00EA42EE">
      <w:pPr>
        <w:spacing w:after="0" w:line="240" w:lineRule="auto"/>
      </w:pPr>
    </w:p>
    <w:p w14:paraId="04F74C65" w14:textId="77777777" w:rsidR="00EA42EE" w:rsidRDefault="00EA42EE" w:rsidP="00EA42EE">
      <w:pPr>
        <w:spacing w:after="0" w:line="240" w:lineRule="auto"/>
      </w:pPr>
      <w:r>
        <w:t>Note 1 says the Association held 330 interval units (deed backs) at December 31, 2025, exactly the same number reported at December 31, 2024. That can only be true if units acquired and units sold offset exactly. They didn't. The Washoe County Recorder shows at least five deeds conveying units to the Association in 2025 (recorded August 15, August 19 and three on October 9), and I can find no recorded sales out. The financials agree that nothing was sold. 2024 showed $17,500 in timeshare sales, 2025 shows none.</w:t>
      </w:r>
    </w:p>
    <w:p w14:paraId="1E3A71DF" w14:textId="77777777" w:rsidR="00EA42EE" w:rsidRDefault="00EA42EE" w:rsidP="00EA42EE">
      <w:pPr>
        <w:spacing w:after="0" w:line="240" w:lineRule="auto"/>
      </w:pPr>
    </w:p>
    <w:p w14:paraId="432F2DCF" w14:textId="77777777" w:rsidR="00EA42EE" w:rsidRDefault="00EA42EE" w:rsidP="00EA42EE">
      <w:pPr>
        <w:spacing w:after="0" w:line="240" w:lineRule="auto"/>
      </w:pPr>
      <w:r>
        <w:t>Deed back units came in and none went out, so the count can't be unchanged. This isn't just an accounting detail. Under the June 22 Court Order, Association-owned intervals count toward quorum, so this number feeds directly into the election math.</w:t>
      </w:r>
    </w:p>
    <w:p w14:paraId="03FD4814" w14:textId="77777777" w:rsidR="00EA42EE" w:rsidRDefault="00EA42EE" w:rsidP="00EA42EE">
      <w:pPr>
        <w:spacing w:after="0" w:line="240" w:lineRule="auto"/>
      </w:pPr>
    </w:p>
    <w:p w14:paraId="3DF54494" w14:textId="77777777" w:rsidR="00661F0F" w:rsidRDefault="00661F0F" w:rsidP="00EA42EE">
      <w:pPr>
        <w:spacing w:after="0" w:line="240" w:lineRule="auto"/>
      </w:pPr>
    </w:p>
    <w:p w14:paraId="1DB6C61B" w14:textId="77777777" w:rsidR="00661F0F" w:rsidRDefault="00661F0F" w:rsidP="00EA42EE">
      <w:pPr>
        <w:spacing w:after="0" w:line="240" w:lineRule="auto"/>
      </w:pPr>
    </w:p>
    <w:p w14:paraId="6C840C30" w14:textId="77777777" w:rsidR="00661F0F" w:rsidRDefault="00661F0F" w:rsidP="00EA42EE">
      <w:pPr>
        <w:spacing w:after="0" w:line="240" w:lineRule="auto"/>
      </w:pPr>
    </w:p>
    <w:p w14:paraId="26C2CDA1" w14:textId="07DAB5FB" w:rsidR="00EA42EE" w:rsidRPr="00661F0F" w:rsidRDefault="00EA42EE" w:rsidP="00EA42EE">
      <w:pPr>
        <w:spacing w:after="0" w:line="240" w:lineRule="auto"/>
        <w:rPr>
          <w:b/>
          <w:bCs/>
        </w:rPr>
      </w:pPr>
      <w:r w:rsidRPr="00661F0F">
        <w:rPr>
          <w:b/>
          <w:bCs/>
        </w:rPr>
        <w:t>4. A reserve fund calculation error of $627,754</w:t>
      </w:r>
    </w:p>
    <w:p w14:paraId="1A577354" w14:textId="77777777" w:rsidR="00EA42EE" w:rsidRDefault="00EA42EE" w:rsidP="00EA42EE">
      <w:pPr>
        <w:spacing w:after="0" w:line="240" w:lineRule="auto"/>
      </w:pPr>
    </w:p>
    <w:p w14:paraId="27F02F30" w14:textId="77777777" w:rsidR="00EA42EE" w:rsidRDefault="00EA42EE" w:rsidP="00EA42EE">
      <w:pPr>
        <w:spacing w:after="0" w:line="240" w:lineRule="auto"/>
      </w:pPr>
      <w:r>
        <w:t>On page 12, in the Budget vs. Actual schedule, the Reserve Fund section shows:</w:t>
      </w:r>
    </w:p>
    <w:p w14:paraId="444F1DD4" w14:textId="77777777" w:rsidR="00EA42EE" w:rsidRDefault="00EA42EE" w:rsidP="00EA42EE">
      <w:pPr>
        <w:spacing w:after="0" w:line="240" w:lineRule="auto"/>
      </w:pPr>
    </w:p>
    <w:p w14:paraId="2A381C3E" w14:textId="26BFA089" w:rsidR="00EA42EE" w:rsidRDefault="00EA42EE" w:rsidP="00661F0F">
      <w:pPr>
        <w:spacing w:after="0" w:line="240" w:lineRule="auto"/>
        <w:ind w:left="2880" w:firstLine="720"/>
      </w:pPr>
      <w:r>
        <w:t>Actual</w:t>
      </w:r>
      <w:r>
        <w:tab/>
      </w:r>
      <w:r w:rsidR="00661F0F">
        <w:tab/>
      </w:r>
      <w:r>
        <w:t>Budget</w:t>
      </w:r>
      <w:r>
        <w:tab/>
        <w:t>Variance</w:t>
      </w:r>
    </w:p>
    <w:p w14:paraId="45A04247" w14:textId="5AFE67D4" w:rsidR="00EA42EE" w:rsidRDefault="00EA42EE" w:rsidP="00EA42EE">
      <w:pPr>
        <w:spacing w:after="0" w:line="240" w:lineRule="auto"/>
      </w:pPr>
      <w:r>
        <w:t>Revenues</w:t>
      </w:r>
      <w:r>
        <w:tab/>
      </w:r>
      <w:r w:rsidR="00661F0F">
        <w:tab/>
      </w:r>
      <w:r w:rsidR="00661F0F">
        <w:tab/>
      </w:r>
      <w:r w:rsidR="00661F0F">
        <w:tab/>
      </w:r>
      <w:r>
        <w:t>106,115</w:t>
      </w:r>
      <w:r>
        <w:tab/>
        <w:t>220,000</w:t>
      </w:r>
      <w:r>
        <w:tab/>
        <w:t>(113,885)</w:t>
      </w:r>
    </w:p>
    <w:p w14:paraId="301B69C6" w14:textId="3673C0EA" w:rsidR="00EA42EE" w:rsidRDefault="00EA42EE" w:rsidP="00EA42EE">
      <w:pPr>
        <w:spacing w:after="0" w:line="240" w:lineRule="auto"/>
      </w:pPr>
      <w:r>
        <w:t>Expenses</w:t>
      </w:r>
      <w:r>
        <w:tab/>
      </w:r>
      <w:r w:rsidR="00661F0F">
        <w:tab/>
      </w:r>
      <w:r w:rsidR="00661F0F">
        <w:tab/>
      </w:r>
      <w:r w:rsidR="00661F0F">
        <w:tab/>
      </w:r>
      <w:r>
        <w:t>106,115</w:t>
      </w:r>
      <w:r>
        <w:tab/>
        <w:t>419,992</w:t>
      </w:r>
      <w:r>
        <w:tab/>
      </w:r>
      <w:r w:rsidR="00661F0F">
        <w:t xml:space="preserve">  </w:t>
      </w:r>
      <w:r>
        <w:t>313,877</w:t>
      </w:r>
    </w:p>
    <w:p w14:paraId="26B58B73" w14:textId="07EDE4F3" w:rsidR="00EA42EE" w:rsidRDefault="00EA42EE" w:rsidP="00EA42EE">
      <w:pPr>
        <w:spacing w:after="0" w:line="240" w:lineRule="auto"/>
      </w:pPr>
      <w:r>
        <w:t>Excess of expenses over revenues</w:t>
      </w:r>
      <w:r w:rsidR="00661F0F">
        <w:t xml:space="preserve">              </w:t>
      </w:r>
      <w:r>
        <w:t>—</w:t>
      </w:r>
      <w:r>
        <w:tab/>
        <w:t>(199,992)</w:t>
      </w:r>
      <w:r>
        <w:tab/>
      </w:r>
      <w:r w:rsidRPr="00661F0F">
        <w:rPr>
          <w:b/>
          <w:bCs/>
        </w:rPr>
        <w:t>(427,762)</w:t>
      </w:r>
    </w:p>
    <w:p w14:paraId="1DB38F4D" w14:textId="77777777" w:rsidR="00EA42EE" w:rsidRDefault="00EA42EE" w:rsidP="00EA42EE">
      <w:pPr>
        <w:spacing w:after="0" w:line="240" w:lineRule="auto"/>
      </w:pPr>
    </w:p>
    <w:p w14:paraId="0C8D2C42" w14:textId="77777777" w:rsidR="00EA42EE" w:rsidRDefault="00EA42EE" w:rsidP="00EA42EE">
      <w:pPr>
        <w:spacing w:after="0" w:line="240" w:lineRule="auto"/>
      </w:pPr>
      <w:r>
        <w:t>Actual of $0 against a budgeted $(199,992) is a $199,992 favorable variance. The schedule instead reports $(427,762) unfavorable. The two variance lines were added ($313,877 + $113,885) instead of netted, and the result was given the wrong sign. The Operating Fund section directly above it on the same page nets correctly. The error is $627,754, and it points in the wrong direction.</w:t>
      </w:r>
    </w:p>
    <w:p w14:paraId="1EE784B2" w14:textId="77777777" w:rsidR="00EA42EE" w:rsidRDefault="00EA42EE" w:rsidP="00EA42EE">
      <w:pPr>
        <w:spacing w:after="0" w:line="240" w:lineRule="auto"/>
      </w:pPr>
    </w:p>
    <w:p w14:paraId="32DA544A" w14:textId="77777777" w:rsidR="00EA42EE" w:rsidRPr="00661F0F" w:rsidRDefault="00EA42EE" w:rsidP="00EA42EE">
      <w:pPr>
        <w:spacing w:after="0" w:line="240" w:lineRule="auto"/>
        <w:rPr>
          <w:b/>
          <w:bCs/>
        </w:rPr>
      </w:pPr>
      <w:r w:rsidRPr="00661F0F">
        <w:rPr>
          <w:b/>
          <w:bCs/>
        </w:rPr>
        <w:t xml:space="preserve">5. More </w:t>
      </w:r>
      <w:r w:rsidRPr="00661F0F">
        <w:rPr>
          <w:b/>
          <w:bCs/>
          <w:u w:val="single"/>
        </w:rPr>
        <w:t>errors</w:t>
      </w:r>
      <w:r w:rsidRPr="00661F0F">
        <w:rPr>
          <w:b/>
          <w:bCs/>
        </w:rPr>
        <w:t xml:space="preserve"> in the notes of the financial statements</w:t>
      </w:r>
    </w:p>
    <w:p w14:paraId="7CE07A7D" w14:textId="77777777" w:rsidR="00EA42EE" w:rsidRDefault="00EA42EE" w:rsidP="00EA42EE">
      <w:pPr>
        <w:spacing w:after="0" w:line="240" w:lineRule="auto"/>
      </w:pPr>
    </w:p>
    <w:p w14:paraId="4AC804EC" w14:textId="77777777" w:rsidR="00EA42EE" w:rsidRDefault="00EA42EE" w:rsidP="00EA42EE">
      <w:pPr>
        <w:spacing w:after="0" w:line="240" w:lineRule="auto"/>
      </w:pPr>
      <w:r>
        <w:t>Note 6 in the financials (reproduced exactly as written):</w:t>
      </w:r>
    </w:p>
    <w:p w14:paraId="7671A0C8" w14:textId="77777777" w:rsidR="00EA42EE" w:rsidRPr="00661F0F" w:rsidRDefault="00EA42EE" w:rsidP="00661F0F">
      <w:pPr>
        <w:spacing w:after="0" w:line="240" w:lineRule="auto"/>
        <w:ind w:left="720"/>
        <w:rPr>
          <w:i/>
          <w:iCs/>
        </w:rPr>
      </w:pPr>
      <w:r w:rsidRPr="00661F0F">
        <w:rPr>
          <w:i/>
          <w:iCs/>
        </w:rPr>
        <w:t xml:space="preserve">"In April 2026, pursuant to Court Order, a Special Master was appointed to manage the Association, to maintain the status quo and to facilitate a </w:t>
      </w:r>
      <w:r w:rsidRPr="00661F0F">
        <w:rPr>
          <w:i/>
          <w:iCs/>
          <w:color w:val="EE0000"/>
        </w:rPr>
        <w:t xml:space="preserve">rule complaint </w:t>
      </w:r>
      <w:r w:rsidRPr="00661F0F">
        <w:rPr>
          <w:i/>
          <w:iCs/>
        </w:rPr>
        <w:t xml:space="preserve">Annual Meeting and Board Election… The cases are Lawrence Garvey and Robert Payton v Club Tahoe Resort Owners' Association Inc. and </w:t>
      </w:r>
      <w:r w:rsidRPr="00661F0F">
        <w:rPr>
          <w:i/>
          <w:iCs/>
          <w:color w:val="EE0000"/>
        </w:rPr>
        <w:t xml:space="preserve">Tricor </w:t>
      </w:r>
      <w:proofErr w:type="spellStart"/>
      <w:r w:rsidRPr="00661F0F">
        <w:rPr>
          <w:i/>
          <w:iCs/>
        </w:rPr>
        <w:t>Mgmt</w:t>
      </w:r>
      <w:proofErr w:type="spellEnd"/>
      <w:r w:rsidRPr="00661F0F">
        <w:rPr>
          <w:i/>
          <w:iCs/>
        </w:rPr>
        <w:t xml:space="preserve"> LLC v Club Tahoe Resort Owners' Association… the Association is not involved in any pending or threatened litigation that would require accrual of </w:t>
      </w:r>
      <w:r w:rsidRPr="00661F0F">
        <w:rPr>
          <w:i/>
          <w:iCs/>
          <w:color w:val="EE0000"/>
        </w:rPr>
        <w:t>disclose</w:t>
      </w:r>
      <w:r w:rsidRPr="00661F0F">
        <w:rPr>
          <w:i/>
          <w:iCs/>
        </w:rPr>
        <w:t xml:space="preserve"> in the financial statements under U.S. GAAP."</w:t>
      </w:r>
    </w:p>
    <w:p w14:paraId="00320AB4" w14:textId="77777777" w:rsidR="00EA42EE" w:rsidRDefault="00EA42EE" w:rsidP="00661F0F">
      <w:pPr>
        <w:spacing w:after="0" w:line="240" w:lineRule="auto"/>
        <w:ind w:left="720"/>
      </w:pPr>
      <w:r w:rsidRPr="00661F0F">
        <w:rPr>
          <w:i/>
          <w:iCs/>
        </w:rPr>
        <w:t xml:space="preserve">"Rule complaint" should be "rule compliant," Tricom is misnamed "Tricor," and "accrual of disclose" should be "accrual or disclosure." That's three errors in two paragraphs. Elsewhere, </w:t>
      </w:r>
      <w:proofErr w:type="gramStart"/>
      <w:r w:rsidRPr="00661F0F">
        <w:rPr>
          <w:i/>
          <w:iCs/>
        </w:rPr>
        <w:t>Note</w:t>
      </w:r>
      <w:proofErr w:type="gramEnd"/>
      <w:r w:rsidRPr="00661F0F">
        <w:rPr>
          <w:i/>
          <w:iCs/>
        </w:rPr>
        <w:t xml:space="preserve"> 1 </w:t>
      </w:r>
      <w:proofErr w:type="gramStart"/>
      <w:r w:rsidRPr="00661F0F">
        <w:rPr>
          <w:i/>
          <w:iCs/>
        </w:rPr>
        <w:t>states</w:t>
      </w:r>
      <w:proofErr w:type="gramEnd"/>
      <w:r w:rsidRPr="00661F0F">
        <w:rPr>
          <w:i/>
          <w:iCs/>
        </w:rPr>
        <w:t xml:space="preserve"> that contract liabilities "would have been" $2,730,457 and $2,838,557. They either were those amounts or they weren't.  There are several other typos throughout the report, and par for the course given that GPR added typos to the four Save Club Tahoe candidates where those errors were not in the candidate statements provided to Special Master. </w:t>
      </w:r>
    </w:p>
    <w:p w14:paraId="1AD13A30" w14:textId="77777777" w:rsidR="00EA42EE" w:rsidRDefault="00EA42EE" w:rsidP="00EA42EE">
      <w:pPr>
        <w:spacing w:after="0" w:line="240" w:lineRule="auto"/>
      </w:pPr>
    </w:p>
    <w:p w14:paraId="67B21003" w14:textId="77777777" w:rsidR="00EA42EE" w:rsidRPr="00661F0F" w:rsidRDefault="00EA42EE" w:rsidP="00EA42EE">
      <w:pPr>
        <w:spacing w:after="0" w:line="240" w:lineRule="auto"/>
        <w:rPr>
          <w:b/>
          <w:bCs/>
        </w:rPr>
      </w:pPr>
      <w:r w:rsidRPr="00661F0F">
        <w:rPr>
          <w:b/>
          <w:bCs/>
        </w:rPr>
        <w:t xml:space="preserve">Why </w:t>
      </w:r>
      <w:proofErr w:type="gramStart"/>
      <w:r w:rsidRPr="00661F0F">
        <w:rPr>
          <w:b/>
          <w:bCs/>
        </w:rPr>
        <w:t>this matters</w:t>
      </w:r>
      <w:proofErr w:type="gramEnd"/>
    </w:p>
    <w:p w14:paraId="351D43BE" w14:textId="77777777" w:rsidR="00EA42EE" w:rsidRDefault="00EA42EE" w:rsidP="00EA42EE">
      <w:pPr>
        <w:spacing w:after="0" w:line="240" w:lineRule="auto"/>
      </w:pPr>
    </w:p>
    <w:p w14:paraId="3EBCA524" w14:textId="77777777" w:rsidR="00EA42EE" w:rsidRDefault="00EA42EE" w:rsidP="00EA42EE">
      <w:pPr>
        <w:spacing w:after="0" w:line="240" w:lineRule="auto"/>
      </w:pPr>
      <w:r>
        <w:t>With this many errors, owners can't be confident about which figures are reliable. Our bylaws require audited financials by March 31. These were issued six months late, have not been distributed to all owners, and are arriving halfway through the election process.</w:t>
      </w:r>
    </w:p>
    <w:p w14:paraId="66183D1A" w14:textId="77777777" w:rsidR="00EA42EE" w:rsidRDefault="00EA42EE" w:rsidP="00EA42EE">
      <w:pPr>
        <w:spacing w:after="0" w:line="240" w:lineRule="auto"/>
      </w:pPr>
    </w:p>
    <w:p w14:paraId="4AED0548" w14:textId="77777777" w:rsidR="00EA42EE" w:rsidRDefault="00EA42EE" w:rsidP="00EA42EE">
      <w:pPr>
        <w:spacing w:after="0" w:line="240" w:lineRule="auto"/>
      </w:pPr>
      <w:r>
        <w:lastRenderedPageBreak/>
        <w:t>I will be asking the Special Master to address these discrepancies. I hope this helps explain some of the less obvious issues in the financials and how Club Tahoe was run under the former board.</w:t>
      </w:r>
    </w:p>
    <w:p w14:paraId="01F07825" w14:textId="77777777" w:rsidR="00EA42EE" w:rsidRDefault="00EA42EE" w:rsidP="00EA42EE">
      <w:pPr>
        <w:spacing w:after="0" w:line="240" w:lineRule="auto"/>
      </w:pPr>
    </w:p>
    <w:p w14:paraId="062426B3" w14:textId="013DE6E2" w:rsidR="00EA42EE" w:rsidRDefault="00EA42EE" w:rsidP="00EA42EE">
      <w:pPr>
        <w:spacing w:after="0" w:line="240" w:lineRule="auto"/>
      </w:pPr>
      <w:r>
        <w:t>Brian Arnold</w:t>
      </w:r>
    </w:p>
    <w:p w14:paraId="00E23395" w14:textId="77777777" w:rsidR="00EA42EE" w:rsidRDefault="00EA42EE"/>
    <w:p w14:paraId="680BE346" w14:textId="77777777" w:rsidR="00EA42EE" w:rsidRDefault="00EA42EE"/>
    <w:sectPr w:rsidR="00EA4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DA3"/>
    <w:multiLevelType w:val="hybridMultilevel"/>
    <w:tmpl w:val="9B4E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6115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2EE"/>
    <w:rsid w:val="00025B01"/>
    <w:rsid w:val="00661F0F"/>
    <w:rsid w:val="00926F3E"/>
    <w:rsid w:val="009B3BF2"/>
    <w:rsid w:val="00EA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1B371"/>
  <w15:chartTrackingRefBased/>
  <w15:docId w15:val="{05DB46C3-F83B-40B7-B75B-8AB51FEA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2EE"/>
    <w:rPr>
      <w:rFonts w:eastAsiaTheme="majorEastAsia" w:cstheme="majorBidi"/>
      <w:color w:val="272727" w:themeColor="text1" w:themeTint="D8"/>
    </w:rPr>
  </w:style>
  <w:style w:type="paragraph" w:styleId="Title">
    <w:name w:val="Title"/>
    <w:basedOn w:val="Normal"/>
    <w:next w:val="Normal"/>
    <w:link w:val="TitleChar"/>
    <w:uiPriority w:val="10"/>
    <w:qFormat/>
    <w:rsid w:val="00EA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2EE"/>
    <w:pPr>
      <w:spacing w:before="160"/>
      <w:jc w:val="center"/>
    </w:pPr>
    <w:rPr>
      <w:i/>
      <w:iCs/>
      <w:color w:val="404040" w:themeColor="text1" w:themeTint="BF"/>
    </w:rPr>
  </w:style>
  <w:style w:type="character" w:customStyle="1" w:styleId="QuoteChar">
    <w:name w:val="Quote Char"/>
    <w:basedOn w:val="DefaultParagraphFont"/>
    <w:link w:val="Quote"/>
    <w:uiPriority w:val="29"/>
    <w:rsid w:val="00EA42EE"/>
    <w:rPr>
      <w:i/>
      <w:iCs/>
      <w:color w:val="404040" w:themeColor="text1" w:themeTint="BF"/>
    </w:rPr>
  </w:style>
  <w:style w:type="paragraph" w:styleId="ListParagraph">
    <w:name w:val="List Paragraph"/>
    <w:basedOn w:val="Normal"/>
    <w:uiPriority w:val="34"/>
    <w:qFormat/>
    <w:rsid w:val="00EA42EE"/>
    <w:pPr>
      <w:ind w:left="720"/>
      <w:contextualSpacing/>
    </w:pPr>
  </w:style>
  <w:style w:type="character" w:styleId="IntenseEmphasis">
    <w:name w:val="Intense Emphasis"/>
    <w:basedOn w:val="DefaultParagraphFont"/>
    <w:uiPriority w:val="21"/>
    <w:qFormat/>
    <w:rsid w:val="00EA42EE"/>
    <w:rPr>
      <w:i/>
      <w:iCs/>
      <w:color w:val="0F4761" w:themeColor="accent1" w:themeShade="BF"/>
    </w:rPr>
  </w:style>
  <w:style w:type="paragraph" w:styleId="IntenseQuote">
    <w:name w:val="Intense Quote"/>
    <w:basedOn w:val="Normal"/>
    <w:next w:val="Normal"/>
    <w:link w:val="IntenseQuoteChar"/>
    <w:uiPriority w:val="30"/>
    <w:qFormat/>
    <w:rsid w:val="00EA4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2EE"/>
    <w:rPr>
      <w:i/>
      <w:iCs/>
      <w:color w:val="0F4761" w:themeColor="accent1" w:themeShade="BF"/>
    </w:rPr>
  </w:style>
  <w:style w:type="character" w:styleId="IntenseReference">
    <w:name w:val="Intense Reference"/>
    <w:basedOn w:val="DefaultParagraphFont"/>
    <w:uiPriority w:val="32"/>
    <w:qFormat/>
    <w:rsid w:val="00EA42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686</Words>
  <Characters>3913</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Fitch</dc:creator>
  <cp:keywords/>
  <dc:description/>
  <cp:lastModifiedBy>Dina Fitch</cp:lastModifiedBy>
  <cp:revision>2</cp:revision>
  <dcterms:created xsi:type="dcterms:W3CDTF">2026-09-30T17:06:00Z</dcterms:created>
  <dcterms:modified xsi:type="dcterms:W3CDTF">2026-09-30T17:06:00Z</dcterms:modified>
</cp:coreProperties>
</file>