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654BD" w14:textId="77777777" w:rsidR="00D732D0" w:rsidRDefault="00D732D0" w:rsidP="00D732D0">
      <w:pPr>
        <w:spacing w:after="0" w:line="240" w:lineRule="auto"/>
      </w:pPr>
      <w:r>
        <w:t>Dear fellow owners,</w:t>
      </w:r>
    </w:p>
    <w:p w14:paraId="65DDC3AE" w14:textId="77777777" w:rsidR="00D732D0" w:rsidRDefault="00D732D0" w:rsidP="00D732D0">
      <w:pPr>
        <w:spacing w:after="0" w:line="240" w:lineRule="auto"/>
      </w:pPr>
    </w:p>
    <w:p w14:paraId="07A8CF11" w14:textId="77777777" w:rsidR="00D732D0" w:rsidRDefault="00D732D0" w:rsidP="00D732D0">
      <w:pPr>
        <w:spacing w:after="0" w:line="240" w:lineRule="auto"/>
      </w:pPr>
      <w:r>
        <w:t>I am Keith Ogden, a former Club Tahoe Board member. I served alongside Keith Wilson and the directors he now recommends. His letter leaves out important facts about their record and substitutes accusations about other owners’ motives for answers about their own decisions.</w:t>
      </w:r>
    </w:p>
    <w:p w14:paraId="721C8562" w14:textId="77777777" w:rsidR="00D732D0" w:rsidRDefault="00D732D0" w:rsidP="00D732D0">
      <w:pPr>
        <w:spacing w:after="0" w:line="240" w:lineRule="auto"/>
      </w:pPr>
    </w:p>
    <w:p w14:paraId="4B35E202" w14:textId="77777777" w:rsidR="00D732D0" w:rsidRDefault="00D732D0" w:rsidP="00D732D0">
      <w:pPr>
        <w:spacing w:after="0" w:line="240" w:lineRule="auto"/>
      </w:pPr>
      <w:r>
        <w:t>Mr. Wilson’s letter appears to have been distributed through the Association’s Mailchimp account, established exclusively for Board communications, or using its owner email list. He is no longer a Board member, yet appears to have used an Association resource to promote his preferred candidates while others lack equivalent access. Who authorized that use, and why were other candidates not given the same opportunity?</w:t>
      </w:r>
    </w:p>
    <w:p w14:paraId="6D2C45A9" w14:textId="77777777" w:rsidR="00D732D0" w:rsidRDefault="00D732D0" w:rsidP="00D732D0">
      <w:pPr>
        <w:spacing w:after="0" w:line="240" w:lineRule="auto"/>
      </w:pPr>
    </w:p>
    <w:p w14:paraId="5679438D" w14:textId="77777777" w:rsidR="00D732D0" w:rsidRDefault="00D732D0" w:rsidP="00D732D0">
      <w:pPr>
        <w:spacing w:after="0" w:line="240" w:lineRule="auto"/>
      </w:pPr>
      <w:r>
        <w:t>I secured a Board seat in April 2025, receiving the most votes in that election. But the deeply flawed GPR agreement had already been pushed through approximately two weeks before owners voted. I had no opportunity as a director to review, negotiate or vote on it.</w:t>
      </w:r>
    </w:p>
    <w:p w14:paraId="05216C71" w14:textId="77777777" w:rsidR="00D732D0" w:rsidRDefault="00D732D0" w:rsidP="00D732D0">
      <w:pPr>
        <w:spacing w:after="0" w:line="240" w:lineRule="auto"/>
      </w:pPr>
    </w:p>
    <w:p w14:paraId="6E49D3F6" w14:textId="77777777" w:rsidR="00D732D0" w:rsidRDefault="00D732D0" w:rsidP="00D732D0">
      <w:pPr>
        <w:spacing w:after="0" w:line="240" w:lineRule="auto"/>
      </w:pPr>
      <w:r>
        <w:t>Once seated, I found that the four incumbent directors, Pearl, Wilson, DeAlba and Wall, could block my efforts to obtain financial transparency and engage owners. Requests for records, meeting minutes, election accountability and meaningful owner participation were obstructed or left unanswered.</w:t>
      </w:r>
    </w:p>
    <w:p w14:paraId="215564F4" w14:textId="77777777" w:rsidR="00D732D0" w:rsidRDefault="00D732D0" w:rsidP="00D732D0">
      <w:pPr>
        <w:spacing w:after="0" w:line="240" w:lineRule="auto"/>
      </w:pPr>
    </w:p>
    <w:p w14:paraId="640E9D5C" w14:textId="77777777" w:rsidR="00D732D0" w:rsidRDefault="00D732D0" w:rsidP="00D732D0">
      <w:pPr>
        <w:spacing w:after="0" w:line="240" w:lineRule="auto"/>
      </w:pPr>
      <w:r>
        <w:t>Those same four directors had been in place throughout the entire ten-year Tricom contract. They only pressured Tricom after a vocal group of owners challenged their oversight and management of the Association. Owners also pointed out that neither the Tricom contract nor the replacement GPR agreement contained performance requirements backed by penalties for failing to meet them. Changing management companies without securing those protections did not solve the accountability problem.</w:t>
      </w:r>
    </w:p>
    <w:p w14:paraId="1FB7BF85" w14:textId="77777777" w:rsidR="00D732D0" w:rsidRDefault="00D732D0" w:rsidP="00D732D0">
      <w:pPr>
        <w:spacing w:after="0" w:line="240" w:lineRule="auto"/>
      </w:pPr>
    </w:p>
    <w:p w14:paraId="673B16C6" w14:textId="77777777" w:rsidR="00D732D0" w:rsidRDefault="00D732D0" w:rsidP="00D732D0">
      <w:pPr>
        <w:spacing w:after="0" w:line="240" w:lineRule="auto"/>
      </w:pPr>
      <w:r>
        <w:t>The owners Mr. Wilson now dismisses as “disgruntled” were demanding that these failures be addressed.</w:t>
      </w:r>
    </w:p>
    <w:p w14:paraId="60E59261" w14:textId="77777777" w:rsidR="00D732D0" w:rsidRDefault="00D732D0" w:rsidP="00D732D0">
      <w:pPr>
        <w:spacing w:after="0" w:line="240" w:lineRule="auto"/>
      </w:pPr>
    </w:p>
    <w:p w14:paraId="622D7505" w14:textId="77777777" w:rsidR="00D732D0" w:rsidRDefault="00D732D0" w:rsidP="00D732D0">
      <w:pPr>
        <w:spacing w:after="0" w:line="240" w:lineRule="auto"/>
      </w:pPr>
      <w:r>
        <w:t xml:space="preserve">Mr. Wilson emphasizes that the former directors worked with “ZERO PAY.” Volunteer service deserves appreciation, but it does not excuse harmful decisions. A volunteer firefighter does not get excused for setting fire to your house because he is a volunteer. A volunteer Board member likewise does not get excused for bankrupting the Association because he served without pay. </w:t>
      </w:r>
    </w:p>
    <w:p w14:paraId="04EF1C3C" w14:textId="77777777" w:rsidR="00D732D0" w:rsidRDefault="00D732D0" w:rsidP="00D732D0">
      <w:pPr>
        <w:spacing w:after="0" w:line="240" w:lineRule="auto"/>
      </w:pPr>
    </w:p>
    <w:p w14:paraId="641ACDFC" w14:textId="77777777" w:rsidR="00D732D0" w:rsidRDefault="00D732D0" w:rsidP="00D732D0">
      <w:pPr>
        <w:spacing w:after="0" w:line="240" w:lineRule="auto"/>
      </w:pPr>
      <w:r>
        <w:t>Under the GPR arrangement Mr. Wilson champions, more than $1 million has been borrowed from the Association’s reserves to fund operating expenses. There is no plan to return operations to break even or replenish those reserves. Covering recurring deficits with reserves consumes funds needed for the property’s future while postponing the decisions necessary to make operations sustainable.</w:t>
      </w:r>
    </w:p>
    <w:p w14:paraId="735D327B" w14:textId="77777777" w:rsidR="00D732D0" w:rsidRDefault="00D732D0" w:rsidP="00D732D0">
      <w:pPr>
        <w:spacing w:after="0" w:line="240" w:lineRule="auto"/>
      </w:pPr>
    </w:p>
    <w:p w14:paraId="59669523" w14:textId="77777777" w:rsidR="00D732D0" w:rsidRDefault="00D732D0" w:rsidP="00D732D0">
      <w:pPr>
        <w:spacing w:after="0" w:line="240" w:lineRule="auto"/>
      </w:pPr>
      <w:r>
        <w:t xml:space="preserve">His warnings about liquidation omit the financial incentives in the GPR agreement his Board approved. Exhibit F expressly contemplates winding up, bankruptcy, dissolution and sale of the </w:t>
      </w:r>
      <w:r>
        <w:lastRenderedPageBreak/>
        <w:t>resort. It provides for a 25% repurposing fee tied to the sale price, subject to specified deductions, in addition to management fees and reimbursable expenses.</w:t>
      </w:r>
    </w:p>
    <w:p w14:paraId="4F7454AD" w14:textId="77777777" w:rsidR="00D732D0" w:rsidRDefault="00D732D0" w:rsidP="00D732D0">
      <w:pPr>
        <w:spacing w:after="0" w:line="240" w:lineRule="auto"/>
      </w:pPr>
    </w:p>
    <w:p w14:paraId="3CE15F71" w14:textId="77777777" w:rsidR="00D732D0" w:rsidRDefault="00D732D0" w:rsidP="00D732D0">
      <w:pPr>
        <w:spacing w:after="0" w:line="240" w:lineRule="auto"/>
      </w:pPr>
      <w:r>
        <w:t>Under its early termination provisions, a 15% title-clearance component becomes fully payable upon specified milestones, including a bankruptcy filing. A separate 3% liquidation component becomes payable upon engagement of a listing broker, whether or not an offer is received. While these are allocations of the repurposing fee, not additional percentages on top of the 25%, they can create substantial obligations without a sale closing.</w:t>
      </w:r>
    </w:p>
    <w:p w14:paraId="2D174FCA" w14:textId="77777777" w:rsidR="00D732D0" w:rsidRDefault="00D732D0" w:rsidP="00D732D0">
      <w:pPr>
        <w:spacing w:after="0" w:line="240" w:lineRule="auto"/>
      </w:pPr>
    </w:p>
    <w:p w14:paraId="725CB4C6" w14:textId="77777777" w:rsidR="00D732D0" w:rsidRDefault="00D732D0" w:rsidP="00D732D0">
      <w:pPr>
        <w:spacing w:after="0" w:line="240" w:lineRule="auto"/>
      </w:pPr>
      <w:r>
        <w:t xml:space="preserve">The agreement also permits GPR to advance funds at 10% interest, potentially secured by a deed of trust, when the Association has forecasted negative cash flow and cannot meet operating expenses. The entity that is responsible for ensuring positive cash flow gets rewarded for failing to do their job, not punished? </w:t>
      </w:r>
    </w:p>
    <w:p w14:paraId="698FF934" w14:textId="77777777" w:rsidR="00D732D0" w:rsidRDefault="00D732D0" w:rsidP="00D732D0">
      <w:pPr>
        <w:spacing w:after="0" w:line="240" w:lineRule="auto"/>
      </w:pPr>
    </w:p>
    <w:p w14:paraId="535821AC" w14:textId="77777777" w:rsidR="00D732D0" w:rsidRDefault="00D732D0" w:rsidP="00D732D0">
      <w:pPr>
        <w:spacing w:after="0" w:line="240" w:lineRule="auto"/>
      </w:pPr>
      <w:r>
        <w:t>These provisions create opportunities for GPR to earn substantial compensation from financial distress, repurposing and sale. They do not establish that GPR intends to cause bankruptcy. They make independent oversight, full disclosure and a credible plan to restore financial stability essential.</w:t>
      </w:r>
    </w:p>
    <w:p w14:paraId="77109EE5" w14:textId="77777777" w:rsidR="00D732D0" w:rsidRDefault="00D732D0" w:rsidP="00D732D0">
      <w:pPr>
        <w:spacing w:after="0" w:line="240" w:lineRule="auto"/>
      </w:pPr>
    </w:p>
    <w:p w14:paraId="53ACA81C" w14:textId="77777777" w:rsidR="00D732D0" w:rsidRDefault="00D732D0" w:rsidP="00D732D0">
      <w:pPr>
        <w:spacing w:after="0" w:line="240" w:lineRule="auto"/>
      </w:pPr>
      <w:r>
        <w:t>Mr. Pearl signed the agreement as President; Mr. Wilson certified its approval as Secretary. Yet the prior Board refused to publish the contract to the ownership and had no meeting minutes of any of the contract awarding process. Mr. Wilson should explain these contractual incentives and his lack of disclosure before accusing other owners of a liquidation agenda.</w:t>
      </w:r>
    </w:p>
    <w:p w14:paraId="21BA09D3" w14:textId="77777777" w:rsidR="00D732D0" w:rsidRDefault="00D732D0" w:rsidP="00D732D0">
      <w:pPr>
        <w:spacing w:after="0" w:line="240" w:lineRule="auto"/>
      </w:pPr>
    </w:p>
    <w:p w14:paraId="79179A59" w14:textId="77777777" w:rsidR="00D732D0" w:rsidRDefault="00D732D0" w:rsidP="00D732D0">
      <w:pPr>
        <w:spacing w:after="0" w:line="240" w:lineRule="auto"/>
      </w:pPr>
      <w:r>
        <w:t>His account of the recall also omits the unanswered demands that preceded it. Owners requested a special meeting, followed by formal requests from Director Christina Becker and me. Those requests went unanswered. The certified October 25 tally recorded 641 votes to recall the entire Board and none opposed. That included me, and I was subsequently elected to the replacement Board.</w:t>
      </w:r>
    </w:p>
    <w:p w14:paraId="1989391A" w14:textId="77777777" w:rsidR="00D732D0" w:rsidRDefault="00D732D0" w:rsidP="00D732D0">
      <w:pPr>
        <w:spacing w:after="0" w:line="240" w:lineRule="auto"/>
      </w:pPr>
    </w:p>
    <w:p w14:paraId="40605C28" w14:textId="77777777" w:rsidR="00D732D0" w:rsidRDefault="00D732D0" w:rsidP="00D732D0">
      <w:pPr>
        <w:spacing w:after="0" w:line="240" w:lineRule="auto"/>
      </w:pPr>
      <w:r>
        <w:t>The former Board disputed the recall while excluding Director Becker and me from its meetings. If it considered the recall invalid, it also needed to recognize our continuing seats. My written objection went unanswered.</w:t>
      </w:r>
    </w:p>
    <w:p w14:paraId="4BBC4FD5" w14:textId="77777777" w:rsidR="00D732D0" w:rsidRDefault="00D732D0" w:rsidP="00D732D0">
      <w:pPr>
        <w:spacing w:after="0" w:line="240" w:lineRule="auto"/>
      </w:pPr>
    </w:p>
    <w:p w14:paraId="124F8E66" w14:textId="77777777" w:rsidR="00D732D0" w:rsidRDefault="00D732D0" w:rsidP="00D732D0">
      <w:pPr>
        <w:spacing w:after="0" w:line="240" w:lineRule="auto"/>
      </w:pPr>
      <w:r>
        <w:t>Litigation costs matter. So do the decisions and failures to respond that preceded litigation. Blaming owners seeking records, fair elections and financial accountability does not explain those failures.</w:t>
      </w:r>
    </w:p>
    <w:p w14:paraId="1116A7BD" w14:textId="77777777" w:rsidR="00D732D0" w:rsidRDefault="00D732D0" w:rsidP="00D732D0">
      <w:pPr>
        <w:spacing w:after="0" w:line="240" w:lineRule="auto"/>
      </w:pPr>
    </w:p>
    <w:p w14:paraId="2D2DB87B" w14:textId="77777777" w:rsidR="00D732D0" w:rsidRDefault="00D732D0" w:rsidP="00D732D0">
      <w:pPr>
        <w:spacing w:after="0" w:line="240" w:lineRule="auto"/>
      </w:pPr>
      <w:r>
        <w:t>My commitment is to protect owners’ financial and property interests, oversee management independently and provide accurate information about Club Tahoe’s future. Owners deserve a sustainable operating plan and an informed choice about the approaching sunset decision.</w:t>
      </w:r>
    </w:p>
    <w:p w14:paraId="4E0B10B6" w14:textId="77777777" w:rsidR="00D732D0" w:rsidRDefault="00D732D0" w:rsidP="00D732D0">
      <w:pPr>
        <w:spacing w:after="0" w:line="240" w:lineRule="auto"/>
      </w:pPr>
    </w:p>
    <w:p w14:paraId="198D01A4" w14:textId="77777777" w:rsidR="00D732D0" w:rsidRDefault="00D732D0" w:rsidP="00D732D0">
      <w:pPr>
        <w:spacing w:after="0" w:line="240" w:lineRule="auto"/>
      </w:pPr>
      <w:r>
        <w:t xml:space="preserve">Please judge candidates by their record, independence and willingness to answer difficult questions. Club Tahoe needs directors who will confront the deficit, protect reserves, insist on </w:t>
      </w:r>
      <w:r>
        <w:lastRenderedPageBreak/>
        <w:t>management accountability and welcome owner participation. Association resources should serve all owners fairly.</w:t>
      </w:r>
    </w:p>
    <w:p w14:paraId="5184BD27" w14:textId="77777777" w:rsidR="00D732D0" w:rsidRDefault="00D732D0" w:rsidP="00D732D0">
      <w:pPr>
        <w:spacing w:after="0" w:line="240" w:lineRule="auto"/>
      </w:pPr>
    </w:p>
    <w:p w14:paraId="6C59736E" w14:textId="77777777" w:rsidR="00D732D0" w:rsidRDefault="00D732D0" w:rsidP="00D732D0">
      <w:pPr>
        <w:spacing w:after="0" w:line="240" w:lineRule="auto"/>
      </w:pPr>
      <w:r>
        <w:t>Sincerely,</w:t>
      </w:r>
    </w:p>
    <w:p w14:paraId="3EAE433D" w14:textId="77777777" w:rsidR="00D732D0" w:rsidRDefault="00D732D0" w:rsidP="00D732D0">
      <w:pPr>
        <w:spacing w:after="0" w:line="240" w:lineRule="auto"/>
      </w:pPr>
      <w:r>
        <w:t>Keith Ogden</w:t>
      </w:r>
    </w:p>
    <w:p w14:paraId="6676883B" w14:textId="3E5653CD" w:rsidR="008E36D9" w:rsidRPr="00D732D0" w:rsidRDefault="00D732D0" w:rsidP="00D732D0">
      <w:pPr>
        <w:spacing w:after="0" w:line="240" w:lineRule="auto"/>
      </w:pPr>
      <w:r>
        <w:t>Owner and Former Club Tahoe Board Member</w:t>
      </w:r>
    </w:p>
    <w:sectPr w:rsidR="008E36D9" w:rsidRPr="00D732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2D0"/>
    <w:rsid w:val="000A1052"/>
    <w:rsid w:val="00431B81"/>
    <w:rsid w:val="008E36D9"/>
    <w:rsid w:val="00D732D0"/>
    <w:rsid w:val="00EA4843"/>
    <w:rsid w:val="00FC6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4E059"/>
  <w15:chartTrackingRefBased/>
  <w15:docId w15:val="{30B58A48-B1C9-4590-808A-A3DDF6ED7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32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732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732D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732D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732D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732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32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32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32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32D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732D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732D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732D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732D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732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32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32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32D0"/>
    <w:rPr>
      <w:rFonts w:eastAsiaTheme="majorEastAsia" w:cstheme="majorBidi"/>
      <w:color w:val="272727" w:themeColor="text1" w:themeTint="D8"/>
    </w:rPr>
  </w:style>
  <w:style w:type="paragraph" w:styleId="Title">
    <w:name w:val="Title"/>
    <w:basedOn w:val="Normal"/>
    <w:next w:val="Normal"/>
    <w:link w:val="TitleChar"/>
    <w:uiPriority w:val="10"/>
    <w:qFormat/>
    <w:rsid w:val="00D732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32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32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32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32D0"/>
    <w:pPr>
      <w:spacing w:before="160"/>
      <w:jc w:val="center"/>
    </w:pPr>
    <w:rPr>
      <w:i/>
      <w:iCs/>
      <w:color w:val="404040" w:themeColor="text1" w:themeTint="BF"/>
    </w:rPr>
  </w:style>
  <w:style w:type="character" w:customStyle="1" w:styleId="QuoteChar">
    <w:name w:val="Quote Char"/>
    <w:basedOn w:val="DefaultParagraphFont"/>
    <w:link w:val="Quote"/>
    <w:uiPriority w:val="29"/>
    <w:rsid w:val="00D732D0"/>
    <w:rPr>
      <w:i/>
      <w:iCs/>
      <w:color w:val="404040" w:themeColor="text1" w:themeTint="BF"/>
    </w:rPr>
  </w:style>
  <w:style w:type="paragraph" w:styleId="ListParagraph">
    <w:name w:val="List Paragraph"/>
    <w:basedOn w:val="Normal"/>
    <w:uiPriority w:val="34"/>
    <w:qFormat/>
    <w:rsid w:val="00D732D0"/>
    <w:pPr>
      <w:ind w:left="720"/>
      <w:contextualSpacing/>
    </w:pPr>
  </w:style>
  <w:style w:type="character" w:styleId="IntenseEmphasis">
    <w:name w:val="Intense Emphasis"/>
    <w:basedOn w:val="DefaultParagraphFont"/>
    <w:uiPriority w:val="21"/>
    <w:qFormat/>
    <w:rsid w:val="00D732D0"/>
    <w:rPr>
      <w:i/>
      <w:iCs/>
      <w:color w:val="2F5496" w:themeColor="accent1" w:themeShade="BF"/>
    </w:rPr>
  </w:style>
  <w:style w:type="paragraph" w:styleId="IntenseQuote">
    <w:name w:val="Intense Quote"/>
    <w:basedOn w:val="Normal"/>
    <w:next w:val="Normal"/>
    <w:link w:val="IntenseQuoteChar"/>
    <w:uiPriority w:val="30"/>
    <w:qFormat/>
    <w:rsid w:val="00D732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732D0"/>
    <w:rPr>
      <w:i/>
      <w:iCs/>
      <w:color w:val="2F5496" w:themeColor="accent1" w:themeShade="BF"/>
    </w:rPr>
  </w:style>
  <w:style w:type="character" w:styleId="IntenseReference">
    <w:name w:val="Intense Reference"/>
    <w:basedOn w:val="DefaultParagraphFont"/>
    <w:uiPriority w:val="32"/>
    <w:qFormat/>
    <w:rsid w:val="00D732D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874</Words>
  <Characters>4988</Characters>
  <Application>Microsoft Office Word</Application>
  <DocSecurity>0</DocSecurity>
  <Lines>41</Lines>
  <Paragraphs>11</Paragraphs>
  <ScaleCrop>false</ScaleCrop>
  <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Fitch</dc:creator>
  <cp:keywords/>
  <dc:description/>
  <cp:lastModifiedBy>Dina Fitch</cp:lastModifiedBy>
  <cp:revision>1</cp:revision>
  <dcterms:created xsi:type="dcterms:W3CDTF">2026-10-09T23:00:00Z</dcterms:created>
  <dcterms:modified xsi:type="dcterms:W3CDTF">2026-10-09T23:02:00Z</dcterms:modified>
</cp:coreProperties>
</file>