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DBF4" w14:textId="55947AF3" w:rsidR="00225A61" w:rsidRPr="00D713F6" w:rsidRDefault="00D713F6" w:rsidP="00D713F6">
      <w:pPr>
        <w:pBdr>
          <w:bottom w:val="single" w:sz="6" w:space="1" w:color="auto"/>
        </w:pBdr>
        <w:spacing w:after="0" w:line="240" w:lineRule="auto"/>
        <w:rPr>
          <w:rFonts w:ascii="Arial" w:eastAsia="Times New Roman" w:hAnsi="Arial" w:cs="Arial"/>
          <w:b/>
          <w:bCs/>
          <w:color w:val="000000"/>
          <w:kern w:val="0"/>
          <w:sz w:val="24"/>
          <w:szCs w:val="24"/>
          <w14:ligatures w14:val="none"/>
        </w:rPr>
      </w:pPr>
      <w:proofErr w:type="spellStart"/>
      <w:r w:rsidRPr="00064694">
        <w:rPr>
          <w:rFonts w:ascii="Arial" w:eastAsia="Times New Roman" w:hAnsi="Arial" w:cs="Arial"/>
          <w:b/>
          <w:bCs/>
          <w:color w:val="000000"/>
          <w:kern w:val="0"/>
          <w:sz w:val="24"/>
          <w:szCs w:val="24"/>
          <w14:ligatures w14:val="none"/>
        </w:rPr>
        <w:t>Tirzepatide</w:t>
      </w:r>
      <w:proofErr w:type="spellEnd"/>
      <w:r>
        <w:rPr>
          <w:rFonts w:ascii="Arial" w:eastAsia="Times New Roman" w:hAnsi="Arial" w:cs="Arial"/>
          <w:color w:val="000000"/>
          <w:kern w:val="0"/>
          <w:sz w:val="24"/>
          <w:szCs w:val="24"/>
          <w14:ligatures w14:val="none"/>
        </w:rPr>
        <w:t xml:space="preserve"> (MOUNJARO/</w:t>
      </w:r>
      <w:r w:rsidRPr="007C35E6">
        <w:rPr>
          <w:rFonts w:ascii="Arial" w:eastAsia="Times New Roman" w:hAnsi="Arial" w:cs="Arial"/>
          <w:color w:val="000000"/>
          <w:kern w:val="0"/>
          <w:sz w:val="24"/>
          <w:szCs w:val="24"/>
          <w14:ligatures w14:val="none"/>
        </w:rPr>
        <w:t>ZEPBOUND</w:t>
      </w:r>
      <w:r w:rsidRPr="007C35E6">
        <w:rPr>
          <w:rFonts w:ascii="Arial" w:eastAsia="Times New Roman" w:hAnsi="Arial" w:cs="Arial"/>
          <w:color w:val="000000"/>
          <w:kern w:val="0"/>
          <w:sz w:val="19"/>
          <w:szCs w:val="19"/>
          <w14:ligatures w14:val="none"/>
        </w:rPr>
        <w:t>®</w:t>
      </w:r>
      <w:r>
        <w:rPr>
          <w:rFonts w:ascii="Arial" w:eastAsia="Times New Roman" w:hAnsi="Arial" w:cs="Arial"/>
          <w:color w:val="000000"/>
          <w:kern w:val="0"/>
          <w:sz w:val="19"/>
          <w:szCs w:val="19"/>
          <w14:ligatures w14:val="none"/>
        </w:rPr>
        <w:t>)</w:t>
      </w:r>
      <w:r w:rsidRPr="007C35E6">
        <w:rPr>
          <w:rFonts w:ascii="Arial" w:eastAsia="Times New Roman" w:hAnsi="Arial" w:cs="Arial"/>
          <w:color w:val="000000"/>
          <w:kern w:val="0"/>
          <w:sz w:val="24"/>
          <w:szCs w:val="24"/>
          <w14:ligatures w14:val="none"/>
        </w:rPr>
        <w:t> </w:t>
      </w:r>
      <w:r w:rsidR="007C35E6" w:rsidRPr="007C35E6">
        <w:rPr>
          <w:rFonts w:ascii="Arial" w:eastAsia="Times New Roman" w:hAnsi="Arial" w:cs="Arial"/>
          <w:b/>
          <w:bCs/>
          <w:color w:val="000000"/>
          <w:kern w:val="0"/>
          <w:sz w:val="24"/>
          <w:szCs w:val="24"/>
          <w14:ligatures w14:val="none"/>
        </w:rPr>
        <w:t>injection, solution </w:t>
      </w:r>
      <w:r w:rsidR="007C35E6" w:rsidRPr="007C35E6">
        <w:rPr>
          <w:rFonts w:ascii="Arial" w:eastAsia="Times New Roman" w:hAnsi="Arial" w:cs="Arial"/>
          <w:b/>
          <w:bCs/>
          <w:color w:val="000000"/>
          <w:kern w:val="0"/>
          <w:sz w:val="24"/>
          <w:szCs w:val="24"/>
          <w14:ligatures w14:val="none"/>
        </w:rPr>
        <w:br/>
        <w:t>Eli Lilly and Company</w:t>
      </w:r>
    </w:p>
    <w:p w14:paraId="41310123"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INDICATIONS AND USAGE</w:t>
      </w:r>
    </w:p>
    <w:p w14:paraId="1005843E" w14:textId="7B2734F3" w:rsidR="00AA3416" w:rsidRPr="00813103" w:rsidRDefault="00064694" w:rsidP="00023377">
      <w:pPr>
        <w:pStyle w:val="ListParagraph"/>
        <w:numPr>
          <w:ilvl w:val="0"/>
          <w:numId w:val="17"/>
        </w:numPr>
        <w:spacing w:before="144" w:after="0" w:line="240" w:lineRule="auto"/>
        <w:rPr>
          <w:rFonts w:ascii="Arial" w:eastAsia="Times New Roman" w:hAnsi="Arial" w:cs="Arial"/>
          <w:color w:val="000000"/>
          <w:kern w:val="0"/>
          <w:sz w:val="20"/>
          <w:szCs w:val="20"/>
          <w14:ligatures w14:val="none"/>
        </w:rPr>
      </w:pPr>
      <w:proofErr w:type="spellStart"/>
      <w:r w:rsidRPr="00813103">
        <w:rPr>
          <w:rFonts w:ascii="Arial" w:eastAsia="Times New Roman" w:hAnsi="Arial" w:cs="Arial"/>
          <w:b/>
          <w:bCs/>
          <w:color w:val="000000"/>
          <w:kern w:val="0"/>
          <w:sz w:val="20"/>
          <w:szCs w:val="20"/>
          <w14:ligatures w14:val="none"/>
        </w:rPr>
        <w:t>Tirzepatide</w:t>
      </w:r>
      <w:proofErr w:type="spellEnd"/>
      <w:r w:rsidRPr="00813103">
        <w:rPr>
          <w:rFonts w:ascii="Arial" w:eastAsia="Times New Roman" w:hAnsi="Arial" w:cs="Arial"/>
          <w:color w:val="000000"/>
          <w:kern w:val="0"/>
          <w:sz w:val="20"/>
          <w:szCs w:val="20"/>
          <w14:ligatures w14:val="none"/>
        </w:rPr>
        <w:t xml:space="preserve"> (</w:t>
      </w:r>
      <w:r w:rsidR="00AA3416" w:rsidRPr="00813103">
        <w:rPr>
          <w:rFonts w:ascii="Arial" w:eastAsia="Times New Roman" w:hAnsi="Arial" w:cs="Arial"/>
          <w:color w:val="000000"/>
          <w:kern w:val="0"/>
          <w:sz w:val="20"/>
          <w:szCs w:val="20"/>
          <w14:ligatures w14:val="none"/>
        </w:rPr>
        <w:t>MOUNJARO/ZEPBOUND®</w:t>
      </w:r>
      <w:r w:rsidRPr="00813103">
        <w:rPr>
          <w:rFonts w:ascii="Arial" w:eastAsia="Times New Roman" w:hAnsi="Arial" w:cs="Arial"/>
          <w:color w:val="000000"/>
          <w:kern w:val="0"/>
          <w:sz w:val="20"/>
          <w:szCs w:val="20"/>
          <w14:ligatures w14:val="none"/>
        </w:rPr>
        <w:t>)</w:t>
      </w:r>
      <w:r w:rsidR="00AA3416" w:rsidRPr="00813103">
        <w:rPr>
          <w:rFonts w:ascii="Arial" w:eastAsia="Times New Roman" w:hAnsi="Arial" w:cs="Arial"/>
          <w:color w:val="000000"/>
          <w:kern w:val="0"/>
          <w:sz w:val="20"/>
          <w:szCs w:val="20"/>
          <w14:ligatures w14:val="none"/>
        </w:rPr>
        <w:t> is a glucose-dependent insulinotropic polypeptide (GIP) receptor and glucagon-like peptide-1 (GLP-1) receptor agonist indicated as an adjunct to a reduced-calorie diet and increased physical activity for chronic weight management in adults</w:t>
      </w:r>
      <w:r w:rsidR="003001C9">
        <w:rPr>
          <w:rFonts w:ascii="Arial" w:eastAsia="Times New Roman" w:hAnsi="Arial" w:cs="Arial"/>
          <w:color w:val="000000"/>
          <w:kern w:val="0"/>
          <w:sz w:val="20"/>
          <w:szCs w:val="20"/>
          <w14:ligatures w14:val="none"/>
        </w:rPr>
        <w:t xml:space="preserve"> </w:t>
      </w:r>
      <w:r w:rsidR="008C6551">
        <w:rPr>
          <w:rFonts w:ascii="Arial" w:eastAsia="Times New Roman" w:hAnsi="Arial" w:cs="Arial"/>
          <w:color w:val="000000"/>
          <w:kern w:val="0"/>
          <w:sz w:val="20"/>
          <w:szCs w:val="20"/>
          <w14:ligatures w14:val="none"/>
        </w:rPr>
        <w:t xml:space="preserve">18 </w:t>
      </w:r>
      <w:r w:rsidR="00F22BCF">
        <w:rPr>
          <w:rFonts w:ascii="Arial" w:eastAsia="Times New Roman" w:hAnsi="Arial" w:cs="Arial"/>
          <w:color w:val="000000"/>
          <w:kern w:val="0"/>
          <w:sz w:val="20"/>
          <w:szCs w:val="20"/>
          <w14:ligatures w14:val="none"/>
        </w:rPr>
        <w:t xml:space="preserve">years </w:t>
      </w:r>
      <w:r w:rsidR="003001C9">
        <w:rPr>
          <w:rFonts w:ascii="Arial" w:eastAsia="Times New Roman" w:hAnsi="Arial" w:cs="Arial"/>
          <w:color w:val="000000"/>
          <w:kern w:val="0"/>
          <w:sz w:val="20"/>
          <w:szCs w:val="20"/>
          <w14:ligatures w14:val="none"/>
        </w:rPr>
        <w:t xml:space="preserve">and </w:t>
      </w:r>
      <w:r w:rsidR="00F22BCF">
        <w:rPr>
          <w:rFonts w:ascii="Arial" w:eastAsia="Times New Roman" w:hAnsi="Arial" w:cs="Arial"/>
          <w:color w:val="000000"/>
          <w:kern w:val="0"/>
          <w:sz w:val="20"/>
          <w:szCs w:val="20"/>
          <w14:ligatures w14:val="none"/>
        </w:rPr>
        <w:t>old</w:t>
      </w:r>
      <w:r w:rsidR="003001C9">
        <w:rPr>
          <w:rFonts w:ascii="Arial" w:eastAsia="Times New Roman" w:hAnsi="Arial" w:cs="Arial"/>
          <w:color w:val="000000"/>
          <w:kern w:val="0"/>
          <w:sz w:val="20"/>
          <w:szCs w:val="20"/>
          <w14:ligatures w14:val="none"/>
        </w:rPr>
        <w:t>er</w:t>
      </w:r>
      <w:r w:rsidR="00F22BCF">
        <w:rPr>
          <w:rFonts w:ascii="Arial" w:eastAsia="Times New Roman" w:hAnsi="Arial" w:cs="Arial"/>
          <w:color w:val="000000"/>
          <w:kern w:val="0"/>
          <w:sz w:val="20"/>
          <w:szCs w:val="20"/>
          <w14:ligatures w14:val="none"/>
        </w:rPr>
        <w:t xml:space="preserve">, </w:t>
      </w:r>
      <w:r w:rsidR="00AA3416" w:rsidRPr="00813103">
        <w:rPr>
          <w:rFonts w:ascii="Arial" w:eastAsia="Times New Roman" w:hAnsi="Arial" w:cs="Arial"/>
          <w:color w:val="000000"/>
          <w:kern w:val="0"/>
          <w:sz w:val="20"/>
          <w:szCs w:val="20"/>
          <w14:ligatures w14:val="none"/>
        </w:rPr>
        <w:t>with an initial body mass index (BMI) of:</w:t>
      </w:r>
    </w:p>
    <w:p w14:paraId="3EAF00E9" w14:textId="77777777" w:rsidR="00AA3416" w:rsidRPr="007C35E6" w:rsidRDefault="00AA3416" w:rsidP="00AA3416">
      <w:pPr>
        <w:numPr>
          <w:ilvl w:val="0"/>
          <w:numId w:val="11"/>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30 kg/m2 or greater (obesity) or</w:t>
      </w:r>
    </w:p>
    <w:p w14:paraId="5AC2C1EF" w14:textId="030E9CAE" w:rsidR="00AA3416" w:rsidRPr="007C35E6" w:rsidRDefault="00AA3416" w:rsidP="00AA3416">
      <w:pPr>
        <w:numPr>
          <w:ilvl w:val="0"/>
          <w:numId w:val="11"/>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27 kg/m2 or greater (overweight) in the presence of at least one weight-related comorbid condition (e.g., hypertension, dyslipidemia, type 2 diabetes mellitus, obstructive sleep apnea or cardiovascular disease).</w:t>
      </w:r>
    </w:p>
    <w:p w14:paraId="7C96DF1D" w14:textId="77777777" w:rsidR="00AA3416" w:rsidRPr="00813103" w:rsidRDefault="00AA3416" w:rsidP="00983642">
      <w:pPr>
        <w:pStyle w:val="ListParagraph"/>
        <w:numPr>
          <w:ilvl w:val="0"/>
          <w:numId w:val="17"/>
        </w:numPr>
        <w:spacing w:before="144" w:after="0" w:line="240" w:lineRule="auto"/>
        <w:rPr>
          <w:rFonts w:ascii="Arial" w:eastAsia="Times New Roman" w:hAnsi="Arial" w:cs="Arial"/>
          <w:color w:val="000000"/>
          <w:kern w:val="0"/>
          <w:sz w:val="20"/>
          <w:szCs w:val="20"/>
          <w14:ligatures w14:val="none"/>
        </w:rPr>
      </w:pPr>
      <w:r w:rsidRPr="00813103">
        <w:rPr>
          <w:rFonts w:ascii="Arial" w:eastAsia="Times New Roman" w:hAnsi="Arial" w:cs="Arial"/>
          <w:color w:val="000000"/>
          <w:kern w:val="0"/>
          <w:sz w:val="20"/>
          <w:szCs w:val="20"/>
          <w14:ligatures w14:val="none"/>
        </w:rPr>
        <w:t>Limitations of Use:</w:t>
      </w:r>
    </w:p>
    <w:p w14:paraId="42FA4DF3" w14:textId="352C3667" w:rsidR="00AA3416" w:rsidRPr="007C35E6" w:rsidRDefault="00AA3416" w:rsidP="00AA3416">
      <w:pPr>
        <w:numPr>
          <w:ilvl w:val="0"/>
          <w:numId w:val="12"/>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 xml:space="preserve">Coadministration with other </w:t>
      </w:r>
      <w:proofErr w:type="spellStart"/>
      <w:r w:rsidRPr="007C35E6">
        <w:rPr>
          <w:rFonts w:ascii="Arial" w:eastAsia="Times New Roman" w:hAnsi="Arial" w:cs="Arial"/>
          <w:color w:val="000000"/>
          <w:kern w:val="0"/>
          <w:sz w:val="20"/>
          <w:szCs w:val="20"/>
          <w14:ligatures w14:val="none"/>
        </w:rPr>
        <w:t>tirzepatide</w:t>
      </w:r>
      <w:proofErr w:type="spellEnd"/>
      <w:r w:rsidRPr="007C35E6">
        <w:rPr>
          <w:rFonts w:ascii="Arial" w:eastAsia="Times New Roman" w:hAnsi="Arial" w:cs="Arial"/>
          <w:color w:val="000000"/>
          <w:kern w:val="0"/>
          <w:sz w:val="20"/>
          <w:szCs w:val="20"/>
          <w14:ligatures w14:val="none"/>
        </w:rPr>
        <w:t>-containing products or any GLP-1 receptor agonist is not recommended. (</w:t>
      </w:r>
      <w:r w:rsidR="00B46B98" w:rsidRPr="00813103">
        <w:rPr>
          <w:rFonts w:ascii="Arial" w:eastAsia="Times New Roman" w:hAnsi="Arial" w:cs="Arial"/>
          <w:color w:val="000000"/>
          <w:kern w:val="0"/>
          <w:sz w:val="20"/>
          <w:szCs w:val="20"/>
          <w14:ligatures w14:val="none"/>
        </w:rPr>
        <w:t>Example: Ozempic, Wegovy, Semaglutide</w:t>
      </w:r>
      <w:r w:rsidRPr="007C35E6">
        <w:rPr>
          <w:rFonts w:ascii="Arial" w:eastAsia="Times New Roman" w:hAnsi="Arial" w:cs="Arial"/>
          <w:color w:val="000000"/>
          <w:kern w:val="0"/>
          <w:sz w:val="20"/>
          <w:szCs w:val="20"/>
          <w14:ligatures w14:val="none"/>
        </w:rPr>
        <w:t>)</w:t>
      </w:r>
    </w:p>
    <w:p w14:paraId="178D4B35" w14:textId="5CA4C2FC" w:rsidR="00AA3416" w:rsidRPr="007C35E6" w:rsidRDefault="00AA3416" w:rsidP="00AA3416">
      <w:pPr>
        <w:numPr>
          <w:ilvl w:val="0"/>
          <w:numId w:val="12"/>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The safety and efficacy of coadministration with other products for weight management have not been established.</w:t>
      </w:r>
    </w:p>
    <w:p w14:paraId="228AE142" w14:textId="182860BC" w:rsidR="00AA3416" w:rsidRPr="007C35E6" w:rsidRDefault="00337F99" w:rsidP="00AA3416">
      <w:pPr>
        <w:numPr>
          <w:ilvl w:val="0"/>
          <w:numId w:val="12"/>
        </w:numPr>
        <w:spacing w:before="24" w:after="100" w:afterAutospacing="1" w:line="240" w:lineRule="auto"/>
        <w:ind w:left="1080"/>
        <w:rPr>
          <w:rFonts w:ascii="Arial" w:eastAsia="Times New Roman" w:hAnsi="Arial" w:cs="Arial"/>
          <w:color w:val="000000"/>
          <w:kern w:val="0"/>
          <w:sz w:val="20"/>
          <w:szCs w:val="20"/>
          <w14:ligatures w14:val="none"/>
        </w:rPr>
      </w:pPr>
      <w:r w:rsidRPr="00813103">
        <w:rPr>
          <w:rFonts w:ascii="Arial" w:eastAsia="Times New Roman" w:hAnsi="Arial" w:cs="Arial"/>
          <w:color w:val="000000"/>
          <w:kern w:val="0"/>
          <w:sz w:val="20"/>
          <w:szCs w:val="20"/>
          <w14:ligatures w14:val="none"/>
        </w:rPr>
        <w:t>It</w:t>
      </w:r>
      <w:r w:rsidR="00AA3416" w:rsidRPr="007C35E6">
        <w:rPr>
          <w:rFonts w:ascii="Arial" w:eastAsia="Times New Roman" w:hAnsi="Arial" w:cs="Arial"/>
          <w:color w:val="000000"/>
          <w:kern w:val="0"/>
          <w:sz w:val="20"/>
          <w:szCs w:val="20"/>
          <w14:ligatures w14:val="none"/>
        </w:rPr>
        <w:t xml:space="preserve"> has not been studied in patients with a history of pancreatitis.</w:t>
      </w:r>
    </w:p>
    <w:p w14:paraId="44F072E0"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DOSAGE AND ADMINISTRATION</w:t>
      </w:r>
    </w:p>
    <w:p w14:paraId="5773C34E" w14:textId="08FA7AB6"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The recommended starting dosage is 2.5 mg injected subcutaneously once weekly.</w:t>
      </w:r>
    </w:p>
    <w:p w14:paraId="0F186F91" w14:textId="0B79696D"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After 4 weeks, increase to 5 mg injected subcutaneously once weekly.</w:t>
      </w:r>
    </w:p>
    <w:p w14:paraId="377CB431" w14:textId="0A2A6E9F"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Increase the dosage in 2.5 mg increments after at least 4 weeks on the current dose.</w:t>
      </w:r>
    </w:p>
    <w:p w14:paraId="46197D37" w14:textId="5B23FE45"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The recommended maintenance dosages are 5 mg, 10 mg, or 15 mg injected subcutaneously once weekly.</w:t>
      </w:r>
    </w:p>
    <w:p w14:paraId="5AE57069" w14:textId="298FEB55"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Consider treatment response and tolerability when selecting the maintenance dosage.</w:t>
      </w:r>
    </w:p>
    <w:p w14:paraId="2F164649" w14:textId="0DB2CB71"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The maximum dosage is 15 mg subcutaneously once weekly.</w:t>
      </w:r>
    </w:p>
    <w:p w14:paraId="049325B5" w14:textId="21994FF1"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Administer once weekly at any time of day, with or without meals.</w:t>
      </w:r>
    </w:p>
    <w:p w14:paraId="1C1A334C" w14:textId="38D51990"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Inject subcutaneously in the abdomen, thigh, or upper arm.</w:t>
      </w:r>
    </w:p>
    <w:p w14:paraId="342EBA56" w14:textId="5E923F49" w:rsidR="00AA3416" w:rsidRPr="007C35E6" w:rsidRDefault="00AA3416" w:rsidP="00AA3416">
      <w:pPr>
        <w:numPr>
          <w:ilvl w:val="0"/>
          <w:numId w:val="13"/>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Rotate injection sites with each dose.</w:t>
      </w:r>
    </w:p>
    <w:p w14:paraId="761B9E9F"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CONTRAINDICATIONS</w:t>
      </w:r>
    </w:p>
    <w:p w14:paraId="1CA12297" w14:textId="2F48AD06" w:rsidR="00AA3416" w:rsidRPr="00813103" w:rsidRDefault="00AA3416" w:rsidP="00AA3416">
      <w:pPr>
        <w:numPr>
          <w:ilvl w:val="0"/>
          <w:numId w:val="14"/>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 xml:space="preserve">Personal or family history of </w:t>
      </w:r>
      <w:r w:rsidRPr="007C35E6">
        <w:rPr>
          <w:rFonts w:ascii="Arial" w:eastAsia="Times New Roman" w:hAnsi="Arial" w:cs="Arial"/>
          <w:b/>
          <w:bCs/>
          <w:color w:val="000000"/>
          <w:kern w:val="0"/>
          <w:sz w:val="20"/>
          <w:szCs w:val="20"/>
          <w14:ligatures w14:val="none"/>
        </w:rPr>
        <w:t>medullary thyroid carcinoma</w:t>
      </w:r>
      <w:r w:rsidRPr="007C35E6">
        <w:rPr>
          <w:rFonts w:ascii="Arial" w:eastAsia="Times New Roman" w:hAnsi="Arial" w:cs="Arial"/>
          <w:color w:val="000000"/>
          <w:kern w:val="0"/>
          <w:sz w:val="20"/>
          <w:szCs w:val="20"/>
          <w14:ligatures w14:val="none"/>
        </w:rPr>
        <w:t xml:space="preserve"> or in patients with Multiple Endocrine Neoplasia syndrome type 2</w:t>
      </w:r>
    </w:p>
    <w:p w14:paraId="3A91FEFB" w14:textId="14BC3CD6" w:rsidR="00EF0995" w:rsidRPr="00813103" w:rsidRDefault="00087EE9" w:rsidP="00AA3416">
      <w:pPr>
        <w:numPr>
          <w:ilvl w:val="0"/>
          <w:numId w:val="14"/>
        </w:numPr>
        <w:spacing w:before="24" w:after="100" w:afterAutospacing="1" w:line="240" w:lineRule="auto"/>
        <w:ind w:left="1080"/>
        <w:rPr>
          <w:rFonts w:ascii="Arial" w:eastAsia="Times New Roman" w:hAnsi="Arial" w:cs="Arial"/>
          <w:color w:val="000000"/>
          <w:kern w:val="0"/>
          <w:sz w:val="20"/>
          <w:szCs w:val="20"/>
          <w14:ligatures w14:val="none"/>
        </w:rPr>
      </w:pPr>
      <w:r w:rsidRPr="00813103">
        <w:rPr>
          <w:rFonts w:ascii="Arial" w:eastAsia="Times New Roman" w:hAnsi="Arial" w:cs="Arial"/>
          <w:b/>
          <w:bCs/>
          <w:color w:val="000000"/>
          <w:kern w:val="0"/>
          <w:sz w:val="20"/>
          <w:szCs w:val="20"/>
          <w14:ligatures w14:val="none"/>
        </w:rPr>
        <w:t>Pregnancy</w:t>
      </w:r>
      <w:r w:rsidRPr="00813103">
        <w:rPr>
          <w:rFonts w:ascii="Arial" w:eastAsia="Times New Roman" w:hAnsi="Arial" w:cs="Arial"/>
          <w:color w:val="000000"/>
          <w:kern w:val="0"/>
          <w:sz w:val="20"/>
          <w:szCs w:val="20"/>
          <w14:ligatures w14:val="none"/>
        </w:rPr>
        <w:t xml:space="preserve"> (for the next 60 days)</w:t>
      </w:r>
    </w:p>
    <w:p w14:paraId="34E09441" w14:textId="5A66492B" w:rsidR="00354A72" w:rsidRPr="007C35E6" w:rsidRDefault="00354A72" w:rsidP="00AA3416">
      <w:pPr>
        <w:numPr>
          <w:ilvl w:val="0"/>
          <w:numId w:val="14"/>
        </w:numPr>
        <w:spacing w:before="24" w:after="100" w:afterAutospacing="1" w:line="240" w:lineRule="auto"/>
        <w:ind w:left="1080"/>
        <w:rPr>
          <w:rFonts w:ascii="Arial" w:eastAsia="Times New Roman" w:hAnsi="Arial" w:cs="Arial"/>
          <w:color w:val="000000"/>
          <w:kern w:val="0"/>
          <w:sz w:val="20"/>
          <w:szCs w:val="20"/>
          <w14:ligatures w14:val="none"/>
        </w:rPr>
      </w:pPr>
      <w:r w:rsidRPr="00813103">
        <w:rPr>
          <w:rFonts w:ascii="Arial" w:eastAsia="Times New Roman" w:hAnsi="Arial" w:cs="Arial"/>
          <w:color w:val="000000"/>
          <w:kern w:val="0"/>
          <w:sz w:val="20"/>
          <w:szCs w:val="20"/>
          <w14:ligatures w14:val="none"/>
        </w:rPr>
        <w:t xml:space="preserve">History of </w:t>
      </w:r>
      <w:r w:rsidRPr="00813103">
        <w:rPr>
          <w:rFonts w:ascii="Arial" w:eastAsia="Times New Roman" w:hAnsi="Arial" w:cs="Arial"/>
          <w:b/>
          <w:bCs/>
          <w:color w:val="000000"/>
          <w:kern w:val="0"/>
          <w:sz w:val="20"/>
          <w:szCs w:val="20"/>
          <w14:ligatures w14:val="none"/>
        </w:rPr>
        <w:t>Pancreatitis</w:t>
      </w:r>
    </w:p>
    <w:p w14:paraId="365384F7" w14:textId="42A57308" w:rsidR="0092700B" w:rsidRPr="00813103" w:rsidRDefault="00AA3416" w:rsidP="00CC4BEB">
      <w:pPr>
        <w:numPr>
          <w:ilvl w:val="0"/>
          <w:numId w:val="14"/>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 xml:space="preserve">Known serious hypersensitivity to </w:t>
      </w:r>
      <w:proofErr w:type="spellStart"/>
      <w:r w:rsidRPr="007C35E6">
        <w:rPr>
          <w:rFonts w:ascii="Arial" w:eastAsia="Times New Roman" w:hAnsi="Arial" w:cs="Arial"/>
          <w:color w:val="000000"/>
          <w:kern w:val="0"/>
          <w:sz w:val="20"/>
          <w:szCs w:val="20"/>
          <w14:ligatures w14:val="none"/>
        </w:rPr>
        <w:t>tirzepatide</w:t>
      </w:r>
      <w:proofErr w:type="spellEnd"/>
      <w:r w:rsidR="0092700B" w:rsidRPr="00813103">
        <w:rPr>
          <w:rFonts w:ascii="Arial" w:eastAsia="Times New Roman" w:hAnsi="Arial" w:cs="Arial"/>
          <w:color w:val="000000"/>
          <w:kern w:val="0"/>
          <w:sz w:val="20"/>
          <w:szCs w:val="20"/>
          <w14:ligatures w14:val="none"/>
        </w:rPr>
        <w:t>.</w:t>
      </w:r>
    </w:p>
    <w:p w14:paraId="04B13CCC" w14:textId="74929463"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WARNINGS AND PRECAUTIONS</w:t>
      </w:r>
    </w:p>
    <w:p w14:paraId="1E760034" w14:textId="44A9032D"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Severe Gastrointestinal Disease:</w:t>
      </w:r>
      <w:r w:rsidRPr="007C35E6">
        <w:rPr>
          <w:rFonts w:ascii="Arial" w:eastAsia="Times New Roman" w:hAnsi="Arial" w:cs="Arial"/>
          <w:color w:val="000000"/>
          <w:kern w:val="0"/>
          <w:sz w:val="20"/>
          <w:szCs w:val="20"/>
          <w14:ligatures w14:val="none"/>
        </w:rPr>
        <w:t> Use has been associated with gastrointestinal adverse reactions, sometimes severe. Has not been studied in patients with severe gastrointestinal disease and is not recommended in these patients.</w:t>
      </w:r>
    </w:p>
    <w:p w14:paraId="2FF2972B" w14:textId="3BC88FB5"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Acute Kidney Injury:</w:t>
      </w:r>
      <w:r w:rsidRPr="007C35E6">
        <w:rPr>
          <w:rFonts w:ascii="Arial" w:eastAsia="Times New Roman" w:hAnsi="Arial" w:cs="Arial"/>
          <w:color w:val="000000"/>
          <w:kern w:val="0"/>
          <w:sz w:val="20"/>
          <w:szCs w:val="20"/>
          <w14:ligatures w14:val="none"/>
        </w:rPr>
        <w:t xml:space="preserve"> Monitor renal function in patients reporting adverse reactions </w:t>
      </w:r>
      <w:r w:rsidR="00346A88" w:rsidRPr="00813103">
        <w:rPr>
          <w:rFonts w:ascii="Arial" w:eastAsia="Times New Roman" w:hAnsi="Arial" w:cs="Arial"/>
          <w:color w:val="000000"/>
          <w:kern w:val="0"/>
          <w:sz w:val="20"/>
          <w:szCs w:val="20"/>
          <w14:ligatures w14:val="none"/>
        </w:rPr>
        <w:t xml:space="preserve">like vomiting </w:t>
      </w:r>
      <w:r w:rsidRPr="007C35E6">
        <w:rPr>
          <w:rFonts w:ascii="Arial" w:eastAsia="Times New Roman" w:hAnsi="Arial" w:cs="Arial"/>
          <w:color w:val="000000"/>
          <w:kern w:val="0"/>
          <w:sz w:val="20"/>
          <w:szCs w:val="20"/>
          <w14:ligatures w14:val="none"/>
        </w:rPr>
        <w:t>that could lead to volume depletion</w:t>
      </w:r>
      <w:r w:rsidR="00206A61" w:rsidRPr="00813103">
        <w:rPr>
          <w:rFonts w:ascii="Arial" w:eastAsia="Times New Roman" w:hAnsi="Arial" w:cs="Arial"/>
          <w:color w:val="000000"/>
          <w:kern w:val="0"/>
          <w:sz w:val="20"/>
          <w:szCs w:val="20"/>
          <w14:ligatures w14:val="none"/>
        </w:rPr>
        <w:t xml:space="preserve"> (dehydration)</w:t>
      </w:r>
      <w:r w:rsidRPr="007C35E6">
        <w:rPr>
          <w:rFonts w:ascii="Arial" w:eastAsia="Times New Roman" w:hAnsi="Arial" w:cs="Arial"/>
          <w:color w:val="000000"/>
          <w:kern w:val="0"/>
          <w:sz w:val="20"/>
          <w:szCs w:val="20"/>
          <w14:ligatures w14:val="none"/>
        </w:rPr>
        <w:t>.</w:t>
      </w:r>
    </w:p>
    <w:p w14:paraId="089E2304" w14:textId="65FB384D"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Acute Gallbladder Disease:</w:t>
      </w:r>
      <w:r w:rsidRPr="007C35E6">
        <w:rPr>
          <w:rFonts w:ascii="Arial" w:eastAsia="Times New Roman" w:hAnsi="Arial" w:cs="Arial"/>
          <w:color w:val="000000"/>
          <w:kern w:val="0"/>
          <w:sz w:val="20"/>
          <w:szCs w:val="20"/>
          <w14:ligatures w14:val="none"/>
        </w:rPr>
        <w:t> Has been reported in clinical trials. If cholecystitis is suspected, gallbladder studies and clinical follow-up are indicated.</w:t>
      </w:r>
    </w:p>
    <w:p w14:paraId="35B2147D" w14:textId="1C15A3B7"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Acute Pancreatitis:</w:t>
      </w:r>
      <w:r w:rsidRPr="007C35E6">
        <w:rPr>
          <w:rFonts w:ascii="Arial" w:eastAsia="Times New Roman" w:hAnsi="Arial" w:cs="Arial"/>
          <w:color w:val="000000"/>
          <w:kern w:val="0"/>
          <w:sz w:val="20"/>
          <w:szCs w:val="20"/>
          <w14:ligatures w14:val="none"/>
        </w:rPr>
        <w:t> Has been reported in clinical trials. Discontinue promptly if pancreatitis is suspected. Do not restart if pancreatitis is confirmed.</w:t>
      </w:r>
    </w:p>
    <w:p w14:paraId="0BC8D68E" w14:textId="26CD6AE1"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lastRenderedPageBreak/>
        <w:t>Hypersensitivity Reactions:</w:t>
      </w:r>
      <w:r w:rsidRPr="007C35E6">
        <w:rPr>
          <w:rFonts w:ascii="Arial" w:eastAsia="Times New Roman" w:hAnsi="Arial" w:cs="Arial"/>
          <w:color w:val="000000"/>
          <w:kern w:val="0"/>
          <w:sz w:val="20"/>
          <w:szCs w:val="20"/>
          <w14:ligatures w14:val="none"/>
        </w:rPr>
        <w:t xml:space="preserve"> Serious hypersensitivity reactions (e.g., anaphylaxis, angioedema) have been reported </w:t>
      </w:r>
      <w:r w:rsidR="001263D7" w:rsidRPr="00813103">
        <w:rPr>
          <w:rFonts w:ascii="Arial" w:eastAsia="Times New Roman" w:hAnsi="Arial" w:cs="Arial"/>
          <w:color w:val="000000"/>
          <w:kern w:val="0"/>
          <w:sz w:val="20"/>
          <w:szCs w:val="20"/>
          <w14:ligatures w14:val="none"/>
        </w:rPr>
        <w:t>post-marketing</w:t>
      </w:r>
      <w:r w:rsidRPr="007C35E6">
        <w:rPr>
          <w:rFonts w:ascii="Arial" w:eastAsia="Times New Roman" w:hAnsi="Arial" w:cs="Arial"/>
          <w:color w:val="000000"/>
          <w:kern w:val="0"/>
          <w:sz w:val="20"/>
          <w:szCs w:val="20"/>
          <w14:ligatures w14:val="none"/>
        </w:rPr>
        <w:t xml:space="preserve"> with </w:t>
      </w:r>
      <w:proofErr w:type="spellStart"/>
      <w:r w:rsidRPr="007C35E6">
        <w:rPr>
          <w:rFonts w:ascii="Arial" w:eastAsia="Times New Roman" w:hAnsi="Arial" w:cs="Arial"/>
          <w:color w:val="000000"/>
          <w:kern w:val="0"/>
          <w:sz w:val="20"/>
          <w:szCs w:val="20"/>
          <w14:ligatures w14:val="none"/>
        </w:rPr>
        <w:t>tirzepatide</w:t>
      </w:r>
      <w:proofErr w:type="spellEnd"/>
      <w:r w:rsidRPr="007C35E6">
        <w:rPr>
          <w:rFonts w:ascii="Arial" w:eastAsia="Times New Roman" w:hAnsi="Arial" w:cs="Arial"/>
          <w:color w:val="000000"/>
          <w:kern w:val="0"/>
          <w:sz w:val="20"/>
          <w:szCs w:val="20"/>
          <w14:ligatures w14:val="none"/>
        </w:rPr>
        <w:t xml:space="preserve">. If suspected, advise patients to promptly seek medical attention and discontinue </w:t>
      </w:r>
      <w:r w:rsidR="00BE0C71" w:rsidRPr="00813103">
        <w:rPr>
          <w:rFonts w:ascii="Arial" w:eastAsia="Times New Roman" w:hAnsi="Arial" w:cs="Arial"/>
          <w:b/>
          <w:bCs/>
          <w:color w:val="000000"/>
          <w:kern w:val="0"/>
          <w:sz w:val="20"/>
          <w:szCs w:val="20"/>
          <w14:ligatures w14:val="none"/>
        </w:rPr>
        <w:t>Tripeptide</w:t>
      </w:r>
      <w:r w:rsidR="00D323D7" w:rsidRPr="00813103">
        <w:rPr>
          <w:rFonts w:ascii="Arial" w:eastAsia="Times New Roman" w:hAnsi="Arial" w:cs="Arial"/>
          <w:color w:val="000000"/>
          <w:kern w:val="0"/>
          <w:sz w:val="20"/>
          <w:szCs w:val="20"/>
          <w14:ligatures w14:val="none"/>
        </w:rPr>
        <w:t xml:space="preserve"> (MOUNJARO/</w:t>
      </w:r>
      <w:r w:rsidR="00D323D7" w:rsidRPr="007C35E6">
        <w:rPr>
          <w:rFonts w:ascii="Arial" w:eastAsia="Times New Roman" w:hAnsi="Arial" w:cs="Arial"/>
          <w:color w:val="000000"/>
          <w:kern w:val="0"/>
          <w:sz w:val="20"/>
          <w:szCs w:val="20"/>
          <w14:ligatures w14:val="none"/>
        </w:rPr>
        <w:t>ZEPBOUND®</w:t>
      </w:r>
      <w:proofErr w:type="gramStart"/>
      <w:r w:rsidR="00D323D7" w:rsidRPr="00813103">
        <w:rPr>
          <w:rFonts w:ascii="Arial" w:eastAsia="Times New Roman" w:hAnsi="Arial" w:cs="Arial"/>
          <w:color w:val="000000"/>
          <w:kern w:val="0"/>
          <w:sz w:val="20"/>
          <w:szCs w:val="20"/>
          <w14:ligatures w14:val="none"/>
        </w:rPr>
        <w:t>)</w:t>
      </w:r>
      <w:r w:rsidR="00D323D7" w:rsidRPr="007C35E6">
        <w:rPr>
          <w:rFonts w:ascii="Arial" w:eastAsia="Times New Roman" w:hAnsi="Arial" w:cs="Arial"/>
          <w:color w:val="000000"/>
          <w:kern w:val="0"/>
          <w:sz w:val="20"/>
          <w:szCs w:val="20"/>
          <w14:ligatures w14:val="none"/>
        </w:rPr>
        <w:t> </w:t>
      </w:r>
      <w:r w:rsidRPr="007C35E6">
        <w:rPr>
          <w:rFonts w:ascii="Arial" w:eastAsia="Times New Roman" w:hAnsi="Arial" w:cs="Arial"/>
          <w:color w:val="000000"/>
          <w:kern w:val="0"/>
          <w:sz w:val="20"/>
          <w:szCs w:val="20"/>
          <w14:ligatures w14:val="none"/>
        </w:rPr>
        <w:t>.</w:t>
      </w:r>
      <w:proofErr w:type="gramEnd"/>
    </w:p>
    <w:p w14:paraId="32DBC294" w14:textId="75F683B4"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Hypoglycemia:</w:t>
      </w:r>
      <w:r w:rsidRPr="007C35E6">
        <w:rPr>
          <w:rFonts w:ascii="Arial" w:eastAsia="Times New Roman" w:hAnsi="Arial" w:cs="Arial"/>
          <w:color w:val="000000"/>
          <w:kern w:val="0"/>
          <w:sz w:val="20"/>
          <w:szCs w:val="20"/>
          <w14:ligatures w14:val="none"/>
        </w:rPr>
        <w:t> Concomitant use with an insulin secretagogue or insulin may increase the risk of hypoglycemia, including severe hypoglycemia. Reducing dose of insulin secretagogue or insulin may be necessary. Inform all patients of the risk of hypoglycemia and educate them on the signs and symptoms of hypoglycemia.</w:t>
      </w:r>
    </w:p>
    <w:p w14:paraId="33C47C10" w14:textId="3922D385"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Diabetic Retinopathy Complications in Patients with Type 2 Diabetes Mellitus:</w:t>
      </w:r>
      <w:r w:rsidRPr="007C35E6">
        <w:rPr>
          <w:rFonts w:ascii="Arial" w:eastAsia="Times New Roman" w:hAnsi="Arial" w:cs="Arial"/>
          <w:color w:val="000000"/>
          <w:kern w:val="0"/>
          <w:sz w:val="20"/>
          <w:szCs w:val="20"/>
          <w14:ligatures w14:val="none"/>
        </w:rPr>
        <w:t> Has not been studied in patients with non-proliferative diabetic retinopathy requiring acute therapy, proliferative diabetic retinopathy, or diabetic macular edema. Monitor patients with a history of diabetic retinopathy for progression.</w:t>
      </w:r>
    </w:p>
    <w:p w14:paraId="13D8328E" w14:textId="5DBEC3FC" w:rsidR="00AA3416" w:rsidRPr="007C35E6" w:rsidRDefault="00AA3416" w:rsidP="00AA3416">
      <w:pPr>
        <w:numPr>
          <w:ilvl w:val="0"/>
          <w:numId w:val="15"/>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i/>
          <w:iCs/>
          <w:color w:val="000000"/>
          <w:kern w:val="0"/>
          <w:sz w:val="20"/>
          <w:szCs w:val="20"/>
          <w14:ligatures w14:val="none"/>
        </w:rPr>
        <w:t>Suicidal Behavior and Ideation:</w:t>
      </w:r>
      <w:r w:rsidRPr="007C35E6">
        <w:rPr>
          <w:rFonts w:ascii="Arial" w:eastAsia="Times New Roman" w:hAnsi="Arial" w:cs="Arial"/>
          <w:color w:val="000000"/>
          <w:kern w:val="0"/>
          <w:sz w:val="20"/>
          <w:szCs w:val="20"/>
          <w14:ligatures w14:val="none"/>
        </w:rPr>
        <w:t> Monitor for depression or suicidal thoughts. Discontinue if symptoms develop.</w:t>
      </w:r>
    </w:p>
    <w:p w14:paraId="681822A9"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ADVERSE REACTIONS</w:t>
      </w:r>
    </w:p>
    <w:p w14:paraId="6B057B99" w14:textId="77777777" w:rsidR="000D2A98" w:rsidRPr="00813103" w:rsidRDefault="00AA3416" w:rsidP="00AA3416">
      <w:pPr>
        <w:spacing w:before="144" w:after="0" w:line="240" w:lineRule="auto"/>
        <w:rPr>
          <w:rFonts w:ascii="Arial" w:eastAsia="Times New Roman" w:hAnsi="Arial" w:cs="Arial"/>
          <w:color w:val="000000"/>
          <w:kern w:val="0"/>
          <w:sz w:val="20"/>
          <w:szCs w:val="20"/>
          <w14:ligatures w14:val="none"/>
        </w:rPr>
      </w:pPr>
      <w:r w:rsidRPr="007C35E6">
        <w:rPr>
          <w:rFonts w:ascii="Arial" w:eastAsia="Times New Roman" w:hAnsi="Arial" w:cs="Arial"/>
          <w:color w:val="000000"/>
          <w:kern w:val="0"/>
          <w:sz w:val="20"/>
          <w:szCs w:val="20"/>
          <w14:ligatures w14:val="none"/>
        </w:rPr>
        <w:t xml:space="preserve">The most common adverse </w:t>
      </w:r>
      <w:r w:rsidR="00B236E3" w:rsidRPr="00813103">
        <w:rPr>
          <w:rFonts w:ascii="Arial" w:eastAsia="Times New Roman" w:hAnsi="Arial" w:cs="Arial"/>
          <w:color w:val="000000"/>
          <w:kern w:val="0"/>
          <w:sz w:val="20"/>
          <w:szCs w:val="20"/>
          <w14:ligatures w14:val="none"/>
        </w:rPr>
        <w:t>reactions</w:t>
      </w:r>
      <w:r w:rsidRPr="007C35E6">
        <w:rPr>
          <w:rFonts w:ascii="Arial" w:eastAsia="Times New Roman" w:hAnsi="Arial" w:cs="Arial"/>
          <w:color w:val="000000"/>
          <w:kern w:val="0"/>
          <w:sz w:val="20"/>
          <w:szCs w:val="20"/>
          <w14:ligatures w14:val="none"/>
        </w:rPr>
        <w:t xml:space="preserve"> reported in ≥5% of patients are: </w:t>
      </w:r>
    </w:p>
    <w:p w14:paraId="00F6ACA0" w14:textId="436DEC0D" w:rsidR="00AA3416" w:rsidRPr="00813103" w:rsidRDefault="00AA3416" w:rsidP="000D2A98">
      <w:pPr>
        <w:pStyle w:val="ListParagraph"/>
        <w:numPr>
          <w:ilvl w:val="0"/>
          <w:numId w:val="18"/>
        </w:numPr>
        <w:spacing w:before="144" w:after="0" w:line="240" w:lineRule="auto"/>
        <w:rPr>
          <w:rFonts w:ascii="Arial" w:eastAsia="Times New Roman" w:hAnsi="Arial" w:cs="Arial"/>
          <w:color w:val="000000"/>
          <w:kern w:val="0"/>
          <w:sz w:val="20"/>
          <w:szCs w:val="20"/>
          <w14:ligatures w14:val="none"/>
        </w:rPr>
      </w:pPr>
      <w:r w:rsidRPr="00813103">
        <w:rPr>
          <w:rFonts w:ascii="Arial" w:eastAsia="Times New Roman" w:hAnsi="Arial" w:cs="Arial"/>
          <w:color w:val="000000"/>
          <w:kern w:val="0"/>
          <w:sz w:val="20"/>
          <w:szCs w:val="20"/>
          <w14:ligatures w14:val="none"/>
        </w:rPr>
        <w:t>nausea, diarrhea, vomiting, constipation, abdominal pain, dyspepsia, injection site reactions, fatigue, hypersensitivity reactions, eructation, hair loss, gastroesophageal reflux disease.</w:t>
      </w:r>
    </w:p>
    <w:p w14:paraId="124939F0" w14:textId="77777777" w:rsidR="00AA3416" w:rsidRPr="007C35E6" w:rsidRDefault="00AA3416" w:rsidP="00AA3416">
      <w:pPr>
        <w:spacing w:before="144" w:after="0" w:line="240" w:lineRule="auto"/>
        <w:rPr>
          <w:rFonts w:ascii="Arial" w:eastAsia="Times New Roman" w:hAnsi="Arial" w:cs="Arial"/>
          <w:color w:val="000000"/>
          <w:kern w:val="0"/>
          <w:sz w:val="20"/>
          <w:szCs w:val="20"/>
          <w14:ligatures w14:val="none"/>
        </w:rPr>
      </w:pPr>
      <w:r w:rsidRPr="007C35E6">
        <w:rPr>
          <w:rFonts w:ascii="Arial" w:eastAsia="Times New Roman" w:hAnsi="Arial" w:cs="Arial"/>
          <w:b/>
          <w:bCs/>
          <w:color w:val="000000"/>
          <w:kern w:val="0"/>
          <w:sz w:val="20"/>
          <w:szCs w:val="20"/>
          <w14:ligatures w14:val="none"/>
        </w:rPr>
        <w:t>To report SUSPECTED ADVERSE REACTIONS, contact Eli Lilly and Company at 1-800-LillyRx (1-800-545-5979) or FDA at 1-800-FDA-1088 or www.fda.gov/medwatch.</w:t>
      </w:r>
    </w:p>
    <w:p w14:paraId="1E406E6D"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DRUG INTERACTIONS</w:t>
      </w:r>
    </w:p>
    <w:p w14:paraId="28D92075" w14:textId="051D0F7A" w:rsidR="00AA3416" w:rsidRPr="007C35E6" w:rsidRDefault="00337F99" w:rsidP="00AA3416">
      <w:pPr>
        <w:spacing w:before="144" w:after="0" w:line="240" w:lineRule="auto"/>
        <w:rPr>
          <w:rFonts w:ascii="Arial" w:eastAsia="Times New Roman" w:hAnsi="Arial" w:cs="Arial"/>
          <w:color w:val="000000"/>
          <w:kern w:val="0"/>
          <w:sz w:val="20"/>
          <w:szCs w:val="20"/>
          <w14:ligatures w14:val="none"/>
        </w:rPr>
      </w:pPr>
      <w:proofErr w:type="spellStart"/>
      <w:r w:rsidRPr="000200EA">
        <w:rPr>
          <w:rFonts w:ascii="Arial" w:eastAsia="Times New Roman" w:hAnsi="Arial" w:cs="Arial"/>
          <w:b/>
          <w:bCs/>
          <w:color w:val="000000"/>
          <w:kern w:val="0"/>
          <w:sz w:val="20"/>
          <w:szCs w:val="20"/>
          <w14:ligatures w14:val="none"/>
        </w:rPr>
        <w:t>Tirzepatide</w:t>
      </w:r>
      <w:proofErr w:type="spellEnd"/>
      <w:r w:rsidRPr="000200EA">
        <w:rPr>
          <w:rFonts w:ascii="Arial" w:eastAsia="Times New Roman" w:hAnsi="Arial" w:cs="Arial"/>
          <w:color w:val="000000"/>
          <w:kern w:val="0"/>
          <w:sz w:val="20"/>
          <w:szCs w:val="20"/>
          <w14:ligatures w14:val="none"/>
        </w:rPr>
        <w:t xml:space="preserve"> (MOUNJARO/</w:t>
      </w:r>
      <w:r w:rsidRPr="007C35E6">
        <w:rPr>
          <w:rFonts w:ascii="Arial" w:eastAsia="Times New Roman" w:hAnsi="Arial" w:cs="Arial"/>
          <w:color w:val="000000"/>
          <w:kern w:val="0"/>
          <w:sz w:val="20"/>
          <w:szCs w:val="20"/>
          <w14:ligatures w14:val="none"/>
        </w:rPr>
        <w:t>ZEPBOUND</w:t>
      </w:r>
      <w:proofErr w:type="gramStart"/>
      <w:r w:rsidRPr="007C35E6">
        <w:rPr>
          <w:rFonts w:ascii="Arial" w:eastAsia="Times New Roman" w:hAnsi="Arial" w:cs="Arial"/>
          <w:color w:val="000000"/>
          <w:kern w:val="0"/>
          <w:sz w:val="20"/>
          <w:szCs w:val="20"/>
          <w14:ligatures w14:val="none"/>
        </w:rPr>
        <w:t>®</w:t>
      </w:r>
      <w:r w:rsidRPr="000200EA">
        <w:rPr>
          <w:rFonts w:ascii="Arial" w:eastAsia="Times New Roman" w:hAnsi="Arial" w:cs="Arial"/>
          <w:color w:val="000000"/>
          <w:kern w:val="0"/>
          <w:sz w:val="20"/>
          <w:szCs w:val="20"/>
          <w14:ligatures w14:val="none"/>
        </w:rPr>
        <w:t>)</w:t>
      </w:r>
      <w:r w:rsidRPr="007C35E6">
        <w:rPr>
          <w:rFonts w:ascii="Arial" w:eastAsia="Times New Roman" w:hAnsi="Arial" w:cs="Arial"/>
          <w:color w:val="000000"/>
          <w:kern w:val="0"/>
          <w:sz w:val="20"/>
          <w:szCs w:val="20"/>
          <w14:ligatures w14:val="none"/>
        </w:rPr>
        <w:t> </w:t>
      </w:r>
      <w:r w:rsidR="00AA3416" w:rsidRPr="007C35E6">
        <w:rPr>
          <w:rFonts w:ascii="Arial" w:eastAsia="Times New Roman" w:hAnsi="Arial" w:cs="Arial"/>
          <w:color w:val="000000"/>
          <w:kern w:val="0"/>
          <w:sz w:val="20"/>
          <w:szCs w:val="20"/>
          <w14:ligatures w14:val="none"/>
        </w:rPr>
        <w:t xml:space="preserve"> delays</w:t>
      </w:r>
      <w:proofErr w:type="gramEnd"/>
      <w:r w:rsidR="00AA3416" w:rsidRPr="007C35E6">
        <w:rPr>
          <w:rFonts w:ascii="Arial" w:eastAsia="Times New Roman" w:hAnsi="Arial" w:cs="Arial"/>
          <w:color w:val="000000"/>
          <w:kern w:val="0"/>
          <w:sz w:val="20"/>
          <w:szCs w:val="20"/>
          <w14:ligatures w14:val="none"/>
        </w:rPr>
        <w:t xml:space="preserve"> gastric emptying and has the potential to impact the absorption of concomitantly administered oral medications.</w:t>
      </w:r>
    </w:p>
    <w:p w14:paraId="2CBEE3F6" w14:textId="77777777" w:rsidR="00AA3416" w:rsidRPr="007C35E6" w:rsidRDefault="00AA3416" w:rsidP="00AA3416">
      <w:pPr>
        <w:spacing w:after="0" w:line="240" w:lineRule="auto"/>
        <w:ind w:left="1379" w:right="1379"/>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shd w:val="clear" w:color="auto" w:fill="FFFFFF"/>
          <w14:ligatures w14:val="none"/>
        </w:rPr>
        <w:t>USE IN SPECIFIC POPULATIONS</w:t>
      </w:r>
    </w:p>
    <w:p w14:paraId="163D7FF7" w14:textId="1054E2D2" w:rsidR="00225A61" w:rsidRPr="00322E86" w:rsidRDefault="00AA3416" w:rsidP="00322E86">
      <w:pPr>
        <w:numPr>
          <w:ilvl w:val="0"/>
          <w:numId w:val="16"/>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b/>
          <w:bCs/>
          <w:i/>
          <w:iCs/>
          <w:color w:val="000000"/>
          <w:kern w:val="0"/>
          <w:sz w:val="20"/>
          <w:szCs w:val="20"/>
          <w14:ligatures w14:val="none"/>
        </w:rPr>
        <w:t>Pregnancy</w:t>
      </w:r>
      <w:r w:rsidRPr="007C35E6">
        <w:rPr>
          <w:rFonts w:ascii="Arial" w:eastAsia="Times New Roman" w:hAnsi="Arial" w:cs="Arial"/>
          <w:i/>
          <w:iCs/>
          <w:color w:val="000000"/>
          <w:kern w:val="0"/>
          <w:sz w:val="20"/>
          <w:szCs w:val="20"/>
          <w14:ligatures w14:val="none"/>
        </w:rPr>
        <w:t>:</w:t>
      </w:r>
      <w:r w:rsidRPr="007C35E6">
        <w:rPr>
          <w:rFonts w:ascii="Arial" w:eastAsia="Times New Roman" w:hAnsi="Arial" w:cs="Arial"/>
          <w:color w:val="000000"/>
          <w:kern w:val="0"/>
          <w:sz w:val="20"/>
          <w:szCs w:val="20"/>
          <w14:ligatures w14:val="none"/>
        </w:rPr>
        <w:t xml:space="preserve"> May cause fetal harm. When pregnancy is recognized, discontinue </w:t>
      </w:r>
      <w:proofErr w:type="spellStart"/>
      <w:r w:rsidR="001263D7" w:rsidRPr="000200EA">
        <w:rPr>
          <w:rFonts w:ascii="Arial" w:eastAsia="Times New Roman" w:hAnsi="Arial" w:cs="Arial"/>
          <w:b/>
          <w:bCs/>
          <w:color w:val="000000"/>
          <w:kern w:val="0"/>
          <w:sz w:val="20"/>
          <w:szCs w:val="20"/>
          <w14:ligatures w14:val="none"/>
        </w:rPr>
        <w:t>Tirzepatide</w:t>
      </w:r>
      <w:proofErr w:type="spellEnd"/>
      <w:r w:rsidR="001263D7" w:rsidRPr="000200EA">
        <w:rPr>
          <w:rFonts w:ascii="Arial" w:eastAsia="Times New Roman" w:hAnsi="Arial" w:cs="Arial"/>
          <w:color w:val="000000"/>
          <w:kern w:val="0"/>
          <w:sz w:val="20"/>
          <w:szCs w:val="20"/>
          <w14:ligatures w14:val="none"/>
        </w:rPr>
        <w:t xml:space="preserve"> (MOUNJARO/</w:t>
      </w:r>
      <w:r w:rsidR="001263D7" w:rsidRPr="007C35E6">
        <w:rPr>
          <w:rFonts w:ascii="Arial" w:eastAsia="Times New Roman" w:hAnsi="Arial" w:cs="Arial"/>
          <w:color w:val="000000"/>
          <w:kern w:val="0"/>
          <w:sz w:val="20"/>
          <w:szCs w:val="20"/>
          <w14:ligatures w14:val="none"/>
        </w:rPr>
        <w:t>ZEPBOUND®</w:t>
      </w:r>
      <w:r w:rsidR="001263D7" w:rsidRPr="000200EA">
        <w:rPr>
          <w:rFonts w:ascii="Arial" w:eastAsia="Times New Roman" w:hAnsi="Arial" w:cs="Arial"/>
          <w:color w:val="000000"/>
          <w:kern w:val="0"/>
          <w:sz w:val="20"/>
          <w:szCs w:val="20"/>
          <w14:ligatures w14:val="none"/>
        </w:rPr>
        <w:t>)</w:t>
      </w:r>
      <w:r w:rsidRPr="007C35E6">
        <w:rPr>
          <w:rFonts w:ascii="Arial" w:eastAsia="Times New Roman" w:hAnsi="Arial" w:cs="Arial"/>
          <w:color w:val="000000"/>
          <w:kern w:val="0"/>
          <w:sz w:val="20"/>
          <w:szCs w:val="20"/>
          <w14:ligatures w14:val="none"/>
        </w:rPr>
        <w:t>.</w:t>
      </w:r>
      <w:r w:rsidR="00322E86">
        <w:rPr>
          <w:rFonts w:ascii="Arial" w:eastAsia="Times New Roman" w:hAnsi="Arial" w:cs="Arial"/>
          <w:color w:val="000000"/>
          <w:kern w:val="0"/>
          <w:sz w:val="20"/>
          <w:szCs w:val="20"/>
          <w14:ligatures w14:val="none"/>
        </w:rPr>
        <w:t xml:space="preserve"> </w:t>
      </w:r>
      <w:r w:rsidRPr="007C35E6">
        <w:rPr>
          <w:rFonts w:ascii="Arial" w:eastAsia="Times New Roman" w:hAnsi="Arial" w:cs="Arial"/>
          <w:i/>
          <w:iCs/>
          <w:color w:val="000000"/>
          <w:kern w:val="0"/>
          <w:sz w:val="20"/>
          <w:szCs w:val="20"/>
          <w14:ligatures w14:val="none"/>
        </w:rPr>
        <w:t>Females of Reproductive Potential:</w:t>
      </w:r>
      <w:r w:rsidRPr="007C35E6">
        <w:rPr>
          <w:rFonts w:ascii="Arial" w:eastAsia="Times New Roman" w:hAnsi="Arial" w:cs="Arial"/>
          <w:color w:val="000000"/>
          <w:kern w:val="0"/>
          <w:sz w:val="20"/>
          <w:szCs w:val="20"/>
          <w14:ligatures w14:val="none"/>
        </w:rPr>
        <w:t> Advise females using oral contraceptives to switch to a non-oral contraceptive method or add a barrier method of contraception for 4 weeks after initiation and for 4 weeks after each dose escalation.</w:t>
      </w:r>
    </w:p>
    <w:p w14:paraId="634B979A" w14:textId="1BE40917" w:rsidR="007C35E6" w:rsidRPr="007C35E6" w:rsidRDefault="007C35E6" w:rsidP="00813E92">
      <w:pPr>
        <w:spacing w:before="144" w:after="0" w:line="240" w:lineRule="auto"/>
        <w:jc w:val="center"/>
        <w:rPr>
          <w:rFonts w:ascii="Arial" w:eastAsia="Times New Roman" w:hAnsi="Arial" w:cs="Arial"/>
          <w:color w:val="000000"/>
          <w:kern w:val="0"/>
          <w:sz w:val="24"/>
          <w:szCs w:val="24"/>
          <w14:ligatures w14:val="none"/>
        </w:rPr>
      </w:pPr>
      <w:r w:rsidRPr="007C35E6">
        <w:rPr>
          <w:rFonts w:ascii="Arial" w:eastAsia="Times New Roman" w:hAnsi="Arial" w:cs="Arial"/>
          <w:b/>
          <w:bCs/>
          <w:color w:val="000000"/>
          <w:kern w:val="36"/>
          <w:sz w:val="24"/>
          <w:szCs w:val="24"/>
          <w14:ligatures w14:val="none"/>
        </w:rPr>
        <w:t>BOXED WARNING</w:t>
      </w:r>
    </w:p>
    <w:p w14:paraId="562BBE1D" w14:textId="77777777" w:rsidR="00813E92" w:rsidRDefault="00813E92" w:rsidP="007C35E6">
      <w:pPr>
        <w:spacing w:after="80" w:line="240" w:lineRule="auto"/>
        <w:ind w:firstLine="240"/>
        <w:jc w:val="center"/>
        <w:outlineLvl w:val="0"/>
        <w:rPr>
          <w:rFonts w:ascii="Arial" w:eastAsia="Times New Roman" w:hAnsi="Arial" w:cs="Arial"/>
          <w:color w:val="CC0000"/>
          <w:kern w:val="0"/>
          <w:sz w:val="19"/>
          <w:szCs w:val="19"/>
          <w14:ligatures w14:val="none"/>
        </w:rPr>
      </w:pPr>
      <w:bookmarkStart w:id="0" w:name="s1"/>
      <w:bookmarkStart w:id="1" w:name="section-1"/>
      <w:bookmarkEnd w:id="0"/>
      <w:bookmarkEnd w:id="1"/>
    </w:p>
    <w:p w14:paraId="3EB58517" w14:textId="267E4BB9" w:rsidR="007C35E6" w:rsidRPr="007C35E6" w:rsidRDefault="007C35E6" w:rsidP="007C35E6">
      <w:pPr>
        <w:spacing w:after="80" w:line="240" w:lineRule="auto"/>
        <w:ind w:firstLine="240"/>
        <w:jc w:val="center"/>
        <w:outlineLvl w:val="0"/>
        <w:rPr>
          <w:rFonts w:ascii="Arial" w:eastAsia="Times New Roman" w:hAnsi="Arial" w:cs="Arial"/>
          <w:b/>
          <w:bCs/>
          <w:color w:val="000000"/>
          <w:kern w:val="36"/>
          <w:sz w:val="24"/>
          <w:szCs w:val="24"/>
          <w14:ligatures w14:val="none"/>
        </w:rPr>
      </w:pPr>
      <w:r w:rsidRPr="007C35E6">
        <w:rPr>
          <w:rFonts w:ascii="Arial" w:eastAsia="Times New Roman" w:hAnsi="Arial" w:cs="Arial"/>
          <w:b/>
          <w:bCs/>
          <w:color w:val="000000"/>
          <w:kern w:val="36"/>
          <w:sz w:val="24"/>
          <w:szCs w:val="24"/>
          <w14:ligatures w14:val="none"/>
        </w:rPr>
        <w:t>WARNING: RISK OF THYROID C-CELL TUMORS</w:t>
      </w:r>
    </w:p>
    <w:p w14:paraId="54BFA210" w14:textId="0882C9FE" w:rsidR="007C35E6" w:rsidRPr="007C35E6" w:rsidRDefault="007C35E6" w:rsidP="0000676D">
      <w:pPr>
        <w:numPr>
          <w:ilvl w:val="0"/>
          <w:numId w:val="9"/>
        </w:numPr>
        <w:spacing w:before="24" w:after="100" w:afterAutospacing="1" w:line="240" w:lineRule="auto"/>
        <w:ind w:left="1080"/>
        <w:rPr>
          <w:rFonts w:ascii="Arial" w:eastAsia="Times New Roman" w:hAnsi="Arial" w:cs="Arial"/>
          <w:color w:val="000000"/>
          <w:kern w:val="0"/>
          <w:sz w:val="20"/>
          <w:szCs w:val="20"/>
          <w14:ligatures w14:val="none"/>
        </w:rPr>
      </w:pPr>
      <w:r w:rsidRPr="007C35E6">
        <w:rPr>
          <w:rFonts w:ascii="Arial" w:eastAsia="Times New Roman" w:hAnsi="Arial" w:cs="Arial"/>
          <w:b/>
          <w:bCs/>
          <w:color w:val="000000"/>
          <w:kern w:val="0"/>
          <w:sz w:val="20"/>
          <w:szCs w:val="20"/>
          <w14:ligatures w14:val="none"/>
        </w:rPr>
        <w:t xml:space="preserve">In rats, </w:t>
      </w:r>
      <w:proofErr w:type="spellStart"/>
      <w:r w:rsidRPr="007C35E6">
        <w:rPr>
          <w:rFonts w:ascii="Arial" w:eastAsia="Times New Roman" w:hAnsi="Arial" w:cs="Arial"/>
          <w:b/>
          <w:bCs/>
          <w:color w:val="000000"/>
          <w:kern w:val="0"/>
          <w:sz w:val="20"/>
          <w:szCs w:val="20"/>
          <w14:ligatures w14:val="none"/>
        </w:rPr>
        <w:t>tirzepatide</w:t>
      </w:r>
      <w:proofErr w:type="spellEnd"/>
      <w:r w:rsidRPr="007C35E6">
        <w:rPr>
          <w:rFonts w:ascii="Arial" w:eastAsia="Times New Roman" w:hAnsi="Arial" w:cs="Arial"/>
          <w:b/>
          <w:bCs/>
          <w:color w:val="000000"/>
          <w:kern w:val="0"/>
          <w:sz w:val="20"/>
          <w:szCs w:val="20"/>
          <w14:ligatures w14:val="none"/>
        </w:rPr>
        <w:t xml:space="preserve"> causes dose-dependent and treatment-duration-dependent thyroid C-cell tumors at clinically relevant exposures. It is unknown whether </w:t>
      </w:r>
      <w:proofErr w:type="spellStart"/>
      <w:r w:rsidR="00422A05" w:rsidRPr="001E31FE">
        <w:rPr>
          <w:rFonts w:ascii="Arial" w:eastAsia="Times New Roman" w:hAnsi="Arial" w:cs="Arial"/>
          <w:b/>
          <w:bCs/>
          <w:color w:val="000000"/>
          <w:kern w:val="0"/>
          <w:sz w:val="20"/>
          <w:szCs w:val="20"/>
          <w14:ligatures w14:val="none"/>
        </w:rPr>
        <w:t>Tirzepatide</w:t>
      </w:r>
      <w:proofErr w:type="spellEnd"/>
      <w:r w:rsidR="00422A05" w:rsidRPr="001E31FE">
        <w:rPr>
          <w:rFonts w:ascii="Arial" w:eastAsia="Times New Roman" w:hAnsi="Arial" w:cs="Arial"/>
          <w:color w:val="000000"/>
          <w:kern w:val="0"/>
          <w:sz w:val="20"/>
          <w:szCs w:val="20"/>
          <w14:ligatures w14:val="none"/>
        </w:rPr>
        <w:t xml:space="preserve"> (MOUNJARO/</w:t>
      </w:r>
      <w:r w:rsidR="00422A05" w:rsidRPr="007C35E6">
        <w:rPr>
          <w:rFonts w:ascii="Arial" w:eastAsia="Times New Roman" w:hAnsi="Arial" w:cs="Arial"/>
          <w:color w:val="000000"/>
          <w:kern w:val="0"/>
          <w:sz w:val="20"/>
          <w:szCs w:val="20"/>
          <w14:ligatures w14:val="none"/>
        </w:rPr>
        <w:t>ZEPBOUND</w:t>
      </w:r>
      <w:proofErr w:type="gramStart"/>
      <w:r w:rsidR="00422A05" w:rsidRPr="007C35E6">
        <w:rPr>
          <w:rFonts w:ascii="Arial" w:eastAsia="Times New Roman" w:hAnsi="Arial" w:cs="Arial"/>
          <w:color w:val="000000"/>
          <w:kern w:val="0"/>
          <w:sz w:val="20"/>
          <w:szCs w:val="20"/>
          <w14:ligatures w14:val="none"/>
        </w:rPr>
        <w:t>®</w:t>
      </w:r>
      <w:r w:rsidR="00422A05" w:rsidRPr="001E31FE">
        <w:rPr>
          <w:rFonts w:ascii="Arial" w:eastAsia="Times New Roman" w:hAnsi="Arial" w:cs="Arial"/>
          <w:color w:val="000000"/>
          <w:kern w:val="0"/>
          <w:sz w:val="20"/>
          <w:szCs w:val="20"/>
          <w14:ligatures w14:val="none"/>
        </w:rPr>
        <w:t>)</w:t>
      </w:r>
      <w:r w:rsidR="00422A05" w:rsidRPr="007C35E6">
        <w:rPr>
          <w:rFonts w:ascii="Arial" w:eastAsia="Times New Roman" w:hAnsi="Arial" w:cs="Arial"/>
          <w:color w:val="000000"/>
          <w:kern w:val="0"/>
          <w:sz w:val="20"/>
          <w:szCs w:val="20"/>
          <w14:ligatures w14:val="none"/>
        </w:rPr>
        <w:t> </w:t>
      </w:r>
      <w:r w:rsidRPr="007C35E6">
        <w:rPr>
          <w:rFonts w:ascii="Arial" w:eastAsia="Times New Roman" w:hAnsi="Arial" w:cs="Arial"/>
          <w:b/>
          <w:bCs/>
          <w:color w:val="000000"/>
          <w:kern w:val="0"/>
          <w:sz w:val="20"/>
          <w:szCs w:val="20"/>
          <w14:ligatures w14:val="none"/>
        </w:rPr>
        <w:t xml:space="preserve"> causes</w:t>
      </w:r>
      <w:proofErr w:type="gramEnd"/>
      <w:r w:rsidRPr="007C35E6">
        <w:rPr>
          <w:rFonts w:ascii="Arial" w:eastAsia="Times New Roman" w:hAnsi="Arial" w:cs="Arial"/>
          <w:b/>
          <w:bCs/>
          <w:color w:val="000000"/>
          <w:kern w:val="0"/>
          <w:sz w:val="20"/>
          <w:szCs w:val="20"/>
          <w14:ligatures w14:val="none"/>
        </w:rPr>
        <w:t xml:space="preserve"> thyroid C-cell tumors, including medullary thyroid carcinoma (MTC), in humans as human relevance of </w:t>
      </w:r>
      <w:proofErr w:type="spellStart"/>
      <w:r w:rsidRPr="007C35E6">
        <w:rPr>
          <w:rFonts w:ascii="Arial" w:eastAsia="Times New Roman" w:hAnsi="Arial" w:cs="Arial"/>
          <w:b/>
          <w:bCs/>
          <w:color w:val="000000"/>
          <w:kern w:val="0"/>
          <w:sz w:val="20"/>
          <w:szCs w:val="20"/>
          <w14:ligatures w14:val="none"/>
        </w:rPr>
        <w:t>tirzepatide</w:t>
      </w:r>
      <w:proofErr w:type="spellEnd"/>
      <w:r w:rsidRPr="007C35E6">
        <w:rPr>
          <w:rFonts w:ascii="Arial" w:eastAsia="Times New Roman" w:hAnsi="Arial" w:cs="Arial"/>
          <w:b/>
          <w:bCs/>
          <w:color w:val="000000"/>
          <w:kern w:val="0"/>
          <w:sz w:val="20"/>
          <w:szCs w:val="20"/>
          <w14:ligatures w14:val="none"/>
        </w:rPr>
        <w:t>-induced rodent thyroid C-cell tumors has not been determined</w:t>
      </w:r>
      <w:r w:rsidR="0000676D" w:rsidRPr="001E31FE">
        <w:rPr>
          <w:rFonts w:ascii="Arial" w:eastAsia="Times New Roman" w:hAnsi="Arial" w:cs="Arial"/>
          <w:b/>
          <w:bCs/>
          <w:color w:val="000000"/>
          <w:kern w:val="0"/>
          <w:sz w:val="20"/>
          <w:szCs w:val="20"/>
          <w14:ligatures w14:val="none"/>
        </w:rPr>
        <w:t>.</w:t>
      </w:r>
      <w:r w:rsidRPr="007C35E6">
        <w:rPr>
          <w:rFonts w:ascii="Arial" w:eastAsia="Times New Roman" w:hAnsi="Arial" w:cs="Arial"/>
          <w:b/>
          <w:bCs/>
          <w:color w:val="000000"/>
          <w:kern w:val="0"/>
          <w:sz w:val="20"/>
          <w:szCs w:val="20"/>
          <w14:ligatures w14:val="none"/>
        </w:rPr>
        <w:t> </w:t>
      </w:r>
    </w:p>
    <w:p w14:paraId="56B9306E" w14:textId="6672EDD1" w:rsidR="007C35E6" w:rsidRPr="007C35E6" w:rsidRDefault="0000676D" w:rsidP="005A76A6">
      <w:pPr>
        <w:numPr>
          <w:ilvl w:val="0"/>
          <w:numId w:val="9"/>
        </w:numPr>
        <w:spacing w:before="24" w:after="100" w:afterAutospacing="1" w:line="240" w:lineRule="auto"/>
        <w:ind w:left="1080"/>
        <w:rPr>
          <w:rFonts w:ascii="Arial" w:eastAsia="Times New Roman" w:hAnsi="Arial" w:cs="Arial"/>
          <w:color w:val="000000"/>
          <w:kern w:val="0"/>
          <w:sz w:val="20"/>
          <w:szCs w:val="20"/>
          <w14:ligatures w14:val="none"/>
        </w:rPr>
      </w:pPr>
      <w:proofErr w:type="spellStart"/>
      <w:r w:rsidRPr="001E31FE">
        <w:rPr>
          <w:rFonts w:ascii="Arial" w:eastAsia="Times New Roman" w:hAnsi="Arial" w:cs="Arial"/>
          <w:b/>
          <w:bCs/>
          <w:color w:val="000000"/>
          <w:kern w:val="0"/>
          <w:sz w:val="20"/>
          <w:szCs w:val="20"/>
          <w14:ligatures w14:val="none"/>
        </w:rPr>
        <w:t>Tirzepatide</w:t>
      </w:r>
      <w:proofErr w:type="spellEnd"/>
      <w:r w:rsidRPr="001E31FE">
        <w:rPr>
          <w:rFonts w:ascii="Arial" w:eastAsia="Times New Roman" w:hAnsi="Arial" w:cs="Arial"/>
          <w:color w:val="000000"/>
          <w:kern w:val="0"/>
          <w:sz w:val="20"/>
          <w:szCs w:val="20"/>
          <w14:ligatures w14:val="none"/>
        </w:rPr>
        <w:t xml:space="preserve"> (MOUNJARO/</w:t>
      </w:r>
      <w:r w:rsidRPr="007C35E6">
        <w:rPr>
          <w:rFonts w:ascii="Arial" w:eastAsia="Times New Roman" w:hAnsi="Arial" w:cs="Arial"/>
          <w:color w:val="000000"/>
          <w:kern w:val="0"/>
          <w:sz w:val="20"/>
          <w:szCs w:val="20"/>
          <w14:ligatures w14:val="none"/>
        </w:rPr>
        <w:t>ZEPBOUND</w:t>
      </w:r>
      <w:proofErr w:type="gramStart"/>
      <w:r w:rsidRPr="007C35E6">
        <w:rPr>
          <w:rFonts w:ascii="Arial" w:eastAsia="Times New Roman" w:hAnsi="Arial" w:cs="Arial"/>
          <w:color w:val="000000"/>
          <w:kern w:val="0"/>
          <w:sz w:val="20"/>
          <w:szCs w:val="20"/>
          <w14:ligatures w14:val="none"/>
        </w:rPr>
        <w:t>®</w:t>
      </w:r>
      <w:r w:rsidRPr="001E31FE">
        <w:rPr>
          <w:rFonts w:ascii="Arial" w:eastAsia="Times New Roman" w:hAnsi="Arial" w:cs="Arial"/>
          <w:color w:val="000000"/>
          <w:kern w:val="0"/>
          <w:sz w:val="20"/>
          <w:szCs w:val="20"/>
          <w14:ligatures w14:val="none"/>
        </w:rPr>
        <w:t>)</w:t>
      </w:r>
      <w:r w:rsidRPr="007C35E6">
        <w:rPr>
          <w:rFonts w:ascii="Arial" w:eastAsia="Times New Roman" w:hAnsi="Arial" w:cs="Arial"/>
          <w:color w:val="000000"/>
          <w:kern w:val="0"/>
          <w:sz w:val="20"/>
          <w:szCs w:val="20"/>
          <w14:ligatures w14:val="none"/>
        </w:rPr>
        <w:t> </w:t>
      </w:r>
      <w:r w:rsidR="007C35E6" w:rsidRPr="007C35E6">
        <w:rPr>
          <w:rFonts w:ascii="Arial" w:eastAsia="Times New Roman" w:hAnsi="Arial" w:cs="Arial"/>
          <w:b/>
          <w:bCs/>
          <w:color w:val="000000"/>
          <w:kern w:val="0"/>
          <w:sz w:val="20"/>
          <w:szCs w:val="20"/>
          <w14:ligatures w14:val="none"/>
        </w:rPr>
        <w:t xml:space="preserve"> is</w:t>
      </w:r>
      <w:proofErr w:type="gramEnd"/>
      <w:r w:rsidR="007C35E6" w:rsidRPr="007C35E6">
        <w:rPr>
          <w:rFonts w:ascii="Arial" w:eastAsia="Times New Roman" w:hAnsi="Arial" w:cs="Arial"/>
          <w:b/>
          <w:bCs/>
          <w:color w:val="000000"/>
          <w:kern w:val="0"/>
          <w:sz w:val="20"/>
          <w:szCs w:val="20"/>
          <w14:ligatures w14:val="none"/>
        </w:rPr>
        <w:t xml:space="preserve"> contraindicated in patients with a personal or family history of MTC or in patients with Multiple Endocrine Neoplasia syndrome type 2 (MEN 2</w:t>
      </w:r>
      <w:r w:rsidR="00420C60" w:rsidRPr="001E31FE">
        <w:rPr>
          <w:rFonts w:ascii="Arial" w:eastAsia="Times New Roman" w:hAnsi="Arial" w:cs="Arial"/>
          <w:b/>
          <w:bCs/>
          <w:color w:val="000000"/>
          <w:kern w:val="0"/>
          <w:sz w:val="20"/>
          <w:szCs w:val="20"/>
          <w14:ligatures w14:val="none"/>
        </w:rPr>
        <w:t>)</w:t>
      </w:r>
      <w:r w:rsidR="00186011" w:rsidRPr="001E31FE">
        <w:rPr>
          <w:rFonts w:ascii="Arial" w:eastAsia="Times New Roman" w:hAnsi="Arial" w:cs="Arial"/>
          <w:b/>
          <w:bCs/>
          <w:color w:val="000000"/>
          <w:kern w:val="0"/>
          <w:sz w:val="20"/>
          <w:szCs w:val="20"/>
          <w14:ligatures w14:val="none"/>
        </w:rPr>
        <w:t xml:space="preserve">. </w:t>
      </w:r>
      <w:r w:rsidR="007C35E6" w:rsidRPr="007C35E6">
        <w:rPr>
          <w:rFonts w:ascii="Arial" w:eastAsia="Times New Roman" w:hAnsi="Arial" w:cs="Arial"/>
          <w:b/>
          <w:bCs/>
          <w:color w:val="000000"/>
          <w:kern w:val="0"/>
          <w:sz w:val="20"/>
          <w:szCs w:val="20"/>
          <w14:ligatures w14:val="none"/>
        </w:rPr>
        <w:t xml:space="preserve">Counsel patients regarding the potential risk for MTC with the use of </w:t>
      </w:r>
      <w:proofErr w:type="spellStart"/>
      <w:r w:rsidR="009103D0" w:rsidRPr="001E31FE">
        <w:rPr>
          <w:rFonts w:ascii="Arial" w:eastAsia="Times New Roman" w:hAnsi="Arial" w:cs="Arial"/>
          <w:b/>
          <w:bCs/>
          <w:color w:val="000000"/>
          <w:kern w:val="0"/>
          <w:sz w:val="20"/>
          <w:szCs w:val="20"/>
          <w14:ligatures w14:val="none"/>
        </w:rPr>
        <w:t>Tirzepatide</w:t>
      </w:r>
      <w:proofErr w:type="spellEnd"/>
      <w:r w:rsidR="007C35E6" w:rsidRPr="007C35E6">
        <w:rPr>
          <w:rFonts w:ascii="Arial" w:eastAsia="Times New Roman" w:hAnsi="Arial" w:cs="Arial"/>
          <w:b/>
          <w:bCs/>
          <w:color w:val="000000"/>
          <w:kern w:val="0"/>
          <w:sz w:val="20"/>
          <w:szCs w:val="20"/>
          <w14:ligatures w14:val="none"/>
        </w:rPr>
        <w:t xml:space="preserve"> and inform them of symptoms of thyroid tumors (e.g., a mass in the neck, dysphagia, dyspnea, persistent hoarseness). Routine monitoring of serum calcitonin or using thyroid ultrasound is of uncertain value for early detection of MTC in patients treated with </w:t>
      </w:r>
      <w:proofErr w:type="spellStart"/>
      <w:r w:rsidR="003B1E05" w:rsidRPr="001E31FE">
        <w:rPr>
          <w:rFonts w:ascii="Arial" w:eastAsia="Times New Roman" w:hAnsi="Arial" w:cs="Arial"/>
          <w:b/>
          <w:bCs/>
          <w:color w:val="000000"/>
          <w:kern w:val="0"/>
          <w:sz w:val="20"/>
          <w:szCs w:val="20"/>
          <w14:ligatures w14:val="none"/>
        </w:rPr>
        <w:t>Tirzepatide</w:t>
      </w:r>
      <w:proofErr w:type="spellEnd"/>
      <w:r w:rsidR="002801C1" w:rsidRPr="001E31FE">
        <w:rPr>
          <w:rFonts w:ascii="Arial" w:eastAsia="Times New Roman" w:hAnsi="Arial" w:cs="Arial"/>
          <w:color w:val="000000"/>
          <w:kern w:val="0"/>
          <w:sz w:val="20"/>
          <w:szCs w:val="20"/>
          <w14:ligatures w14:val="none"/>
        </w:rPr>
        <w:t xml:space="preserve"> </w:t>
      </w:r>
      <w:r w:rsidR="003B1E05" w:rsidRPr="001E31FE">
        <w:rPr>
          <w:rFonts w:ascii="Arial" w:eastAsia="Times New Roman" w:hAnsi="Arial" w:cs="Arial"/>
          <w:color w:val="000000"/>
          <w:kern w:val="0"/>
          <w:sz w:val="20"/>
          <w:szCs w:val="20"/>
          <w14:ligatures w14:val="none"/>
        </w:rPr>
        <w:t>(MOUNJARO/</w:t>
      </w:r>
      <w:r w:rsidR="003B1E05" w:rsidRPr="007C35E6">
        <w:rPr>
          <w:rFonts w:ascii="Arial" w:eastAsia="Times New Roman" w:hAnsi="Arial" w:cs="Arial"/>
          <w:color w:val="000000"/>
          <w:kern w:val="0"/>
          <w:sz w:val="20"/>
          <w:szCs w:val="20"/>
          <w14:ligatures w14:val="none"/>
        </w:rPr>
        <w:t>ZEPBOUND®</w:t>
      </w:r>
      <w:r w:rsidR="003B1E05" w:rsidRPr="001E31FE">
        <w:rPr>
          <w:rFonts w:ascii="Arial" w:eastAsia="Times New Roman" w:hAnsi="Arial" w:cs="Arial"/>
          <w:color w:val="000000"/>
          <w:kern w:val="0"/>
          <w:sz w:val="20"/>
          <w:szCs w:val="20"/>
          <w14:ligatures w14:val="none"/>
        </w:rPr>
        <w:t>)</w:t>
      </w:r>
      <w:r w:rsidR="007C35E6" w:rsidRPr="007C35E6">
        <w:rPr>
          <w:rFonts w:ascii="Arial" w:eastAsia="Times New Roman" w:hAnsi="Arial" w:cs="Arial"/>
          <w:b/>
          <w:bCs/>
          <w:color w:val="000000"/>
          <w:kern w:val="0"/>
          <w:sz w:val="20"/>
          <w:szCs w:val="20"/>
          <w14:ligatures w14:val="none"/>
        </w:rPr>
        <w:t>.</w:t>
      </w:r>
    </w:p>
    <w:sectPr w:rsidR="007C35E6" w:rsidRPr="007C3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DBC"/>
    <w:multiLevelType w:val="multilevel"/>
    <w:tmpl w:val="7DCE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938A6"/>
    <w:multiLevelType w:val="hybridMultilevel"/>
    <w:tmpl w:val="FC80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062F2"/>
    <w:multiLevelType w:val="multilevel"/>
    <w:tmpl w:val="350A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56BB1"/>
    <w:multiLevelType w:val="multilevel"/>
    <w:tmpl w:val="586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D7617"/>
    <w:multiLevelType w:val="multilevel"/>
    <w:tmpl w:val="669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BF04FA"/>
    <w:multiLevelType w:val="multilevel"/>
    <w:tmpl w:val="515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977B4"/>
    <w:multiLevelType w:val="multilevel"/>
    <w:tmpl w:val="1A44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03141C"/>
    <w:multiLevelType w:val="multilevel"/>
    <w:tmpl w:val="606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61E12"/>
    <w:multiLevelType w:val="multilevel"/>
    <w:tmpl w:val="B1A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B60D94"/>
    <w:multiLevelType w:val="multilevel"/>
    <w:tmpl w:val="2FB8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E3251"/>
    <w:multiLevelType w:val="multilevel"/>
    <w:tmpl w:val="0B6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12692A"/>
    <w:multiLevelType w:val="hybridMultilevel"/>
    <w:tmpl w:val="95EE3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60800"/>
    <w:multiLevelType w:val="multilevel"/>
    <w:tmpl w:val="45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316675"/>
    <w:multiLevelType w:val="multilevel"/>
    <w:tmpl w:val="D07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5057F"/>
    <w:multiLevelType w:val="multilevel"/>
    <w:tmpl w:val="140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A97BA5"/>
    <w:multiLevelType w:val="multilevel"/>
    <w:tmpl w:val="931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6A0978"/>
    <w:multiLevelType w:val="multilevel"/>
    <w:tmpl w:val="E138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257AEC"/>
    <w:multiLevelType w:val="multilevel"/>
    <w:tmpl w:val="F8B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270457">
    <w:abstractNumId w:val="7"/>
  </w:num>
  <w:num w:numId="2" w16cid:durableId="776291818">
    <w:abstractNumId w:val="10"/>
  </w:num>
  <w:num w:numId="3" w16cid:durableId="553471487">
    <w:abstractNumId w:val="14"/>
  </w:num>
  <w:num w:numId="4" w16cid:durableId="1777020448">
    <w:abstractNumId w:val="16"/>
  </w:num>
  <w:num w:numId="5" w16cid:durableId="1648515569">
    <w:abstractNumId w:val="5"/>
  </w:num>
  <w:num w:numId="6" w16cid:durableId="1824344733">
    <w:abstractNumId w:val="2"/>
  </w:num>
  <w:num w:numId="7" w16cid:durableId="1717899307">
    <w:abstractNumId w:val="13"/>
  </w:num>
  <w:num w:numId="8" w16cid:durableId="1161458236">
    <w:abstractNumId w:val="12"/>
  </w:num>
  <w:num w:numId="9" w16cid:durableId="1409646254">
    <w:abstractNumId w:val="3"/>
  </w:num>
  <w:num w:numId="10" w16cid:durableId="117799250">
    <w:abstractNumId w:val="0"/>
  </w:num>
  <w:num w:numId="11" w16cid:durableId="1292709415">
    <w:abstractNumId w:val="17"/>
  </w:num>
  <w:num w:numId="12" w16cid:durableId="1338188677">
    <w:abstractNumId w:val="6"/>
  </w:num>
  <w:num w:numId="13" w16cid:durableId="956064563">
    <w:abstractNumId w:val="8"/>
  </w:num>
  <w:num w:numId="14" w16cid:durableId="1751349913">
    <w:abstractNumId w:val="4"/>
  </w:num>
  <w:num w:numId="15" w16cid:durableId="363215332">
    <w:abstractNumId w:val="15"/>
  </w:num>
  <w:num w:numId="16" w16cid:durableId="1618100793">
    <w:abstractNumId w:val="9"/>
  </w:num>
  <w:num w:numId="17" w16cid:durableId="906501417">
    <w:abstractNumId w:val="11"/>
  </w:num>
  <w:num w:numId="18" w16cid:durableId="210745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C"/>
    <w:rsid w:val="0000676D"/>
    <w:rsid w:val="000200EA"/>
    <w:rsid w:val="00023377"/>
    <w:rsid w:val="00052F4B"/>
    <w:rsid w:val="00064694"/>
    <w:rsid w:val="000700B4"/>
    <w:rsid w:val="00087EE9"/>
    <w:rsid w:val="000911C7"/>
    <w:rsid w:val="000B4E89"/>
    <w:rsid w:val="000B7128"/>
    <w:rsid w:val="000D2A98"/>
    <w:rsid w:val="001263D7"/>
    <w:rsid w:val="0018072A"/>
    <w:rsid w:val="00186011"/>
    <w:rsid w:val="00191256"/>
    <w:rsid w:val="001E2F2D"/>
    <w:rsid w:val="001E31FE"/>
    <w:rsid w:val="00206A61"/>
    <w:rsid w:val="00210A3D"/>
    <w:rsid w:val="00217B95"/>
    <w:rsid w:val="00225A61"/>
    <w:rsid w:val="002410F6"/>
    <w:rsid w:val="002801C1"/>
    <w:rsid w:val="003001C9"/>
    <w:rsid w:val="00322E86"/>
    <w:rsid w:val="00337F99"/>
    <w:rsid w:val="00342114"/>
    <w:rsid w:val="00346A88"/>
    <w:rsid w:val="00354A72"/>
    <w:rsid w:val="003B1E05"/>
    <w:rsid w:val="003C0AAD"/>
    <w:rsid w:val="003D04D9"/>
    <w:rsid w:val="00420C60"/>
    <w:rsid w:val="00422A05"/>
    <w:rsid w:val="004F4C00"/>
    <w:rsid w:val="00502E7E"/>
    <w:rsid w:val="00563841"/>
    <w:rsid w:val="005D719C"/>
    <w:rsid w:val="006478BE"/>
    <w:rsid w:val="00693A83"/>
    <w:rsid w:val="006D5C37"/>
    <w:rsid w:val="0078590A"/>
    <w:rsid w:val="007C35E6"/>
    <w:rsid w:val="00813103"/>
    <w:rsid w:val="00813E92"/>
    <w:rsid w:val="008166F0"/>
    <w:rsid w:val="00843D6C"/>
    <w:rsid w:val="008B07E5"/>
    <w:rsid w:val="008C6551"/>
    <w:rsid w:val="009003C9"/>
    <w:rsid w:val="009103D0"/>
    <w:rsid w:val="0092700B"/>
    <w:rsid w:val="00957E2C"/>
    <w:rsid w:val="00960FB2"/>
    <w:rsid w:val="00983642"/>
    <w:rsid w:val="009D5491"/>
    <w:rsid w:val="00A91A07"/>
    <w:rsid w:val="00AA3416"/>
    <w:rsid w:val="00AC2CD1"/>
    <w:rsid w:val="00B236E3"/>
    <w:rsid w:val="00B46B98"/>
    <w:rsid w:val="00B75316"/>
    <w:rsid w:val="00BE0C71"/>
    <w:rsid w:val="00C575EA"/>
    <w:rsid w:val="00C603F7"/>
    <w:rsid w:val="00CB5B99"/>
    <w:rsid w:val="00CC4BEB"/>
    <w:rsid w:val="00D23178"/>
    <w:rsid w:val="00D323D7"/>
    <w:rsid w:val="00D713F6"/>
    <w:rsid w:val="00D71683"/>
    <w:rsid w:val="00D94DA7"/>
    <w:rsid w:val="00DA46B7"/>
    <w:rsid w:val="00E40305"/>
    <w:rsid w:val="00EA130D"/>
    <w:rsid w:val="00EF0995"/>
    <w:rsid w:val="00F22BCF"/>
    <w:rsid w:val="00F44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ADDB"/>
  <w15:chartTrackingRefBased/>
  <w15:docId w15:val="{1FF79856-50CA-4BEC-B06C-B25B8492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6C"/>
    <w:rPr>
      <w:rFonts w:eastAsiaTheme="majorEastAsia" w:cstheme="majorBidi"/>
      <w:color w:val="272727" w:themeColor="text1" w:themeTint="D8"/>
    </w:rPr>
  </w:style>
  <w:style w:type="paragraph" w:styleId="Title">
    <w:name w:val="Title"/>
    <w:basedOn w:val="Normal"/>
    <w:next w:val="Normal"/>
    <w:link w:val="TitleChar"/>
    <w:uiPriority w:val="10"/>
    <w:qFormat/>
    <w:rsid w:val="00843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6C"/>
    <w:pPr>
      <w:spacing w:before="160"/>
      <w:jc w:val="center"/>
    </w:pPr>
    <w:rPr>
      <w:i/>
      <w:iCs/>
      <w:color w:val="404040" w:themeColor="text1" w:themeTint="BF"/>
    </w:rPr>
  </w:style>
  <w:style w:type="character" w:customStyle="1" w:styleId="QuoteChar">
    <w:name w:val="Quote Char"/>
    <w:basedOn w:val="DefaultParagraphFont"/>
    <w:link w:val="Quote"/>
    <w:uiPriority w:val="29"/>
    <w:rsid w:val="00843D6C"/>
    <w:rPr>
      <w:i/>
      <w:iCs/>
      <w:color w:val="404040" w:themeColor="text1" w:themeTint="BF"/>
    </w:rPr>
  </w:style>
  <w:style w:type="paragraph" w:styleId="ListParagraph">
    <w:name w:val="List Paragraph"/>
    <w:basedOn w:val="Normal"/>
    <w:uiPriority w:val="34"/>
    <w:qFormat/>
    <w:rsid w:val="00843D6C"/>
    <w:pPr>
      <w:ind w:left="720"/>
      <w:contextualSpacing/>
    </w:pPr>
  </w:style>
  <w:style w:type="character" w:styleId="IntenseEmphasis">
    <w:name w:val="Intense Emphasis"/>
    <w:basedOn w:val="DefaultParagraphFont"/>
    <w:uiPriority w:val="21"/>
    <w:qFormat/>
    <w:rsid w:val="00843D6C"/>
    <w:rPr>
      <w:i/>
      <w:iCs/>
      <w:color w:val="0F4761" w:themeColor="accent1" w:themeShade="BF"/>
    </w:rPr>
  </w:style>
  <w:style w:type="paragraph" w:styleId="IntenseQuote">
    <w:name w:val="Intense Quote"/>
    <w:basedOn w:val="Normal"/>
    <w:next w:val="Normal"/>
    <w:link w:val="IntenseQuoteChar"/>
    <w:uiPriority w:val="30"/>
    <w:qFormat/>
    <w:rsid w:val="00843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D6C"/>
    <w:rPr>
      <w:i/>
      <w:iCs/>
      <w:color w:val="0F4761" w:themeColor="accent1" w:themeShade="BF"/>
    </w:rPr>
  </w:style>
  <w:style w:type="character" w:styleId="IntenseReference">
    <w:name w:val="Intense Reference"/>
    <w:basedOn w:val="DefaultParagraphFont"/>
    <w:uiPriority w:val="32"/>
    <w:qFormat/>
    <w:rsid w:val="00843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90537">
      <w:bodyDiv w:val="1"/>
      <w:marLeft w:val="0"/>
      <w:marRight w:val="0"/>
      <w:marTop w:val="0"/>
      <w:marBottom w:val="0"/>
      <w:divBdr>
        <w:top w:val="none" w:sz="0" w:space="0" w:color="auto"/>
        <w:left w:val="none" w:sz="0" w:space="0" w:color="auto"/>
        <w:bottom w:val="none" w:sz="0" w:space="0" w:color="auto"/>
        <w:right w:val="none" w:sz="0" w:space="0" w:color="auto"/>
      </w:divBdr>
      <w:divsChild>
        <w:div w:id="1233589922">
          <w:marLeft w:val="0"/>
          <w:marRight w:val="0"/>
          <w:marTop w:val="0"/>
          <w:marBottom w:val="0"/>
          <w:divBdr>
            <w:top w:val="none" w:sz="0" w:space="0" w:color="auto"/>
            <w:left w:val="none" w:sz="0" w:space="0" w:color="auto"/>
            <w:bottom w:val="none" w:sz="0" w:space="0" w:color="auto"/>
            <w:right w:val="none" w:sz="0" w:space="0" w:color="auto"/>
          </w:divBdr>
        </w:div>
        <w:div w:id="109472129">
          <w:marLeft w:val="0"/>
          <w:marRight w:val="0"/>
          <w:marTop w:val="0"/>
          <w:marBottom w:val="0"/>
          <w:divBdr>
            <w:top w:val="none" w:sz="0" w:space="0" w:color="auto"/>
            <w:left w:val="none" w:sz="0" w:space="0" w:color="auto"/>
            <w:bottom w:val="none" w:sz="0" w:space="0" w:color="auto"/>
            <w:right w:val="none" w:sz="0" w:space="0" w:color="auto"/>
          </w:divBdr>
          <w:divsChild>
            <w:div w:id="1536231599">
              <w:marLeft w:val="0"/>
              <w:marRight w:val="0"/>
              <w:marTop w:val="0"/>
              <w:marBottom w:val="0"/>
              <w:divBdr>
                <w:top w:val="none" w:sz="0" w:space="0" w:color="auto"/>
                <w:left w:val="none" w:sz="0" w:space="0" w:color="auto"/>
                <w:bottom w:val="none" w:sz="0" w:space="0" w:color="auto"/>
                <w:right w:val="none" w:sz="0" w:space="0" w:color="auto"/>
              </w:divBdr>
            </w:div>
            <w:div w:id="1445078606">
              <w:marLeft w:val="0"/>
              <w:marRight w:val="0"/>
              <w:marTop w:val="0"/>
              <w:marBottom w:val="0"/>
              <w:divBdr>
                <w:top w:val="none" w:sz="0" w:space="0" w:color="auto"/>
                <w:left w:val="none" w:sz="0" w:space="0" w:color="auto"/>
                <w:bottom w:val="none" w:sz="0" w:space="0" w:color="auto"/>
                <w:right w:val="none" w:sz="0" w:space="0" w:color="auto"/>
              </w:divBdr>
              <w:divsChild>
                <w:div w:id="1013873258">
                  <w:marLeft w:val="0"/>
                  <w:marRight w:val="0"/>
                  <w:marTop w:val="240"/>
                  <w:marBottom w:val="264"/>
                  <w:divBdr>
                    <w:top w:val="single" w:sz="24" w:space="0" w:color="000000"/>
                    <w:left w:val="single" w:sz="24" w:space="12" w:color="000000"/>
                    <w:bottom w:val="single" w:sz="24" w:space="6" w:color="000000"/>
                    <w:right w:val="single" w:sz="24" w:space="12" w:color="000000"/>
                  </w:divBdr>
                </w:div>
              </w:divsChild>
            </w:div>
          </w:divsChild>
        </w:div>
        <w:div w:id="1694114180">
          <w:marLeft w:val="0"/>
          <w:marRight w:val="0"/>
          <w:marTop w:val="0"/>
          <w:marBottom w:val="0"/>
          <w:divBdr>
            <w:top w:val="none" w:sz="0" w:space="0" w:color="auto"/>
            <w:left w:val="none" w:sz="0" w:space="0" w:color="auto"/>
            <w:bottom w:val="none" w:sz="0" w:space="0" w:color="auto"/>
            <w:right w:val="none" w:sz="0" w:space="0" w:color="auto"/>
          </w:divBdr>
          <w:divsChild>
            <w:div w:id="698051465">
              <w:marLeft w:val="0"/>
              <w:marRight w:val="0"/>
              <w:marTop w:val="0"/>
              <w:marBottom w:val="0"/>
              <w:divBdr>
                <w:top w:val="none" w:sz="0" w:space="0" w:color="auto"/>
                <w:left w:val="none" w:sz="0" w:space="0" w:color="auto"/>
                <w:bottom w:val="none" w:sz="0" w:space="0" w:color="auto"/>
                <w:right w:val="none" w:sz="0" w:space="0" w:color="auto"/>
              </w:divBdr>
            </w:div>
            <w:div w:id="107894619">
              <w:marLeft w:val="0"/>
              <w:marRight w:val="0"/>
              <w:marTop w:val="240"/>
              <w:marBottom w:val="0"/>
              <w:divBdr>
                <w:top w:val="none" w:sz="0" w:space="0" w:color="auto"/>
                <w:left w:val="none" w:sz="0" w:space="0" w:color="auto"/>
                <w:bottom w:val="none" w:sz="0" w:space="0" w:color="auto"/>
                <w:right w:val="none" w:sz="0" w:space="0" w:color="auto"/>
              </w:divBdr>
              <w:divsChild>
                <w:div w:id="145242543">
                  <w:marLeft w:val="0"/>
                  <w:marRight w:val="0"/>
                  <w:marTop w:val="0"/>
                  <w:marBottom w:val="0"/>
                  <w:divBdr>
                    <w:top w:val="none" w:sz="0" w:space="0" w:color="auto"/>
                    <w:left w:val="none" w:sz="0" w:space="0" w:color="auto"/>
                    <w:bottom w:val="none" w:sz="0" w:space="0" w:color="auto"/>
                    <w:right w:val="none" w:sz="0" w:space="0" w:color="auto"/>
                  </w:divBdr>
                </w:div>
                <w:div w:id="1987394898">
                  <w:marLeft w:val="0"/>
                  <w:marRight w:val="0"/>
                  <w:marTop w:val="240"/>
                  <w:marBottom w:val="264"/>
                  <w:divBdr>
                    <w:top w:val="single" w:sz="24" w:space="0" w:color="000000"/>
                    <w:left w:val="single" w:sz="24" w:space="12" w:color="000000"/>
                    <w:bottom w:val="single" w:sz="24" w:space="6" w:color="000000"/>
                    <w:right w:val="single" w:sz="24" w:space="12" w:color="000000"/>
                  </w:divBdr>
                  <w:divsChild>
                    <w:div w:id="533349721">
                      <w:marLeft w:val="0"/>
                      <w:marRight w:val="0"/>
                      <w:marTop w:val="0"/>
                      <w:marBottom w:val="0"/>
                      <w:divBdr>
                        <w:top w:val="none" w:sz="0" w:space="0" w:color="auto"/>
                        <w:left w:val="none" w:sz="0" w:space="0" w:color="auto"/>
                        <w:bottom w:val="none" w:sz="0" w:space="0" w:color="auto"/>
                        <w:right w:val="none" w:sz="0" w:space="0" w:color="auto"/>
                      </w:divBdr>
                    </w:div>
                  </w:divsChild>
                </w:div>
                <w:div w:id="666858302">
                  <w:marLeft w:val="0"/>
                  <w:marRight w:val="0"/>
                  <w:marTop w:val="216"/>
                  <w:marBottom w:val="0"/>
                  <w:divBdr>
                    <w:top w:val="dashed" w:sz="6" w:space="0" w:color="auto"/>
                    <w:left w:val="none" w:sz="0" w:space="0" w:color="auto"/>
                    <w:bottom w:val="none" w:sz="0" w:space="0" w:color="auto"/>
                    <w:right w:val="none" w:sz="0" w:space="0" w:color="auto"/>
                  </w:divBdr>
                  <w:divsChild>
                    <w:div w:id="1603299243">
                      <w:marLeft w:val="0"/>
                      <w:marRight w:val="0"/>
                      <w:marTop w:val="0"/>
                      <w:marBottom w:val="0"/>
                      <w:divBdr>
                        <w:top w:val="none" w:sz="0" w:space="0" w:color="auto"/>
                        <w:left w:val="none" w:sz="0" w:space="0" w:color="auto"/>
                        <w:bottom w:val="none" w:sz="0" w:space="0" w:color="auto"/>
                        <w:right w:val="none" w:sz="0" w:space="0" w:color="auto"/>
                      </w:divBdr>
                    </w:div>
                  </w:divsChild>
                </w:div>
                <w:div w:id="1866864407">
                  <w:marLeft w:val="0"/>
                  <w:marRight w:val="0"/>
                  <w:marTop w:val="216"/>
                  <w:marBottom w:val="0"/>
                  <w:divBdr>
                    <w:top w:val="dashed" w:sz="6" w:space="0" w:color="auto"/>
                    <w:left w:val="none" w:sz="0" w:space="0" w:color="auto"/>
                    <w:bottom w:val="none" w:sz="0" w:space="0" w:color="auto"/>
                    <w:right w:val="none" w:sz="0" w:space="0" w:color="auto"/>
                  </w:divBdr>
                  <w:divsChild>
                    <w:div w:id="1943410672">
                      <w:marLeft w:val="0"/>
                      <w:marRight w:val="0"/>
                      <w:marTop w:val="0"/>
                      <w:marBottom w:val="0"/>
                      <w:divBdr>
                        <w:top w:val="none" w:sz="0" w:space="0" w:color="auto"/>
                        <w:left w:val="none" w:sz="0" w:space="0" w:color="auto"/>
                        <w:bottom w:val="none" w:sz="0" w:space="0" w:color="auto"/>
                        <w:right w:val="none" w:sz="0" w:space="0" w:color="auto"/>
                      </w:divBdr>
                    </w:div>
                  </w:divsChild>
                </w:div>
                <w:div w:id="1768886321">
                  <w:marLeft w:val="0"/>
                  <w:marRight w:val="0"/>
                  <w:marTop w:val="216"/>
                  <w:marBottom w:val="0"/>
                  <w:divBdr>
                    <w:top w:val="dashed" w:sz="6" w:space="0" w:color="auto"/>
                    <w:left w:val="none" w:sz="0" w:space="0" w:color="auto"/>
                    <w:bottom w:val="none" w:sz="0" w:space="0" w:color="auto"/>
                    <w:right w:val="none" w:sz="0" w:space="0" w:color="auto"/>
                  </w:divBdr>
                  <w:divsChild>
                    <w:div w:id="1852798150">
                      <w:marLeft w:val="0"/>
                      <w:marRight w:val="0"/>
                      <w:marTop w:val="0"/>
                      <w:marBottom w:val="0"/>
                      <w:divBdr>
                        <w:top w:val="none" w:sz="0" w:space="0" w:color="auto"/>
                        <w:left w:val="none" w:sz="0" w:space="0" w:color="auto"/>
                        <w:bottom w:val="none" w:sz="0" w:space="0" w:color="auto"/>
                        <w:right w:val="none" w:sz="0" w:space="0" w:color="auto"/>
                      </w:divBdr>
                    </w:div>
                  </w:divsChild>
                </w:div>
                <w:div w:id="808091262">
                  <w:marLeft w:val="0"/>
                  <w:marRight w:val="0"/>
                  <w:marTop w:val="216"/>
                  <w:marBottom w:val="0"/>
                  <w:divBdr>
                    <w:top w:val="dashed" w:sz="6" w:space="0" w:color="auto"/>
                    <w:left w:val="none" w:sz="0" w:space="0" w:color="auto"/>
                    <w:bottom w:val="none" w:sz="0" w:space="0" w:color="auto"/>
                    <w:right w:val="none" w:sz="0" w:space="0" w:color="auto"/>
                  </w:divBdr>
                  <w:divsChild>
                    <w:div w:id="367224166">
                      <w:marLeft w:val="0"/>
                      <w:marRight w:val="0"/>
                      <w:marTop w:val="0"/>
                      <w:marBottom w:val="0"/>
                      <w:divBdr>
                        <w:top w:val="none" w:sz="0" w:space="0" w:color="auto"/>
                        <w:left w:val="none" w:sz="0" w:space="0" w:color="auto"/>
                        <w:bottom w:val="none" w:sz="0" w:space="0" w:color="auto"/>
                        <w:right w:val="none" w:sz="0" w:space="0" w:color="auto"/>
                      </w:divBdr>
                    </w:div>
                  </w:divsChild>
                </w:div>
                <w:div w:id="1255629202">
                  <w:marLeft w:val="0"/>
                  <w:marRight w:val="0"/>
                  <w:marTop w:val="216"/>
                  <w:marBottom w:val="0"/>
                  <w:divBdr>
                    <w:top w:val="dashed" w:sz="6" w:space="0" w:color="auto"/>
                    <w:left w:val="none" w:sz="0" w:space="0" w:color="auto"/>
                    <w:bottom w:val="none" w:sz="0" w:space="0" w:color="auto"/>
                    <w:right w:val="none" w:sz="0" w:space="0" w:color="auto"/>
                  </w:divBdr>
                  <w:divsChild>
                    <w:div w:id="698774488">
                      <w:marLeft w:val="0"/>
                      <w:marRight w:val="0"/>
                      <w:marTop w:val="0"/>
                      <w:marBottom w:val="0"/>
                      <w:divBdr>
                        <w:top w:val="none" w:sz="0" w:space="0" w:color="auto"/>
                        <w:left w:val="none" w:sz="0" w:space="0" w:color="auto"/>
                        <w:bottom w:val="none" w:sz="0" w:space="0" w:color="auto"/>
                        <w:right w:val="none" w:sz="0" w:space="0" w:color="auto"/>
                      </w:divBdr>
                    </w:div>
                  </w:divsChild>
                </w:div>
                <w:div w:id="436026051">
                  <w:marLeft w:val="0"/>
                  <w:marRight w:val="0"/>
                  <w:marTop w:val="216"/>
                  <w:marBottom w:val="0"/>
                  <w:divBdr>
                    <w:top w:val="dashed" w:sz="6" w:space="0" w:color="auto"/>
                    <w:left w:val="none" w:sz="0" w:space="0" w:color="auto"/>
                    <w:bottom w:val="none" w:sz="0" w:space="0" w:color="auto"/>
                    <w:right w:val="none" w:sz="0" w:space="0" w:color="auto"/>
                  </w:divBdr>
                  <w:divsChild>
                    <w:div w:id="1061101471">
                      <w:marLeft w:val="0"/>
                      <w:marRight w:val="0"/>
                      <w:marTop w:val="0"/>
                      <w:marBottom w:val="0"/>
                      <w:divBdr>
                        <w:top w:val="none" w:sz="0" w:space="0" w:color="auto"/>
                        <w:left w:val="none" w:sz="0" w:space="0" w:color="auto"/>
                        <w:bottom w:val="none" w:sz="0" w:space="0" w:color="auto"/>
                        <w:right w:val="none" w:sz="0" w:space="0" w:color="auto"/>
                      </w:divBdr>
                    </w:div>
                  </w:divsChild>
                </w:div>
                <w:div w:id="1730567060">
                  <w:marLeft w:val="0"/>
                  <w:marRight w:val="0"/>
                  <w:marTop w:val="216"/>
                  <w:marBottom w:val="0"/>
                  <w:divBdr>
                    <w:top w:val="dashed" w:sz="6" w:space="0" w:color="auto"/>
                    <w:left w:val="none" w:sz="0" w:space="0" w:color="auto"/>
                    <w:bottom w:val="none" w:sz="0" w:space="0" w:color="auto"/>
                    <w:right w:val="none" w:sz="0" w:space="0" w:color="auto"/>
                  </w:divBdr>
                  <w:divsChild>
                    <w:div w:id="1617717908">
                      <w:marLeft w:val="0"/>
                      <w:marRight w:val="0"/>
                      <w:marTop w:val="0"/>
                      <w:marBottom w:val="0"/>
                      <w:divBdr>
                        <w:top w:val="none" w:sz="0" w:space="0" w:color="auto"/>
                        <w:left w:val="none" w:sz="0" w:space="0" w:color="auto"/>
                        <w:bottom w:val="none" w:sz="0" w:space="0" w:color="auto"/>
                        <w:right w:val="none" w:sz="0" w:space="0" w:color="auto"/>
                      </w:divBdr>
                    </w:div>
                  </w:divsChild>
                </w:div>
                <w:div w:id="181093117">
                  <w:marLeft w:val="0"/>
                  <w:marRight w:val="0"/>
                  <w:marTop w:val="216"/>
                  <w:marBottom w:val="0"/>
                  <w:divBdr>
                    <w:top w:val="dashed" w:sz="6" w:space="0" w:color="auto"/>
                    <w:left w:val="none" w:sz="0" w:space="0" w:color="auto"/>
                    <w:bottom w:val="none" w:sz="0" w:space="0" w:color="auto"/>
                    <w:right w:val="none" w:sz="0" w:space="0" w:color="auto"/>
                  </w:divBdr>
                  <w:divsChild>
                    <w:div w:id="13385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752">
      <w:bodyDiv w:val="1"/>
      <w:marLeft w:val="0"/>
      <w:marRight w:val="0"/>
      <w:marTop w:val="0"/>
      <w:marBottom w:val="0"/>
      <w:divBdr>
        <w:top w:val="none" w:sz="0" w:space="0" w:color="auto"/>
        <w:left w:val="none" w:sz="0" w:space="0" w:color="auto"/>
        <w:bottom w:val="none" w:sz="0" w:space="0" w:color="auto"/>
        <w:right w:val="none" w:sz="0" w:space="0" w:color="auto"/>
      </w:divBdr>
      <w:divsChild>
        <w:div w:id="1021392337">
          <w:marLeft w:val="0"/>
          <w:marRight w:val="0"/>
          <w:marTop w:val="0"/>
          <w:marBottom w:val="0"/>
          <w:divBdr>
            <w:top w:val="none" w:sz="0" w:space="0" w:color="auto"/>
            <w:left w:val="none" w:sz="0" w:space="0" w:color="auto"/>
            <w:bottom w:val="none" w:sz="0" w:space="0" w:color="auto"/>
            <w:right w:val="none" w:sz="0" w:space="0" w:color="auto"/>
          </w:divBdr>
        </w:div>
        <w:div w:id="1993438774">
          <w:marLeft w:val="0"/>
          <w:marRight w:val="0"/>
          <w:marTop w:val="0"/>
          <w:marBottom w:val="0"/>
          <w:divBdr>
            <w:top w:val="none" w:sz="0" w:space="0" w:color="auto"/>
            <w:left w:val="none" w:sz="0" w:space="0" w:color="auto"/>
            <w:bottom w:val="none" w:sz="0" w:space="0" w:color="auto"/>
            <w:right w:val="none" w:sz="0" w:space="0" w:color="auto"/>
          </w:divBdr>
          <w:divsChild>
            <w:div w:id="907039708">
              <w:marLeft w:val="0"/>
              <w:marRight w:val="0"/>
              <w:marTop w:val="0"/>
              <w:marBottom w:val="0"/>
              <w:divBdr>
                <w:top w:val="none" w:sz="0" w:space="0" w:color="auto"/>
                <w:left w:val="none" w:sz="0" w:space="0" w:color="auto"/>
                <w:bottom w:val="none" w:sz="0" w:space="0" w:color="auto"/>
                <w:right w:val="none" w:sz="0" w:space="0" w:color="auto"/>
              </w:divBdr>
            </w:div>
            <w:div w:id="601301431">
              <w:marLeft w:val="0"/>
              <w:marRight w:val="0"/>
              <w:marTop w:val="0"/>
              <w:marBottom w:val="0"/>
              <w:divBdr>
                <w:top w:val="none" w:sz="0" w:space="0" w:color="auto"/>
                <w:left w:val="none" w:sz="0" w:space="0" w:color="auto"/>
                <w:bottom w:val="none" w:sz="0" w:space="0" w:color="auto"/>
                <w:right w:val="none" w:sz="0" w:space="0" w:color="auto"/>
              </w:divBdr>
              <w:divsChild>
                <w:div w:id="863593510">
                  <w:marLeft w:val="0"/>
                  <w:marRight w:val="0"/>
                  <w:marTop w:val="240"/>
                  <w:marBottom w:val="264"/>
                  <w:divBdr>
                    <w:top w:val="single" w:sz="24" w:space="0" w:color="000000"/>
                    <w:left w:val="single" w:sz="24" w:space="12" w:color="000000"/>
                    <w:bottom w:val="single" w:sz="24" w:space="6" w:color="000000"/>
                    <w:right w:val="single" w:sz="24" w:space="12" w:color="000000"/>
                  </w:divBdr>
                </w:div>
              </w:divsChild>
            </w:div>
          </w:divsChild>
        </w:div>
        <w:div w:id="1141380727">
          <w:marLeft w:val="0"/>
          <w:marRight w:val="0"/>
          <w:marTop w:val="0"/>
          <w:marBottom w:val="0"/>
          <w:divBdr>
            <w:top w:val="none" w:sz="0" w:space="0" w:color="auto"/>
            <w:left w:val="none" w:sz="0" w:space="0" w:color="auto"/>
            <w:bottom w:val="none" w:sz="0" w:space="0" w:color="auto"/>
            <w:right w:val="none" w:sz="0" w:space="0" w:color="auto"/>
          </w:divBdr>
          <w:divsChild>
            <w:div w:id="367989757">
              <w:marLeft w:val="0"/>
              <w:marRight w:val="0"/>
              <w:marTop w:val="0"/>
              <w:marBottom w:val="0"/>
              <w:divBdr>
                <w:top w:val="none" w:sz="0" w:space="0" w:color="auto"/>
                <w:left w:val="none" w:sz="0" w:space="0" w:color="auto"/>
                <w:bottom w:val="none" w:sz="0" w:space="0" w:color="auto"/>
                <w:right w:val="none" w:sz="0" w:space="0" w:color="auto"/>
              </w:divBdr>
            </w:div>
            <w:div w:id="178468993">
              <w:marLeft w:val="0"/>
              <w:marRight w:val="0"/>
              <w:marTop w:val="240"/>
              <w:marBottom w:val="0"/>
              <w:divBdr>
                <w:top w:val="none" w:sz="0" w:space="0" w:color="auto"/>
                <w:left w:val="none" w:sz="0" w:space="0" w:color="auto"/>
                <w:bottom w:val="none" w:sz="0" w:space="0" w:color="auto"/>
                <w:right w:val="none" w:sz="0" w:space="0" w:color="auto"/>
              </w:divBdr>
              <w:divsChild>
                <w:div w:id="1586920415">
                  <w:marLeft w:val="0"/>
                  <w:marRight w:val="0"/>
                  <w:marTop w:val="0"/>
                  <w:marBottom w:val="0"/>
                  <w:divBdr>
                    <w:top w:val="none" w:sz="0" w:space="0" w:color="auto"/>
                    <w:left w:val="none" w:sz="0" w:space="0" w:color="auto"/>
                    <w:bottom w:val="none" w:sz="0" w:space="0" w:color="auto"/>
                    <w:right w:val="none" w:sz="0" w:space="0" w:color="auto"/>
                  </w:divBdr>
                </w:div>
                <w:div w:id="1791050058">
                  <w:marLeft w:val="0"/>
                  <w:marRight w:val="0"/>
                  <w:marTop w:val="240"/>
                  <w:marBottom w:val="264"/>
                  <w:divBdr>
                    <w:top w:val="single" w:sz="24" w:space="0" w:color="000000"/>
                    <w:left w:val="single" w:sz="24" w:space="12" w:color="000000"/>
                    <w:bottom w:val="single" w:sz="24" w:space="6" w:color="000000"/>
                    <w:right w:val="single" w:sz="24" w:space="12" w:color="000000"/>
                  </w:divBdr>
                  <w:divsChild>
                    <w:div w:id="1837258547">
                      <w:marLeft w:val="0"/>
                      <w:marRight w:val="0"/>
                      <w:marTop w:val="0"/>
                      <w:marBottom w:val="0"/>
                      <w:divBdr>
                        <w:top w:val="none" w:sz="0" w:space="0" w:color="auto"/>
                        <w:left w:val="none" w:sz="0" w:space="0" w:color="auto"/>
                        <w:bottom w:val="none" w:sz="0" w:space="0" w:color="auto"/>
                        <w:right w:val="none" w:sz="0" w:space="0" w:color="auto"/>
                      </w:divBdr>
                    </w:div>
                  </w:divsChild>
                </w:div>
                <w:div w:id="1944871611">
                  <w:marLeft w:val="0"/>
                  <w:marRight w:val="0"/>
                  <w:marTop w:val="216"/>
                  <w:marBottom w:val="0"/>
                  <w:divBdr>
                    <w:top w:val="dashed" w:sz="6" w:space="0" w:color="auto"/>
                    <w:left w:val="none" w:sz="0" w:space="0" w:color="auto"/>
                    <w:bottom w:val="none" w:sz="0" w:space="0" w:color="auto"/>
                    <w:right w:val="none" w:sz="0" w:space="0" w:color="auto"/>
                  </w:divBdr>
                  <w:divsChild>
                    <w:div w:id="1035349298">
                      <w:marLeft w:val="0"/>
                      <w:marRight w:val="0"/>
                      <w:marTop w:val="0"/>
                      <w:marBottom w:val="0"/>
                      <w:divBdr>
                        <w:top w:val="none" w:sz="0" w:space="0" w:color="auto"/>
                        <w:left w:val="none" w:sz="0" w:space="0" w:color="auto"/>
                        <w:bottom w:val="none" w:sz="0" w:space="0" w:color="auto"/>
                        <w:right w:val="none" w:sz="0" w:space="0" w:color="auto"/>
                      </w:divBdr>
                    </w:div>
                  </w:divsChild>
                </w:div>
                <w:div w:id="1642269229">
                  <w:marLeft w:val="0"/>
                  <w:marRight w:val="0"/>
                  <w:marTop w:val="216"/>
                  <w:marBottom w:val="0"/>
                  <w:divBdr>
                    <w:top w:val="dashed" w:sz="6" w:space="0" w:color="auto"/>
                    <w:left w:val="none" w:sz="0" w:space="0" w:color="auto"/>
                    <w:bottom w:val="none" w:sz="0" w:space="0" w:color="auto"/>
                    <w:right w:val="none" w:sz="0" w:space="0" w:color="auto"/>
                  </w:divBdr>
                  <w:divsChild>
                    <w:div w:id="825165850">
                      <w:marLeft w:val="0"/>
                      <w:marRight w:val="0"/>
                      <w:marTop w:val="0"/>
                      <w:marBottom w:val="0"/>
                      <w:divBdr>
                        <w:top w:val="none" w:sz="0" w:space="0" w:color="auto"/>
                        <w:left w:val="none" w:sz="0" w:space="0" w:color="auto"/>
                        <w:bottom w:val="none" w:sz="0" w:space="0" w:color="auto"/>
                        <w:right w:val="none" w:sz="0" w:space="0" w:color="auto"/>
                      </w:divBdr>
                    </w:div>
                  </w:divsChild>
                </w:div>
                <w:div w:id="2120443261">
                  <w:marLeft w:val="0"/>
                  <w:marRight w:val="0"/>
                  <w:marTop w:val="216"/>
                  <w:marBottom w:val="0"/>
                  <w:divBdr>
                    <w:top w:val="dashed" w:sz="6" w:space="0" w:color="auto"/>
                    <w:left w:val="none" w:sz="0" w:space="0" w:color="auto"/>
                    <w:bottom w:val="none" w:sz="0" w:space="0" w:color="auto"/>
                    <w:right w:val="none" w:sz="0" w:space="0" w:color="auto"/>
                  </w:divBdr>
                  <w:divsChild>
                    <w:div w:id="2033335140">
                      <w:marLeft w:val="0"/>
                      <w:marRight w:val="0"/>
                      <w:marTop w:val="0"/>
                      <w:marBottom w:val="0"/>
                      <w:divBdr>
                        <w:top w:val="none" w:sz="0" w:space="0" w:color="auto"/>
                        <w:left w:val="none" w:sz="0" w:space="0" w:color="auto"/>
                        <w:bottom w:val="none" w:sz="0" w:space="0" w:color="auto"/>
                        <w:right w:val="none" w:sz="0" w:space="0" w:color="auto"/>
                      </w:divBdr>
                    </w:div>
                  </w:divsChild>
                </w:div>
                <w:div w:id="2113478224">
                  <w:marLeft w:val="0"/>
                  <w:marRight w:val="0"/>
                  <w:marTop w:val="216"/>
                  <w:marBottom w:val="0"/>
                  <w:divBdr>
                    <w:top w:val="dashed" w:sz="6" w:space="0" w:color="auto"/>
                    <w:left w:val="none" w:sz="0" w:space="0" w:color="auto"/>
                    <w:bottom w:val="none" w:sz="0" w:space="0" w:color="auto"/>
                    <w:right w:val="none" w:sz="0" w:space="0" w:color="auto"/>
                  </w:divBdr>
                  <w:divsChild>
                    <w:div w:id="956301796">
                      <w:marLeft w:val="0"/>
                      <w:marRight w:val="0"/>
                      <w:marTop w:val="0"/>
                      <w:marBottom w:val="0"/>
                      <w:divBdr>
                        <w:top w:val="none" w:sz="0" w:space="0" w:color="auto"/>
                        <w:left w:val="none" w:sz="0" w:space="0" w:color="auto"/>
                        <w:bottom w:val="none" w:sz="0" w:space="0" w:color="auto"/>
                        <w:right w:val="none" w:sz="0" w:space="0" w:color="auto"/>
                      </w:divBdr>
                    </w:div>
                  </w:divsChild>
                </w:div>
                <w:div w:id="116916736">
                  <w:marLeft w:val="0"/>
                  <w:marRight w:val="0"/>
                  <w:marTop w:val="216"/>
                  <w:marBottom w:val="0"/>
                  <w:divBdr>
                    <w:top w:val="dashed" w:sz="6" w:space="0" w:color="auto"/>
                    <w:left w:val="none" w:sz="0" w:space="0" w:color="auto"/>
                    <w:bottom w:val="none" w:sz="0" w:space="0" w:color="auto"/>
                    <w:right w:val="none" w:sz="0" w:space="0" w:color="auto"/>
                  </w:divBdr>
                  <w:divsChild>
                    <w:div w:id="93984873">
                      <w:marLeft w:val="0"/>
                      <w:marRight w:val="0"/>
                      <w:marTop w:val="0"/>
                      <w:marBottom w:val="0"/>
                      <w:divBdr>
                        <w:top w:val="none" w:sz="0" w:space="0" w:color="auto"/>
                        <w:left w:val="none" w:sz="0" w:space="0" w:color="auto"/>
                        <w:bottom w:val="none" w:sz="0" w:space="0" w:color="auto"/>
                        <w:right w:val="none" w:sz="0" w:space="0" w:color="auto"/>
                      </w:divBdr>
                    </w:div>
                  </w:divsChild>
                </w:div>
                <w:div w:id="1781221837">
                  <w:marLeft w:val="0"/>
                  <w:marRight w:val="0"/>
                  <w:marTop w:val="216"/>
                  <w:marBottom w:val="0"/>
                  <w:divBdr>
                    <w:top w:val="dashed" w:sz="6" w:space="0" w:color="auto"/>
                    <w:left w:val="none" w:sz="0" w:space="0" w:color="auto"/>
                    <w:bottom w:val="none" w:sz="0" w:space="0" w:color="auto"/>
                    <w:right w:val="none" w:sz="0" w:space="0" w:color="auto"/>
                  </w:divBdr>
                  <w:divsChild>
                    <w:div w:id="1356467841">
                      <w:marLeft w:val="0"/>
                      <w:marRight w:val="0"/>
                      <w:marTop w:val="0"/>
                      <w:marBottom w:val="0"/>
                      <w:divBdr>
                        <w:top w:val="none" w:sz="0" w:space="0" w:color="auto"/>
                        <w:left w:val="none" w:sz="0" w:space="0" w:color="auto"/>
                        <w:bottom w:val="none" w:sz="0" w:space="0" w:color="auto"/>
                        <w:right w:val="none" w:sz="0" w:space="0" w:color="auto"/>
                      </w:divBdr>
                    </w:div>
                  </w:divsChild>
                </w:div>
                <w:div w:id="638345055">
                  <w:marLeft w:val="0"/>
                  <w:marRight w:val="0"/>
                  <w:marTop w:val="216"/>
                  <w:marBottom w:val="0"/>
                  <w:divBdr>
                    <w:top w:val="dashed" w:sz="6" w:space="0" w:color="auto"/>
                    <w:left w:val="none" w:sz="0" w:space="0" w:color="auto"/>
                    <w:bottom w:val="none" w:sz="0" w:space="0" w:color="auto"/>
                    <w:right w:val="none" w:sz="0" w:space="0" w:color="auto"/>
                  </w:divBdr>
                  <w:divsChild>
                    <w:div w:id="1370834346">
                      <w:marLeft w:val="0"/>
                      <w:marRight w:val="0"/>
                      <w:marTop w:val="0"/>
                      <w:marBottom w:val="0"/>
                      <w:divBdr>
                        <w:top w:val="none" w:sz="0" w:space="0" w:color="auto"/>
                        <w:left w:val="none" w:sz="0" w:space="0" w:color="auto"/>
                        <w:bottom w:val="none" w:sz="0" w:space="0" w:color="auto"/>
                        <w:right w:val="none" w:sz="0" w:space="0" w:color="auto"/>
                      </w:divBdr>
                    </w:div>
                  </w:divsChild>
                </w:div>
                <w:div w:id="594095371">
                  <w:marLeft w:val="0"/>
                  <w:marRight w:val="0"/>
                  <w:marTop w:val="216"/>
                  <w:marBottom w:val="0"/>
                  <w:divBdr>
                    <w:top w:val="dashed" w:sz="6" w:space="0" w:color="auto"/>
                    <w:left w:val="none" w:sz="0" w:space="0" w:color="auto"/>
                    <w:bottom w:val="none" w:sz="0" w:space="0" w:color="auto"/>
                    <w:right w:val="none" w:sz="0" w:space="0" w:color="auto"/>
                  </w:divBdr>
                  <w:divsChild>
                    <w:div w:id="1001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FFF6-0D9E-4F93-BE68-8D46A750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Ali</dc:creator>
  <cp:keywords/>
  <dc:description/>
  <cp:lastModifiedBy>Mohamed Ali</cp:lastModifiedBy>
  <cp:revision>2</cp:revision>
  <cp:lastPrinted>2024-09-21T19:20:00Z</cp:lastPrinted>
  <dcterms:created xsi:type="dcterms:W3CDTF">2024-09-23T14:59:00Z</dcterms:created>
  <dcterms:modified xsi:type="dcterms:W3CDTF">2024-09-23T14:59:00Z</dcterms:modified>
</cp:coreProperties>
</file>