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B54C" w14:textId="77777777" w:rsidR="00741753" w:rsidRDefault="00741753" w:rsidP="0074175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40"/>
          <w:szCs w:val="40"/>
          <w14:ligatures w14:val="none"/>
        </w:rPr>
        <w:t>EXECUTIVE SUMMARY</w:t>
      </w:r>
      <w:r w:rsidRPr="00741753">
        <w:rPr>
          <w:rFonts w:eastAsia="Times New Roman" w:cs="Times New Roman"/>
          <w:kern w:val="0"/>
          <w:sz w:val="40"/>
          <w:szCs w:val="40"/>
          <w14:ligatures w14:val="none"/>
        </w:rPr>
        <w:br/>
      </w:r>
    </w:p>
    <w:p w14:paraId="78EE3343" w14:textId="622C0773" w:rsidR="00741753" w:rsidRPr="00741753" w:rsidRDefault="00741753" w:rsidP="0074175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Renaissance League LLC</w:t>
      </w:r>
    </w:p>
    <w:p w14:paraId="4356149C" w14:textId="70A089B2" w:rsidR="00741753" w:rsidRPr="00741753" w:rsidRDefault="00741753" w:rsidP="0074175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An Innovative Sports Ecosystem for All Families</w:t>
      </w:r>
    </w:p>
    <w:p w14:paraId="1451685B" w14:textId="77777777" w:rsidR="00D66AFE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Thank you for your interest in Renaissance League LLC (the “League”), a groundbreaking initiative to transform access to amateur sports by making participation financially affordable for all families.</w:t>
      </w:r>
      <w:r w:rsidR="001677EE">
        <w:rPr>
          <w:rFonts w:eastAsia="Times New Roman" w:cs="Times New Roman"/>
          <w:kern w:val="0"/>
          <w14:ligatures w14:val="none"/>
        </w:rPr>
        <w:t xml:space="preserve"> </w:t>
      </w:r>
    </w:p>
    <w:p w14:paraId="0165C83D" w14:textId="77777777" w:rsidR="00D66AFE" w:rsidRDefault="00D66AFE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3854EE4" w14:textId="121D1971" w:rsidR="001677EE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7898916" wp14:editId="6C5B13F7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163445" cy="1663700"/>
            <wp:effectExtent l="0" t="0" r="8255" b="0"/>
            <wp:wrapSquare wrapText="bothSides"/>
            <wp:docPr id="499639575" name="Picture 1" descr="A close-up of a football and stopwat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39575" name="Picture 1" descr="A close-up of a football and stopwatc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753">
        <w:rPr>
          <w:rFonts w:eastAsia="Times New Roman" w:cs="Times New Roman"/>
          <w:kern w:val="0"/>
          <w14:ligatures w14:val="none"/>
        </w:rPr>
        <w:t xml:space="preserve">We are launching a new sports ecosystem that integrates professional and amateur athletics within a unified model designed to generate sustainable revenue, reduce operating costs, and reinvest in community participation. </w:t>
      </w:r>
      <w:r w:rsidR="001677EE">
        <w:rPr>
          <w:rFonts w:eastAsia="Times New Roman" w:cs="Times New Roman"/>
          <w:kern w:val="0"/>
          <w14:ligatures w14:val="none"/>
        </w:rPr>
        <w:t>The sports ecosystem directly addresses the increasing financial burden on families due to failing professional and amateur sports organization models, declining public-school programs, and the transition of colleges from amateur to professional sports.</w:t>
      </w:r>
    </w:p>
    <w:p w14:paraId="71F15362" w14:textId="77777777" w:rsidR="001677EE" w:rsidRDefault="001677EE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D1D11D6" w14:textId="4F9F8230" w:rsidR="00741753" w:rsidRDefault="00741753" w:rsidP="00741753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This opportunity begins with </w:t>
      </w:r>
      <w:r w:rsidR="001677EE">
        <w:rPr>
          <w:rFonts w:eastAsia="Times New Roman" w:cs="Times New Roman"/>
          <w:kern w:val="0"/>
          <w14:ligatures w14:val="none"/>
        </w:rPr>
        <w:t>forming</w:t>
      </w:r>
      <w:r w:rsidRPr="00741753">
        <w:rPr>
          <w:rFonts w:eastAsia="Times New Roman" w:cs="Times New Roman"/>
          <w:kern w:val="0"/>
          <w14:ligatures w14:val="none"/>
        </w:rPr>
        <w:t xml:space="preserve"> a pioneering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women’s and girls’ rugby league</w:t>
      </w:r>
      <w:r w:rsidRPr="00741753">
        <w:rPr>
          <w:rFonts w:eastAsia="Times New Roman" w:cs="Times New Roman"/>
          <w:kern w:val="0"/>
          <w14:ligatures w14:val="none"/>
        </w:rPr>
        <w:t xml:space="preserve">, inclusive of all ages and skill levels, structured around local collectives known as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“Tribes.”</w:t>
      </w:r>
    </w:p>
    <w:p w14:paraId="0BF7F183" w14:textId="77777777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F420181" w14:textId="77777777" w:rsidR="00741753" w:rsidRPr="00741753" w:rsidRDefault="00741753" w:rsidP="00741753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Opportunity Overview</w:t>
      </w:r>
    </w:p>
    <w:p w14:paraId="324085A2" w14:textId="77777777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The League will create a vibrant fan experience through dynamic relationships between Tribes, their supporters, and sponsors. Revenue will be driven by:</w:t>
      </w:r>
    </w:p>
    <w:p w14:paraId="70537489" w14:textId="163F1001" w:rsidR="00741753" w:rsidRPr="00741753" w:rsidRDefault="00741753" w:rsidP="0074175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Athlete </w:t>
      </w:r>
      <w:r w:rsidRPr="00741753">
        <w:rPr>
          <w:rFonts w:eastAsia="Times New Roman" w:cs="Times New Roman"/>
          <w:kern w:val="0"/>
          <w14:ligatures w14:val="none"/>
        </w:rPr>
        <w:t>subscriptions</w:t>
      </w:r>
    </w:p>
    <w:p w14:paraId="4CAAA00F" w14:textId="77777777" w:rsidR="00741753" w:rsidRPr="00741753" w:rsidRDefault="00741753" w:rsidP="0074175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Athlete training academies</w:t>
      </w:r>
    </w:p>
    <w:p w14:paraId="48CB35B1" w14:textId="77777777" w:rsidR="00741753" w:rsidRPr="00741753" w:rsidRDefault="00741753" w:rsidP="0074175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Ticket and merchandise sales</w:t>
      </w:r>
    </w:p>
    <w:p w14:paraId="36D7A3C3" w14:textId="77777777" w:rsidR="00741753" w:rsidRPr="00741753" w:rsidRDefault="00741753" w:rsidP="0074175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Sponsorships targeting engaged, values-aligned audiences</w:t>
      </w:r>
    </w:p>
    <w:p w14:paraId="09B24F3A" w14:textId="6AE65449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Operating costs will be reduced through centralized procurement for essentials such as uniforms, gear, travel, insurance, facilities, and staffing. This dual strategy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741753">
        <w:rPr>
          <w:rFonts w:eastAsia="Times New Roman" w:cs="Times New Roman"/>
          <w:kern w:val="0"/>
          <w14:ligatures w14:val="none"/>
        </w:rPr>
        <w:t>—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741753">
        <w:rPr>
          <w:rFonts w:eastAsia="Times New Roman" w:cs="Times New Roman"/>
          <w:kern w:val="0"/>
          <w14:ligatures w14:val="none"/>
        </w:rPr>
        <w:t>higher revenues and reduced costs</w:t>
      </w:r>
      <w:r>
        <w:rPr>
          <w:rFonts w:eastAsia="Times New Roman" w:cs="Times New Roman"/>
          <w:kern w:val="0"/>
          <w14:ligatures w14:val="none"/>
        </w:rPr>
        <w:t xml:space="preserve"> to achieve sustainable business operations </w:t>
      </w:r>
      <w:r w:rsidRPr="00741753">
        <w:rPr>
          <w:rFonts w:eastAsia="Times New Roman" w:cs="Times New Roman"/>
          <w:kern w:val="0"/>
          <w14:ligatures w14:val="none"/>
        </w:rPr>
        <w:t>—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741753">
        <w:rPr>
          <w:rFonts w:eastAsia="Times New Roman" w:cs="Times New Roman"/>
          <w:kern w:val="0"/>
          <w14:ligatures w14:val="none"/>
        </w:rPr>
        <w:t>makes sports participation more affordable for families while building a scalable business model.</w:t>
      </w:r>
    </w:p>
    <w:p w14:paraId="068C3AC1" w14:textId="77777777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8962051" w14:textId="77777777" w:rsidR="00741753" w:rsidRPr="00741753" w:rsidRDefault="00741753" w:rsidP="00741753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Community Impact</w:t>
      </w:r>
    </w:p>
    <w:p w14:paraId="52627866" w14:textId="178FDB2A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To ensure inclusivity, the League will allocate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 xml:space="preserve">5% of adjusted net </w:t>
      </w:r>
      <w:proofErr w:type="gramStart"/>
      <w:r w:rsidRPr="00741753">
        <w:rPr>
          <w:rFonts w:eastAsia="Times New Roman" w:cs="Times New Roman"/>
          <w:b/>
          <w:bCs/>
          <w:kern w:val="0"/>
          <w14:ligatures w14:val="none"/>
        </w:rPr>
        <w:t>revenues</w:t>
      </w:r>
      <w:r w:rsidRPr="00741753">
        <w:rPr>
          <w:rFonts w:eastAsia="Times New Roman" w:cs="Times New Roman"/>
          <w:kern w:val="0"/>
          <w14:ligatures w14:val="none"/>
        </w:rPr>
        <w:t>—</w:t>
      </w:r>
      <w:proofErr w:type="gramEnd"/>
      <w:r w:rsidRPr="00741753">
        <w:rPr>
          <w:rFonts w:eastAsia="Times New Roman" w:cs="Times New Roman"/>
          <w:kern w:val="0"/>
          <w14:ligatures w14:val="none"/>
        </w:rPr>
        <w:t xml:space="preserve">equivalent to 25% of net </w:t>
      </w:r>
      <w:proofErr w:type="gramStart"/>
      <w:r w:rsidRPr="00741753">
        <w:rPr>
          <w:rFonts w:eastAsia="Times New Roman" w:cs="Times New Roman"/>
          <w:kern w:val="0"/>
          <w14:ligatures w14:val="none"/>
        </w:rPr>
        <w:t>profits—</w:t>
      </w:r>
      <w:proofErr w:type="gramEnd"/>
      <w:r w:rsidRPr="00741753">
        <w:rPr>
          <w:rFonts w:eastAsia="Times New Roman" w:cs="Times New Roman"/>
          <w:kern w:val="0"/>
          <w14:ligatures w14:val="none"/>
        </w:rPr>
        <w:t xml:space="preserve">to the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Citizens Sports Foundation</w:t>
      </w:r>
      <w:r w:rsidRPr="00741753">
        <w:rPr>
          <w:rFonts w:eastAsia="Times New Roman" w:cs="Times New Roman"/>
          <w:kern w:val="0"/>
          <w14:ligatures w14:val="none"/>
        </w:rPr>
        <w:t>, providing need-based scholarships to support family participation across all Tribes</w:t>
      </w:r>
      <w:r>
        <w:rPr>
          <w:rFonts w:eastAsia="Times New Roman" w:cs="Times New Roman"/>
          <w:kern w:val="0"/>
          <w14:ligatures w14:val="none"/>
        </w:rPr>
        <w:t xml:space="preserve"> in connection with local youth programs</w:t>
      </w:r>
      <w:r w:rsidRPr="00741753">
        <w:rPr>
          <w:rFonts w:eastAsia="Times New Roman" w:cs="Times New Roman"/>
          <w:kern w:val="0"/>
          <w14:ligatures w14:val="none"/>
        </w:rPr>
        <w:t xml:space="preserve">. Additional scholarships will be funded through charitable lotteries managed by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Gaming Solutions International LLC</w:t>
      </w:r>
      <w:r w:rsidRPr="00741753">
        <w:rPr>
          <w:rFonts w:eastAsia="Times New Roman" w:cs="Times New Roman"/>
          <w:kern w:val="0"/>
          <w14:ligatures w14:val="none"/>
        </w:rPr>
        <w:t>.</w:t>
      </w:r>
    </w:p>
    <w:p w14:paraId="16BC6B8F" w14:textId="77777777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6B1CB01" w14:textId="77777777" w:rsidR="00741753" w:rsidRPr="00741753" w:rsidRDefault="00741753" w:rsidP="00741753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Investment Terms – Seed Round</w:t>
      </w:r>
    </w:p>
    <w:p w14:paraId="0DC5B910" w14:textId="4791DB8B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We are offering ten $50,000 investments to raise $500,000 in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Seed Funding</w:t>
      </w:r>
      <w:r w:rsidRPr="00741753">
        <w:rPr>
          <w:rFonts w:eastAsia="Times New Roman" w:cs="Times New Roman"/>
          <w:kern w:val="0"/>
          <w14:ligatures w14:val="none"/>
        </w:rPr>
        <w:t>. These funds will be used to:</w:t>
      </w:r>
    </w:p>
    <w:p w14:paraId="75594A2A" w14:textId="1D18FD3E" w:rsidR="00741753" w:rsidRPr="00741753" w:rsidRDefault="00741753" w:rsidP="0074175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lastRenderedPageBreak/>
        <w:t>Launch League operations</w:t>
      </w:r>
    </w:p>
    <w:p w14:paraId="7D7F25AA" w14:textId="1487CC6F" w:rsidR="00741753" w:rsidRPr="00741753" w:rsidRDefault="00741753" w:rsidP="0074175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Recruit Tribe </w:t>
      </w:r>
      <w:r>
        <w:rPr>
          <w:rFonts w:eastAsia="Times New Roman" w:cs="Times New Roman"/>
          <w:kern w:val="0"/>
          <w14:ligatures w14:val="none"/>
        </w:rPr>
        <w:t>leaders</w:t>
      </w:r>
      <w:r w:rsidRPr="00741753">
        <w:rPr>
          <w:rFonts w:eastAsia="Times New Roman" w:cs="Times New Roman"/>
          <w:kern w:val="0"/>
          <w14:ligatures w14:val="none"/>
        </w:rPr>
        <w:t xml:space="preserve"> and athletes</w:t>
      </w:r>
    </w:p>
    <w:p w14:paraId="6B82CFF9" w14:textId="09B5333D" w:rsidR="00741753" w:rsidRDefault="00741753" w:rsidP="0074175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Plan the first season of play</w:t>
      </w:r>
      <w:r w:rsidRPr="00741753">
        <w:rPr>
          <w:rFonts w:eastAsia="Times New Roman" w:cs="Times New Roman"/>
          <w:kern w:val="0"/>
          <w14:ligatures w14:val="none"/>
        </w:rPr>
        <w:t xml:space="preserve"> </w:t>
      </w:r>
    </w:p>
    <w:p w14:paraId="2FB137D7" w14:textId="2342E5DC" w:rsidR="00741753" w:rsidRPr="00741753" w:rsidRDefault="00741753" w:rsidP="0074175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Negotiate public-private partnership</w:t>
      </w:r>
      <w:r w:rsidR="001677EE">
        <w:rPr>
          <w:rFonts w:eastAsia="Times New Roman" w:cs="Times New Roman"/>
          <w:kern w:val="0"/>
          <w14:ligatures w14:val="none"/>
        </w:rPr>
        <w:t xml:space="preserve">s </w:t>
      </w:r>
      <w:r w:rsidRPr="00741753">
        <w:rPr>
          <w:rFonts w:eastAsia="Times New Roman" w:cs="Times New Roman"/>
          <w:kern w:val="0"/>
          <w14:ligatures w14:val="none"/>
        </w:rPr>
        <w:t>with five pilot cities</w:t>
      </w:r>
    </w:p>
    <w:p w14:paraId="3CB80394" w14:textId="6B7ADD46" w:rsidR="00741753" w:rsidRPr="00741753" w:rsidRDefault="00741753" w:rsidP="0074175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Conduct </w:t>
      </w:r>
      <w:r w:rsidRPr="00741753">
        <w:rPr>
          <w:rFonts w:eastAsia="Times New Roman" w:cs="Times New Roman"/>
          <w:kern w:val="0"/>
          <w14:ligatures w14:val="none"/>
        </w:rPr>
        <w:t>a $5,000,000 second-round raise</w:t>
      </w:r>
    </w:p>
    <w:p w14:paraId="7A6E21C0" w14:textId="3D3CB1BA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Seed investors will receive participation rights in the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League Revenue Pool</w:t>
      </w:r>
      <w:r w:rsidRPr="00741753">
        <w:rPr>
          <w:rFonts w:eastAsia="Times New Roman" w:cs="Times New Roman"/>
          <w:kern w:val="0"/>
          <w14:ligatures w14:val="none"/>
        </w:rPr>
        <w:t xml:space="preserve">,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Tribe Purchase Options</w:t>
      </w:r>
      <w:r w:rsidR="001677EE">
        <w:rPr>
          <w:rFonts w:eastAsia="Times New Roman" w:cs="Times New Roman"/>
          <w:b/>
          <w:bCs/>
          <w:kern w:val="0"/>
          <w14:ligatures w14:val="none"/>
        </w:rPr>
        <w:t>,</w:t>
      </w:r>
      <w:r w:rsidRPr="00741753">
        <w:rPr>
          <w:rFonts w:eastAsia="Times New Roman" w:cs="Times New Roman"/>
          <w:kern w:val="0"/>
          <w14:ligatures w14:val="none"/>
        </w:rPr>
        <w:t xml:space="preserve"> and additional legacy-related benefits.</w:t>
      </w:r>
    </w:p>
    <w:p w14:paraId="513888B1" w14:textId="5DB680E1" w:rsidR="00741753" w:rsidRPr="00741753" w:rsidRDefault="001677EE" w:rsidP="006E193C">
      <w:pPr>
        <w:tabs>
          <w:tab w:val="left" w:pos="648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61667" wp14:editId="197659AD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270760" cy="1619885"/>
            <wp:effectExtent l="0" t="0" r="0" b="0"/>
            <wp:wrapSquare wrapText="bothSides"/>
            <wp:docPr id="4" name="Content Placeholder 4" descr="A group of women in sports uniform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AFB7FC2-1146-506B-500F-157FC58A82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A group of women in sports uniforms&#10;&#10;AI-generated content may be incorrect.">
                      <a:extLst>
                        <a:ext uri="{FF2B5EF4-FFF2-40B4-BE49-F238E27FC236}">
                          <a16:creationId xmlns:a16="http://schemas.microsoft.com/office/drawing/2014/main" id="{DAFB7FC2-1146-506B-500F-157FC58A82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1AC8C" w14:textId="4701B5BC" w:rsidR="00741753" w:rsidRPr="00741753" w:rsidRDefault="00741753" w:rsidP="00741753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Future Plans &amp; Tokenization</w:t>
      </w:r>
    </w:p>
    <w:p w14:paraId="371562FB" w14:textId="10D6085D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Before initiating the second funding round, revenue rights will be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tokenized</w:t>
      </w:r>
      <w:r w:rsidRPr="00741753">
        <w:rPr>
          <w:rFonts w:eastAsia="Times New Roman" w:cs="Times New Roman"/>
          <w:kern w:val="0"/>
          <w14:ligatures w14:val="none"/>
        </w:rPr>
        <w:t xml:space="preserve"> via the issuance of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League Coins</w:t>
      </w:r>
      <w:r w:rsidRPr="00741753">
        <w:rPr>
          <w:rFonts w:eastAsia="Times New Roman" w:cs="Times New Roman"/>
          <w:kern w:val="0"/>
          <w14:ligatures w14:val="none"/>
        </w:rPr>
        <w:t xml:space="preserve">, with listing and exchange services provided by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Manaia LLC</w:t>
      </w:r>
      <w:r w:rsidRPr="00741753">
        <w:rPr>
          <w:rFonts w:eastAsia="Times New Roman" w:cs="Times New Roman"/>
          <w:kern w:val="0"/>
          <w14:ligatures w14:val="none"/>
        </w:rPr>
        <w:t>.</w:t>
      </w:r>
    </w:p>
    <w:p w14:paraId="4A831538" w14:textId="5C5E55EC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All funding </w:t>
      </w:r>
      <w:proofErr w:type="gramStart"/>
      <w:r w:rsidRPr="00741753">
        <w:rPr>
          <w:rFonts w:eastAsia="Times New Roman" w:cs="Times New Roman"/>
          <w:kern w:val="0"/>
          <w14:ligatures w14:val="none"/>
        </w:rPr>
        <w:t>rounds—</w:t>
      </w:r>
      <w:proofErr w:type="gramEnd"/>
      <w:r w:rsidRPr="00741753">
        <w:rPr>
          <w:rFonts w:eastAsia="Times New Roman" w:cs="Times New Roman"/>
          <w:kern w:val="0"/>
          <w14:ligatures w14:val="none"/>
        </w:rPr>
        <w:t xml:space="preserve">including future Tribe-specific </w:t>
      </w:r>
      <w:proofErr w:type="gramStart"/>
      <w:r w:rsidRPr="00741753">
        <w:rPr>
          <w:rFonts w:eastAsia="Times New Roman" w:cs="Times New Roman"/>
          <w:kern w:val="0"/>
          <w14:ligatures w14:val="none"/>
        </w:rPr>
        <w:t>rounds—</w:t>
      </w:r>
      <w:proofErr w:type="gramEnd"/>
      <w:r w:rsidRPr="00741753">
        <w:rPr>
          <w:rFonts w:eastAsia="Times New Roman" w:cs="Times New Roman"/>
          <w:kern w:val="0"/>
          <w14:ligatures w14:val="none"/>
        </w:rPr>
        <w:t xml:space="preserve">will be supported by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19th Hole LLC</w:t>
      </w:r>
      <w:r w:rsidRPr="00741753">
        <w:rPr>
          <w:rFonts w:eastAsia="Times New Roman" w:cs="Times New Roman"/>
          <w:kern w:val="0"/>
          <w14:ligatures w14:val="none"/>
        </w:rPr>
        <w:t xml:space="preserve">, a specialist in delivering unique, memorable investor experiences. 19th Hole will also manage the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Triple Threat Champions</w:t>
      </w:r>
      <w:r w:rsidRPr="00741753">
        <w:rPr>
          <w:rFonts w:eastAsia="Times New Roman" w:cs="Times New Roman"/>
          <w:kern w:val="0"/>
          <w14:ligatures w14:val="none"/>
        </w:rPr>
        <w:t>, a private investment club advancing the League and the broader sports ecosystem model.</w:t>
      </w:r>
    </w:p>
    <w:p w14:paraId="4B64F380" w14:textId="17D0F447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1D1DD9D" w14:textId="2AB1D722" w:rsidR="00741753" w:rsidRPr="00741753" w:rsidRDefault="00741753" w:rsidP="00741753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41753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Growth Roadmap</w:t>
      </w:r>
    </w:p>
    <w:p w14:paraId="0B2F8277" w14:textId="43229432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b/>
          <w:bCs/>
          <w:kern w:val="0"/>
          <w14:ligatures w14:val="none"/>
        </w:rPr>
        <w:t>Second-Round Funding ($5 million)</w:t>
      </w:r>
      <w:r w:rsidRPr="00741753">
        <w:rPr>
          <w:rFonts w:eastAsia="Times New Roman" w:cs="Times New Roman"/>
          <w:kern w:val="0"/>
          <w14:ligatures w14:val="none"/>
        </w:rPr>
        <w:t xml:space="preserve"> will support:</w:t>
      </w:r>
    </w:p>
    <w:p w14:paraId="38ACCC13" w14:textId="2B5BEE75" w:rsidR="00741753" w:rsidRPr="00741753" w:rsidRDefault="00741753" w:rsidP="0074175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The inaugural season of play with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five Tribes</w:t>
      </w:r>
    </w:p>
    <w:p w14:paraId="581DBB42" w14:textId="05CC0B28" w:rsidR="00741753" w:rsidRPr="00741753" w:rsidRDefault="00741753" w:rsidP="0074175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Participation of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1,800 athletes</w:t>
      </w:r>
      <w:r w:rsidRPr="00741753">
        <w:rPr>
          <w:rFonts w:eastAsia="Times New Roman" w:cs="Times New Roman"/>
          <w:kern w:val="0"/>
          <w14:ligatures w14:val="none"/>
        </w:rPr>
        <w:t xml:space="preserve"> across nine tiers, from </w:t>
      </w:r>
      <w:r w:rsidR="001677EE">
        <w:rPr>
          <w:rFonts w:eastAsia="Times New Roman" w:cs="Times New Roman"/>
          <w:kern w:val="0"/>
          <w14:ligatures w14:val="none"/>
        </w:rPr>
        <w:t>8th-grade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741753">
        <w:rPr>
          <w:rFonts w:eastAsia="Times New Roman" w:cs="Times New Roman"/>
          <w:kern w:val="0"/>
          <w14:ligatures w14:val="none"/>
        </w:rPr>
        <w:t>youth to professional</w:t>
      </w:r>
    </w:p>
    <w:p w14:paraId="07A5C253" w14:textId="77777777" w:rsidR="00741753" w:rsidRPr="00741753" w:rsidRDefault="00741753" w:rsidP="0074175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Full-time management provided by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Citizens Sports</w:t>
      </w:r>
    </w:p>
    <w:p w14:paraId="7D1C9A7A" w14:textId="5BD79E55" w:rsidR="00741753" w:rsidRP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Upon successful completion of the first season and proof of concept, the League will offer the first five Tribes for sale</w:t>
      </w:r>
      <w:r>
        <w:rPr>
          <w:rFonts w:eastAsia="Times New Roman" w:cs="Times New Roman"/>
          <w:kern w:val="0"/>
          <w14:ligatures w14:val="none"/>
        </w:rPr>
        <w:t xml:space="preserve"> in exchange for a cash fee to the League, a grant of rights to share in revenues in a Tribe coin offering, and an additional investment into the Tribe.</w:t>
      </w:r>
    </w:p>
    <w:p w14:paraId="4D5F4097" w14:textId="1AECB7B5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 xml:space="preserve">Each Tribe is planned to raise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$50 million</w:t>
      </w:r>
      <w:r w:rsidRPr="00741753">
        <w:rPr>
          <w:rFonts w:eastAsia="Times New Roman" w:cs="Times New Roman"/>
          <w:kern w:val="0"/>
          <w14:ligatures w14:val="none"/>
        </w:rPr>
        <w:t xml:space="preserve"> in capital to develop a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15,000-seat multi-purpose stadium and sports complex</w:t>
      </w:r>
      <w:r w:rsidRPr="00741753">
        <w:rPr>
          <w:rFonts w:eastAsia="Times New Roman" w:cs="Times New Roman"/>
          <w:kern w:val="0"/>
          <w14:ligatures w14:val="none"/>
        </w:rPr>
        <w:t xml:space="preserve">. Following the second season, the League </w:t>
      </w:r>
      <w:proofErr w:type="gramStart"/>
      <w:r>
        <w:rPr>
          <w:rFonts w:eastAsia="Times New Roman" w:cs="Times New Roman"/>
          <w:kern w:val="0"/>
          <w14:ligatures w14:val="none"/>
        </w:rPr>
        <w:t xml:space="preserve">plans to </w:t>
      </w:r>
      <w:r w:rsidRPr="00741753">
        <w:rPr>
          <w:rFonts w:eastAsia="Times New Roman" w:cs="Times New Roman"/>
          <w:kern w:val="0"/>
          <w14:ligatures w14:val="none"/>
        </w:rPr>
        <w:t>scale</w:t>
      </w:r>
      <w:proofErr w:type="gramEnd"/>
      <w:r w:rsidRPr="00741753">
        <w:rPr>
          <w:rFonts w:eastAsia="Times New Roman" w:cs="Times New Roman"/>
          <w:kern w:val="0"/>
          <w14:ligatures w14:val="none"/>
        </w:rPr>
        <w:t xml:space="preserve"> to </w:t>
      </w:r>
      <w:r>
        <w:rPr>
          <w:rFonts w:eastAsia="Times New Roman" w:cs="Times New Roman"/>
          <w:kern w:val="0"/>
          <w14:ligatures w14:val="none"/>
        </w:rPr>
        <w:t xml:space="preserve">add five more </w:t>
      </w:r>
      <w:r w:rsidRPr="00741753">
        <w:rPr>
          <w:rFonts w:eastAsia="Times New Roman" w:cs="Times New Roman"/>
          <w:b/>
          <w:bCs/>
          <w:kern w:val="0"/>
          <w14:ligatures w14:val="none"/>
        </w:rPr>
        <w:t>Tribes</w:t>
      </w:r>
      <w:r w:rsidRPr="00741753">
        <w:rPr>
          <w:rFonts w:eastAsia="Times New Roman" w:cs="Times New Roman"/>
          <w:kern w:val="0"/>
          <w14:ligatures w14:val="none"/>
        </w:rPr>
        <w:t>.</w:t>
      </w:r>
    </w:p>
    <w:p w14:paraId="3B889169" w14:textId="293079AA" w:rsidR="00741753" w:rsidRDefault="00741753" w:rsidP="0074175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0AF76CCE" w14:textId="4014A638" w:rsidR="00741753" w:rsidRPr="00741753" w:rsidRDefault="00741753" w:rsidP="00D66AFE">
      <w:pPr>
        <w:widowControl w:val="0"/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41753">
        <w:rPr>
          <w:rFonts w:eastAsia="Times New Roman" w:cs="Times New Roman"/>
          <w:b/>
          <w:bCs/>
          <w:kern w:val="0"/>
          <w14:ligatures w14:val="none"/>
        </w:rPr>
        <w:t>The success of the Renaissance League will serve as a template for expanding the sports ecosystem across multiple sports worldwide to increase sports participation and fandom.</w:t>
      </w:r>
    </w:p>
    <w:p w14:paraId="5A3DCDE0" w14:textId="78C1AA99" w:rsidR="00741753" w:rsidRP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pict w14:anchorId="2BB113EC">
          <v:rect id="_x0000_i1045" style="width:0;height:1.5pt" o:hralign="center" o:hrstd="t" o:hr="t" fillcolor="#a0a0a0" stroked="f"/>
        </w:pict>
      </w:r>
    </w:p>
    <w:p w14:paraId="100FEF3B" w14:textId="6BEE8244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741753">
        <w:rPr>
          <w:rFonts w:eastAsia="Times New Roman" w:cs="Times New Roman"/>
          <w:b/>
          <w:bCs/>
          <w:kern w:val="0"/>
          <w14:ligatures w14:val="none"/>
        </w:rPr>
        <w:t>Join us in redefining the future of sports—with affordability, community, and sustainability at its core.</w:t>
      </w:r>
    </w:p>
    <w:p w14:paraId="6FBDB476" w14:textId="470174DB" w:rsidR="00741753" w:rsidRPr="00741753" w:rsidRDefault="006E193C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86A136" wp14:editId="19389DFC">
            <wp:simplePos x="0" y="0"/>
            <wp:positionH relativeFrom="margin">
              <wp:posOffset>4251960</wp:posOffset>
            </wp:positionH>
            <wp:positionV relativeFrom="paragraph">
              <wp:posOffset>6985</wp:posOffset>
            </wp:positionV>
            <wp:extent cx="2212340" cy="1660525"/>
            <wp:effectExtent l="0" t="0" r="0" b="0"/>
            <wp:wrapSquare wrapText="bothSides"/>
            <wp:docPr id="7" name="Picture 6" descr="A white piggy bank on a green sea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678B79D-3335-6B09-7596-C62746899C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white piggy bank on a green seat&#10;&#10;AI-generated content may be incorrect.">
                      <a:extLst>
                        <a:ext uri="{FF2B5EF4-FFF2-40B4-BE49-F238E27FC236}">
                          <a16:creationId xmlns:a16="http://schemas.microsoft.com/office/drawing/2014/main" id="{C678B79D-3335-6B09-7596-C62746899C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" r="24484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970A4" w14:textId="5BAAEAE0" w:rsidR="00741753" w:rsidRDefault="00741753" w:rsidP="006E193C">
      <w:pPr>
        <w:widowControl w:val="0"/>
        <w:tabs>
          <w:tab w:val="left" w:pos="648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41753">
        <w:rPr>
          <w:rFonts w:eastAsia="Times New Roman" w:cs="Times New Roman"/>
          <w:kern w:val="0"/>
          <w14:ligatures w14:val="none"/>
        </w:rPr>
        <w:t>Thank you for your consideration.</w:t>
      </w:r>
    </w:p>
    <w:p w14:paraId="18983BBE" w14:textId="0A917625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EFCE04C" w14:textId="363113CD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For more information, contact:</w:t>
      </w:r>
    </w:p>
    <w:p w14:paraId="395FB0BF" w14:textId="0C8D3538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F002C58" w14:textId="66E611F2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Karl Dakin</w:t>
      </w:r>
    </w:p>
    <w:p w14:paraId="1C4E6AF7" w14:textId="486A9384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Dakin Capital LLC</w:t>
      </w:r>
    </w:p>
    <w:p w14:paraId="04820C89" w14:textId="21F9AC8E" w:rsidR="00741753" w:rsidRDefault="00741753" w:rsidP="00D66AFE">
      <w:pPr>
        <w:widowControl w:val="0"/>
        <w:spacing w:after="0" w:line="240" w:lineRule="auto"/>
        <w:rPr>
          <w:rFonts w:eastAsia="Times New Roman" w:cs="Times New Roman"/>
          <w:kern w:val="0"/>
          <w14:ligatures w14:val="none"/>
        </w:rPr>
      </w:pPr>
      <w:hyperlink r:id="rId8" w:history="1">
        <w:r w:rsidRPr="00906BC7">
          <w:rPr>
            <w:rStyle w:val="Hyperlink"/>
            <w:rFonts w:eastAsia="Times New Roman" w:cs="Times New Roman"/>
            <w:kern w:val="0"/>
            <w14:ligatures w14:val="none"/>
          </w:rPr>
          <w:t>kdakin@dakincapital.com</w:t>
        </w:r>
      </w:hyperlink>
    </w:p>
    <w:p w14:paraId="41A3667E" w14:textId="78F60D3F" w:rsidR="00741753" w:rsidRPr="00741753" w:rsidRDefault="00741753" w:rsidP="006E193C">
      <w:pPr>
        <w:widowControl w:val="0"/>
        <w:spacing w:after="0" w:line="240" w:lineRule="auto"/>
      </w:pPr>
      <w:r>
        <w:rPr>
          <w:rFonts w:eastAsia="Times New Roman" w:cs="Times New Roman"/>
          <w:kern w:val="0"/>
          <w14:ligatures w14:val="none"/>
        </w:rPr>
        <w:t>720 296 0372</w:t>
      </w:r>
    </w:p>
    <w:sectPr w:rsidR="00741753" w:rsidRPr="00741753" w:rsidSect="006E193C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5408"/>
    <w:multiLevelType w:val="multilevel"/>
    <w:tmpl w:val="F84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86B95"/>
    <w:multiLevelType w:val="multilevel"/>
    <w:tmpl w:val="021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E3EAC"/>
    <w:multiLevelType w:val="multilevel"/>
    <w:tmpl w:val="3786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945725">
    <w:abstractNumId w:val="2"/>
  </w:num>
  <w:num w:numId="2" w16cid:durableId="1617642612">
    <w:abstractNumId w:val="0"/>
  </w:num>
  <w:num w:numId="3" w16cid:durableId="207508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53"/>
    <w:rsid w:val="00103CE9"/>
    <w:rsid w:val="001677EE"/>
    <w:rsid w:val="001B14FE"/>
    <w:rsid w:val="002065F8"/>
    <w:rsid w:val="006E193C"/>
    <w:rsid w:val="00741753"/>
    <w:rsid w:val="007732F4"/>
    <w:rsid w:val="008D3EBD"/>
    <w:rsid w:val="00B121ED"/>
    <w:rsid w:val="00B17A3F"/>
    <w:rsid w:val="00B85F74"/>
    <w:rsid w:val="00BA5803"/>
    <w:rsid w:val="00D66AFE"/>
    <w:rsid w:val="00F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4943E"/>
  <w15:chartTrackingRefBased/>
  <w15:docId w15:val="{0E1EC134-53D2-44CF-AA5E-9D9363F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7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17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kin@dakincapit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584</Words>
  <Characters>3531</Characters>
  <Application>Microsoft Office Word</Application>
  <DocSecurity>0</DocSecurity>
  <Lines>82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Dakin</dc:creator>
  <cp:keywords/>
  <dc:description/>
  <cp:lastModifiedBy>Karl Dakin</cp:lastModifiedBy>
  <cp:revision>2</cp:revision>
  <dcterms:created xsi:type="dcterms:W3CDTF">2025-06-09T03:47:00Z</dcterms:created>
  <dcterms:modified xsi:type="dcterms:W3CDTF">2025-06-09T04:15:00Z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c38187a1-96e9-4e0e-a665-1acd50c96313</vt:lpwstr>
  </property>
</Properties>
</file>