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48"/>
        </w:rPr>
        <w:t>EFF Officer Transition Handover Checklist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44444"/>
          <w:sz w:val="24"/>
        </w:rPr>
        <w:t>Every Future Fulfilled</w:t>
      </w:r>
    </w:p>
    <w:p>
      <w:pPr>
        <w:spacing w:before="40" w:after="120"/>
        <w:pBdr>
          <w:bottom w:val="single" w:sz="12" w:space="1" w:color="42127F"/>
        </w:pBdr>
      </w:pP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Officer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Chapter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Outgoing Officer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Role / Title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Incoming Officer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3168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Transition Date</w:t>
            </w:r>
          </w:p>
        </w:tc>
        <w:tc>
          <w:tcPr>
            <w:tcW w:type="dxa" w:w="6192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</w:tbl>
    <w:p/>
    <w:p>
      <w:r>
        <w:rPr>
          <w:rFonts w:ascii="Calibri" w:hAnsi="Calibri"/>
          <w:b w:val="0"/>
          <w:i/>
          <w:color w:val="444444"/>
          <w:sz w:val="20"/>
        </w:rPr>
        <w:t>Officer terms run one academic year. Complete this checklist in full and submit a signed copy to National HQ within 10 days of the officer transition date (Art. XXXII).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Transition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50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✓</w:t>
            </w:r>
          </w:p>
        </w:tc>
        <w:tc>
          <w:tcPr>
            <w:tcW w:type="dxa" w:w="360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Checklist Item</w:t>
            </w:r>
          </w:p>
        </w:tc>
        <w:tc>
          <w:tcPr>
            <w:tcW w:type="dxa" w:w="5328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Notes / Details</w:t>
            </w:r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EAE0F8"/>
          </w:tcPr>
          <w:p>
            <w:r>
              <w:rPr>
                <w:rFonts w:ascii="Calibri" w:hAnsi="Calibri"/>
                <w:b/>
                <w:i w:val="0"/>
                <w:sz w:val="20"/>
              </w:rPr>
              <w:t>Transition Meeting</w:t>
            </w:r>
          </w:p>
        </w:tc>
        <w:tc>
          <w:tcPr>
            <w:tcW w:type="dxa" w:w="532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Transition meeting held with incoming officer — date, agenda, and summary documented.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FFFFFF"/>
          </w:tcPr>
          <w:p>
            <w:r>
              <w:rPr>
                <w:rFonts w:ascii="Calibri" w:hAnsi="Calibri"/>
                <w:b/>
                <w:i w:val="0"/>
                <w:sz w:val="20"/>
              </w:rPr>
              <w:t>Written Handover Document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Written handover of responsibilities, ongoing projects, and pending deadlines provided to incoming officer.</w:t>
            </w:r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EAE0F8"/>
          </w:tcPr>
          <w:p>
            <w:r>
              <w:rPr>
                <w:rFonts w:ascii="Calibri" w:hAnsi="Calibri"/>
                <w:b/>
                <w:i w:val="0"/>
                <w:sz w:val="20"/>
              </w:rPr>
              <w:t>EFF Property &amp; Equipment</w:t>
            </w:r>
          </w:p>
        </w:tc>
        <w:tc>
          <w:tcPr>
            <w:tcW w:type="dxa" w:w="532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All EFF property, equipment, materials, and branded items physically transferred.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FFFFFF"/>
          </w:tcPr>
          <w:p>
            <w:r>
              <w:rPr>
                <w:rFonts w:ascii="Calibri" w:hAnsi="Calibri"/>
                <w:b/>
                <w:i w:val="0"/>
                <w:sz w:val="20"/>
              </w:rPr>
              <w:t>Account Credentials &amp; Passwords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All account credentials, email logins, and passwords transferred within 5 business days of transition (Art. XXIX).</w:t>
            </w:r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EAE0F8"/>
          </w:tcPr>
          <w:p>
            <w:r>
              <w:rPr>
                <w:rFonts w:ascii="Calibri" w:hAnsi="Calibri"/>
                <w:b/>
                <w:i w:val="0"/>
                <w:sz w:val="20"/>
              </w:rPr>
              <w:t>Chapter Funds / Petty Cash</w:t>
            </w:r>
          </w:p>
        </w:tc>
        <w:tc>
          <w:tcPr>
            <w:tcW w:type="dxa" w:w="532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Any unused chapter funds, petty cash, or financial instruments returned to Treasurer.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FFFFFF"/>
          </w:tcPr>
          <w:p>
            <w:r>
              <w:rPr>
                <w:rFonts w:ascii="Calibri" w:hAnsi="Calibri"/>
                <w:b/>
                <w:i w:val="0"/>
                <w:sz w:val="20"/>
              </w:rPr>
              <w:t>Role-Specific Files &amp; Records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All role-specific digital and physical files, records, and documentation handed over (Google Drive, shared folders, etc.).</w:t>
            </w:r>
          </w:p>
        </w:tc>
      </w:tr>
      <w:tr>
        <w:tc>
          <w:tcPr>
            <w:tcW w:type="dxa" w:w="504"/>
            <w:shd w:val="clear" w:color="auto" w:fill="EAE0F8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EAE0F8"/>
          </w:tcPr>
          <w:p>
            <w:r>
              <w:rPr>
                <w:rFonts w:ascii="Calibri" w:hAnsi="Calibri"/>
                <w:b/>
                <w:i w:val="0"/>
                <w:sz w:val="20"/>
              </w:rPr>
              <w:t>EFF Leadership Academy Registration</w:t>
            </w:r>
          </w:p>
        </w:tc>
        <w:tc>
          <w:tcPr>
            <w:tcW w:type="dxa" w:w="5328"/>
            <w:shd w:val="clear" w:color="auto" w:fill="EAE0F8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Incoming officer registered for EFF Leadership Academy (required before exercising officer authority).</w:t>
            </w:r>
          </w:p>
        </w:tc>
      </w:tr>
      <w:tr>
        <w:tc>
          <w:tcPr>
            <w:tcW w:type="dxa" w:w="504"/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sz w:val="28"/>
              </w:rPr>
              <w:t>☐</w:t>
            </w:r>
          </w:p>
        </w:tc>
        <w:tc>
          <w:tcPr>
            <w:tcW w:type="dxa" w:w="3600"/>
            <w:shd w:val="clear" w:color="auto" w:fill="FFFFFF"/>
          </w:tcPr>
          <w:p>
            <w:r>
              <w:rPr>
                <w:rFonts w:ascii="Calibri" w:hAnsi="Calibri"/>
                <w:b/>
                <w:i w:val="0"/>
                <w:sz w:val="20"/>
              </w:rPr>
              <w:t>Checklist Submitted to National HQ</w:t>
            </w:r>
          </w:p>
        </w:tc>
        <w:tc>
          <w:tcPr>
            <w:tcW w:type="dxa" w:w="5328"/>
            <w:shd w:val="clear" w:color="auto" w:fill="FFFFFF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Signed Transition Handover Checklist submitted to National HQ upon completion.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Role-Specific Notes</w:t>
      </w:r>
    </w:p>
    <w:p>
      <w:pPr>
        <w:spacing w:before="0" w:after="60"/>
      </w:pPr>
      <w:r>
        <w:rPr>
          <w:rFonts w:ascii="Calibri" w:hAnsi="Calibri"/>
          <w:b w:val="0"/>
          <w:i/>
          <w:sz w:val="22"/>
        </w:rPr>
        <w:t>Use the space below to document role-specific context, ongoing projects, important contacts, or anything not covered above.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0" w:after="160"/>
      </w:pPr>
      <w:r>
        <w:rPr>
          <w:rFonts w:ascii="Calibri" w:hAnsi="Calibri"/>
          <w:b w:val="0"/>
          <w:i/>
          <w:color w:val="444444"/>
          <w:sz w:val="20"/>
        </w:rPr>
        <w:t xml:space="preserve">  _____________________________________________________________</w:t>
      </w:r>
    </w:p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Acknowledgement &amp; Signatures</w:t>
      </w:r>
    </w:p>
    <w:p>
      <w:r>
        <w:rPr>
          <w:rFonts w:ascii="Calibri" w:hAnsi="Calibri"/>
          <w:b w:val="0"/>
          <w:i w:val="0"/>
          <w:color w:val="444444"/>
          <w:sz w:val="20"/>
        </w:rPr>
        <w:t>By signing below, both officers confirm that all items in this checklist have been completed accurately and in good faith.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016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Role</w:t>
            </w:r>
          </w:p>
        </w:tc>
        <w:tc>
          <w:tcPr>
            <w:tcW w:type="dxa" w:w="2880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Printed Name</w:t>
            </w:r>
          </w:p>
        </w:tc>
        <w:tc>
          <w:tcPr>
            <w:tcW w:type="dxa" w:w="4464"/>
            <w:shd w:val="clear" w:color="auto" w:fill="42127F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Signature &amp; Date</w:t>
            </w:r>
          </w:p>
        </w:tc>
      </w:tr>
      <w:tr>
        <w:tc>
          <w:tcPr>
            <w:tcW w:type="dxa" w:w="2016"/>
            <w:shd w:val="clear" w:color="auto" w:fill="EAE0F8"/>
          </w:tcPr>
          <w:p>
            <w:r>
              <w:t>Outgoing Officer</w:t>
            </w:r>
          </w:p>
        </w:tc>
        <w:tc>
          <w:tcPr>
            <w:tcW w:type="dxa" w:w="2880"/>
            <w:shd w:val="clear" w:color="auto" w:fill="EAE0F8"/>
          </w:tcPr>
          <w:p/>
        </w:tc>
        <w:tc>
          <w:tcPr>
            <w:tcW w:type="dxa" w:w="4464"/>
            <w:shd w:val="clear" w:color="auto" w:fill="EAE0F8"/>
          </w:tcPr>
          <w:p/>
        </w:tc>
      </w:tr>
      <w:tr>
        <w:tc>
          <w:tcPr>
            <w:tcW w:type="dxa" w:w="2016"/>
            <w:shd w:val="clear" w:color="auto" w:fill="FFFFFF"/>
          </w:tcPr>
          <w:p>
            <w:r>
              <w:t>Incoming Officer</w:t>
            </w:r>
          </w:p>
        </w:tc>
        <w:tc>
          <w:tcPr>
            <w:tcW w:type="dxa" w:w="2880"/>
            <w:shd w:val="clear" w:color="auto" w:fill="FFFFFF"/>
          </w:tcPr>
          <w:p/>
        </w:tc>
        <w:tc>
          <w:tcPr>
            <w:tcW w:type="dxa" w:w="4464"/>
            <w:shd w:val="clear" w:color="auto" w:fill="FFFFFF"/>
          </w:tcPr>
          <w:p/>
        </w:tc>
      </w:tr>
      <w:tr>
        <w:tc>
          <w:tcPr>
            <w:tcW w:type="dxa" w:w="2016"/>
            <w:shd w:val="clear" w:color="auto" w:fill="EAE0F8"/>
          </w:tcPr>
          <w:p>
            <w:r>
              <w:t>Chapter Advisor</w:t>
            </w:r>
          </w:p>
        </w:tc>
        <w:tc>
          <w:tcPr>
            <w:tcW w:type="dxa" w:w="2880"/>
            <w:shd w:val="clear" w:color="auto" w:fill="EAE0F8"/>
          </w:tcPr>
          <w:p/>
        </w:tc>
        <w:tc>
          <w:tcPr>
            <w:tcW w:type="dxa" w:w="4464"/>
            <w:shd w:val="clear" w:color="auto" w:fill="EAE0F8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80"/>
      <w:jc w:val="center"/>
    </w:pPr>
    <w:r>
      <w:rPr>
        <w:rFonts w:ascii="Calibri" w:hAnsi="Calibri"/>
        <w:b w:val="0"/>
        <w:i w:val="0"/>
        <w:color w:val="444444"/>
        <w:sz w:val="18"/>
      </w:rPr>
      <w:t xml:space="preserve">Esther Funds Foundation · info@estherfundsfoundation.org   |   Page </w:t>
    </w:r>
    <w:r>
      <w:fldChar w:fldCharType="begin"/>
    </w:r>
    <w:r>
      <w:instrText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