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HR Policy Handbook</w:t>
      </w:r>
    </w:p>
    <w:p>
      <w:pPr>
        <w:jc w:val="left"/>
      </w:pPr>
      <w:r>
        <w:rPr>
          <w:b w:val="0"/>
          <w:i/>
        </w:rPr>
        <w:t>Sample document for training and demonstration</w:t>
      </w:r>
    </w:p>
    <w:p>
      <w:r>
        <w:rPr>
          <w:b w:val="0"/>
          <w:i/>
        </w:rPr>
        <w:t>This is a fictional sample handbook created for workshop and testing purposes only. It does not contain real or confidential company information. Where this document and an employee’s contract of employment differ, the contract takes precedence.</w:t>
      </w:r>
    </w:p>
    <w:p>
      <w:r>
        <w:rPr>
          <w:b w:val="0"/>
          <w:i/>
        </w:rPr>
        <w:t>Version 1.0  |  Effective date: 1 August 2026  |  Owner: People &amp; Culture team</w:t>
      </w:r>
    </w:p>
    <w:p>
      <w:pPr>
        <w:pStyle w:val="Heading1"/>
      </w:pPr>
      <w:r>
        <w:t>1. Introduction and scope</w:t>
      </w:r>
    </w:p>
    <w:p>
      <w:r>
        <w:rPr>
          <w:b w:val="0"/>
          <w:i w:val="0"/>
        </w:rPr>
        <w:t>This handbook explains the main HR policies that apply to all employees, including full-time, part-time and fixed-term staff. It is designed to answer common questions about working here. Contractors and agency workers are covered only where a policy says so. Managers are responsible for applying these policies fairly and consistently.</w:t>
      </w:r>
    </w:p>
    <w:p>
      <w:pPr>
        <w:pStyle w:val="Heading1"/>
      </w:pPr>
      <w:r>
        <w:t>2. Working hours and flexible working</w:t>
      </w:r>
    </w:p>
    <w:p>
      <w:r>
        <w:rPr>
          <w:b w:val="0"/>
          <w:i w:val="0"/>
        </w:rPr>
        <w:t>Standard full-time hours are 37.5 per week, normally worked Monday to Friday between 9:00am and 5:30pm, with a one-hour unpaid lunch break. Core hours, when all staff are expected to be available, are 10:00am to 4:00pm. Outside core hours, employees may start and finish flexibly by agreement with their manager.</w:t>
      </w:r>
    </w:p>
    <w:p>
      <w:r>
        <w:rPr>
          <w:b w:val="0"/>
          <w:i w:val="0"/>
        </w:rPr>
        <w:t>All employees can request flexible working from their first day. Requests should be made in writing to your manager, who will respond within 28 days. Flexible options include compressed hours, part-time hours and adjusted start and finish times.</w:t>
      </w:r>
    </w:p>
    <w:p>
      <w:pPr>
        <w:pStyle w:val="Heading1"/>
      </w:pPr>
      <w:r>
        <w:t>3. Hybrid and remote working</w:t>
      </w:r>
    </w:p>
    <w:p>
      <w:r>
        <w:rPr>
          <w:b w:val="0"/>
          <w:i w:val="0"/>
        </w:rPr>
        <w:t>The Company operates a hybrid model. Employees are expected to work from the office at least two days per week, with the remaining days worked remotely where the role allows. Teams may agree fixed office days to support collaboration.</w:t>
      </w:r>
    </w:p>
    <w:p>
      <w:r>
        <w:rPr>
          <w:b w:val="0"/>
          <w:i w:val="0"/>
        </w:rPr>
        <w:t>When working remotely, employees must have a safe workspace, a secure internet connection and be reachable during core hours. Company equipment must only be used in line with the IT Acceptable Use Policy. Occasional work from abroad must be approved in advance by your manager and the People team.</w:t>
      </w:r>
    </w:p>
    <w:p>
      <w:pPr>
        <w:pStyle w:val="Heading1"/>
      </w:pPr>
      <w:r>
        <w:t>4. Annual leave and bank holidays</w:t>
      </w:r>
    </w:p>
    <w:p>
      <w:r>
        <w:rPr>
          <w:b w:val="0"/>
          <w:i w:val="0"/>
        </w:rPr>
        <w:t>Full-time employees receive 25 days of annual leave per year, plus the 8 recognised UK bank holidays. The leave year runs from 1 January to 31 December. Part-time employees receive a pro-rata entitlement based on the days they work.</w:t>
      </w:r>
    </w:p>
    <w:p>
      <w:pPr>
        <w:pStyle w:val="ListBullet"/>
      </w:pPr>
      <w:r>
        <w:t>Up to 5 unused days may be carried into the next leave year and must be used by 31 March.</w:t>
      </w:r>
    </w:p>
    <w:p>
      <w:pPr>
        <w:pStyle w:val="ListBullet"/>
      </w:pPr>
      <w:r>
        <w:t>Leave must be requested through the HR system and approved by your manager before it is booked.</w:t>
      </w:r>
    </w:p>
    <w:p>
      <w:pPr>
        <w:pStyle w:val="ListBullet"/>
      </w:pPr>
      <w:r>
        <w:t>After 5 years’ service, employees receive one additional day of leave per year, up to a maximum of 30 days.</w:t>
      </w:r>
    </w:p>
    <w:p>
      <w:pPr>
        <w:pStyle w:val="ListBullet"/>
      </w:pPr>
      <w:r>
        <w:t>On leaving, any untaken accrued leave is paid; any leave taken but not accrued is deducted from final pay.</w:t>
      </w:r>
    </w:p>
    <w:p>
      <w:pPr>
        <w:pStyle w:val="Heading1"/>
      </w:pPr>
      <w:r>
        <w:t>5. Sickness absence and sick pay</w:t>
      </w:r>
    </w:p>
    <w:p>
      <w:r>
        <w:rPr>
          <w:b w:val="0"/>
          <w:i w:val="0"/>
        </w:rPr>
        <w:t>If you are unable to work due to illness, tell your manager as early as possible and no later than 9:30am on the first day of absence. For absences of more than 7 calendar days, a fit note from a GP is required.</w:t>
      </w:r>
    </w:p>
    <w:p>
      <w:r>
        <w:rPr>
          <w:b w:val="0"/>
          <w:i w:val="0"/>
        </w:rPr>
        <w:t>The Company provides enhanced company sick pay of full pay for up to 20 working days in any rolling 12-month period, after which Statutory Sick Pay applies in line with current legislation. Company sick pay begins after successful completion of probation.</w:t>
      </w:r>
    </w:p>
    <w:p>
      <w:pPr>
        <w:pStyle w:val="Heading1"/>
      </w:pPr>
      <w:r>
        <w:t>6. Family and other leave</w:t>
      </w:r>
    </w:p>
    <w:p>
      <w:pPr>
        <w:pStyle w:val="ListBullet"/>
      </w:pPr>
      <w:r>
        <w:t>Maternity leave: up to 52 weeks. Enhanced maternity pay of full pay for the first 12 weeks (subject to eligibility and returning to work).</w:t>
      </w:r>
    </w:p>
    <w:p>
      <w:pPr>
        <w:pStyle w:val="ListBullet"/>
      </w:pPr>
      <w:r>
        <w:t>Paternity leave: 2 weeks at full pay.</w:t>
      </w:r>
    </w:p>
    <w:p>
      <w:pPr>
        <w:pStyle w:val="ListBullet"/>
      </w:pPr>
      <w:r>
        <w:t>Shared parental leave and adoption leave are available in line with statutory rules.</w:t>
      </w:r>
    </w:p>
    <w:p>
      <w:pPr>
        <w:pStyle w:val="ListBullet"/>
      </w:pPr>
      <w:r>
        <w:t>Compassionate leave: up to 5 paid days following the death of a close family member.</w:t>
      </w:r>
    </w:p>
    <w:p>
      <w:pPr>
        <w:pStyle w:val="ListBullet"/>
      </w:pPr>
      <w:r>
        <w:t>Jury service and public duties: reasonable paid time off is provided.</w:t>
      </w:r>
    </w:p>
    <w:p>
      <w:pPr>
        <w:pStyle w:val="ListBullet"/>
      </w:pPr>
      <w:r>
        <w:t>Unpaid leave may be granted at the Company’s discretion for exceptional personal circumstances.</w:t>
      </w:r>
    </w:p>
    <w:p>
      <w:pPr>
        <w:pStyle w:val="Heading1"/>
      </w:pPr>
      <w:r>
        <w:t>7. Pay, expenses and benefits</w:t>
      </w:r>
    </w:p>
    <w:p>
      <w:r>
        <w:rPr>
          <w:b w:val="0"/>
          <w:i w:val="0"/>
        </w:rPr>
        <w:t>Salaries are paid monthly on the last working day of each month by bank transfer. Pay is reviewed annually each April. Business expenses must be submitted within 30 days with valid receipts and are reimbursed in the next available pay run once approved by a manager.</w:t>
      </w:r>
    </w:p>
    <w:p>
      <w:pPr>
        <w:pStyle w:val="ListBullet"/>
      </w:pPr>
      <w:r>
        <w:t>Pension: the Company auto-enrols eligible employees and contributes 5% of qualifying earnings, with a 4% employee contribution.</w:t>
      </w:r>
    </w:p>
    <w:p>
      <w:pPr>
        <w:pStyle w:val="ListBullet"/>
      </w:pPr>
      <w:r>
        <w:t>Mileage for approved business travel is reimbursed at the current HMRC-approved rate.</w:t>
      </w:r>
    </w:p>
    <w:p>
      <w:pPr>
        <w:pStyle w:val="ListBullet"/>
      </w:pPr>
      <w:r>
        <w:t>Additional benefits include an employee assistance programme, eye-care vouchers and a cycle-to-work scheme.</w:t>
      </w:r>
    </w:p>
    <w:p>
      <w:pPr>
        <w:pStyle w:val="Heading1"/>
      </w:pPr>
      <w:r>
        <w:t>8. Code of conduct</w:t>
      </w:r>
    </w:p>
    <w:p>
      <w:r>
        <w:rPr>
          <w:b w:val="0"/>
          <w:i w:val="0"/>
        </w:rPr>
        <w:t>All employees are expected to act with honesty, respect and professionalism. This includes treating colleagues, clients and suppliers courteously, protecting Company property, and avoiding any conduct that could damage the Company’s reputation. Conflicts of interest must be declared to your manager. Gifts or hospitality above a nominal value must be reported and may not be accepted where they could improperly influence a business decision.</w:t>
      </w:r>
    </w:p>
    <w:p>
      <w:pPr>
        <w:pStyle w:val="Heading1"/>
      </w:pPr>
      <w:r>
        <w:t>9. Equality, diversity and inclusion</w:t>
      </w:r>
    </w:p>
    <w:p>
      <w:r>
        <w:rPr>
          <w:b w:val="0"/>
          <w:i w:val="0"/>
        </w:rPr>
        <w:t>The Company is committed to a workplace free from discrimination, harassment and victimisation. We do not tolerate less favourable treatment on the basis of any protected characteristic, including age, disability, gender reassignment, marriage or civil partnership, pregnancy or maternity, race, religion or belief, sex or sexual orientation. Reasonable adjustments are made to support employees with disabilities. Concerns can be raised confidentially with any manager or the People team.</w:t>
      </w:r>
    </w:p>
    <w:p>
      <w:pPr>
        <w:pStyle w:val="Heading1"/>
      </w:pPr>
      <w:r>
        <w:t>10. Probation, notice and resignation</w:t>
      </w:r>
    </w:p>
    <w:p>
      <w:r>
        <w:rPr>
          <w:b w:val="0"/>
          <w:i w:val="0"/>
        </w:rPr>
        <w:t>New employees serve a 6-month probationary period, during which performance and suitability are reviewed. Notice during probation is 1 week on either side. After probation, the standard notice period is 1 month, increasing to 3 months for senior roles as stated in the contract. Resignations should be given in writing to your manager.</w:t>
      </w:r>
    </w:p>
    <w:p>
      <w:pPr>
        <w:pStyle w:val="Heading1"/>
      </w:pPr>
      <w:r>
        <w:t>11. Learning and development</w:t>
      </w:r>
    </w:p>
    <w:p>
      <w:r>
        <w:rPr>
          <w:b w:val="0"/>
          <w:i w:val="0"/>
        </w:rPr>
        <w:t>The Company supports ongoing development through on-the-job learning, internal training and an annual development allowance of up to £750 per employee for approved courses. Development goals are agreed in regular one-to-ones and reviewed at the mid-year and end-of-year performance conversations.</w:t>
      </w:r>
    </w:p>
    <w:p>
      <w:pPr>
        <w:pStyle w:val="Heading1"/>
      </w:pPr>
      <w:r>
        <w:t>12. Data protection and confidentiality</w:t>
      </w:r>
    </w:p>
    <w:p>
      <w:r>
        <w:rPr>
          <w:b w:val="0"/>
          <w:i w:val="0"/>
        </w:rPr>
        <w:t>Employees must handle personal and Company data in line with UK GDPR and the Company’s Data Protection Policy. Confidential information must not be shared outside the Company or used for personal gain, during or after employment. Suspected data breaches must be reported to the Data Protection lead immediately and within 24 hours of discovery.</w:t>
      </w:r>
    </w:p>
    <w:p>
      <w:pPr>
        <w:pStyle w:val="Heading1"/>
      </w:pPr>
      <w:r>
        <w:t>13. Grievance and disciplinary</w:t>
      </w:r>
    </w:p>
    <w:p>
      <w:r>
        <w:rPr>
          <w:b w:val="0"/>
          <w:i w:val="0"/>
        </w:rPr>
        <w:t>Employees who wish to raise a concern should first speak to their manager. If the matter is not resolved informally, a formal grievance may be raised in writing and will be handled under the Company’s grievance procedure. Disciplinary matters follow a staged process of investigation, hearing and, where appropriate, sanction, with a right of appeal at each formal stage. The Company follows the Acas Code of Practice.</w:t>
      </w:r>
    </w:p>
    <w:p>
      <w:pPr>
        <w:pStyle w:val="Heading1"/>
      </w:pPr>
      <w:r>
        <w:t>14. Health, safety and wellbeing</w:t>
      </w:r>
    </w:p>
    <w:p>
      <w:r>
        <w:rPr>
          <w:b w:val="0"/>
          <w:i w:val="0"/>
        </w:rPr>
        <w:t>The Company provides a safe working environment and expects employees to follow safety guidance, report hazards and complete required training. Display screen equipment assessments are available on request. Wellbeing support is available through the employee assistance programme, which offers free, confidential advice 24 hours a day.</w:t>
      </w:r>
    </w:p>
    <w:p>
      <w:pPr>
        <w:pStyle w:val="Heading1"/>
      </w:pPr>
      <w:r>
        <w:t>15. Who to contact</w:t>
      </w:r>
    </w:p>
    <w:p>
      <w:r>
        <w:rPr>
          <w:b w:val="0"/>
          <w:i w:val="0"/>
        </w:rPr>
        <w:t>For questions about any policy in this handbook, contact the People &amp; Culture team or speak to your line manager. This handbook is reviewed annually and may be updated; employees will be notified of material changes.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C01C2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2A2A2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2A2A2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1155F1C3F98941AA036A09FAC390C0" ma:contentTypeVersion="3" ma:contentTypeDescription="Create a new document." ma:contentTypeScope="" ma:versionID="033b9d2dff0c0fbacb19e39f3379d102">
  <xsd:schema xmlns:xsd="http://www.w3.org/2001/XMLSchema" xmlns:xs="http://www.w3.org/2001/XMLSchema" xmlns:p="http://schemas.microsoft.com/office/2006/metadata/properties" xmlns:ns2="0d1bb355-902e-48cd-84ce-9ece7c075fe4" targetNamespace="http://schemas.microsoft.com/office/2006/metadata/properties" ma:root="true" ma:fieldsID="c8831d6a42e6b0eeda8ed644facb52c7" ns2:_="">
    <xsd:import namespace="0d1bb355-902e-48cd-84ce-9ece7c075f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1bb355-902e-48cd-84ce-9ece7c075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EC59EA9-CE35-4A03-A067-C3B2A827EED8}"/>
</file>

<file path=customXml/itemProps3.xml><?xml version="1.0" encoding="utf-8"?>
<ds:datastoreItem xmlns:ds="http://schemas.openxmlformats.org/officeDocument/2006/customXml" ds:itemID="{6F93D190-A90E-4178-B3C4-A9FF17B26D68}"/>
</file>

<file path=customXml/itemProps4.xml><?xml version="1.0" encoding="utf-8"?>
<ds:datastoreItem xmlns:ds="http://schemas.openxmlformats.org/officeDocument/2006/customXml" ds:itemID="{17B1D911-5CD5-4A4F-9D9D-80BE121EEF4A}"/>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0x0101003F1155F1C3F98941AA036A09FAC390C0</vt:lpwstr>
  </property>
</Properties>
</file>