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D9" w:rsidRDefault="00AE5598" w:rsidP="00AE5598">
      <w:pPr>
        <w:ind w:right="-360" w:hanging="360"/>
        <w:rPr>
          <w:b/>
          <w:sz w:val="32"/>
          <w:szCs w:val="32"/>
        </w:rPr>
      </w:pPr>
      <w:r>
        <w:rPr>
          <w:b/>
          <w:sz w:val="32"/>
          <w:szCs w:val="32"/>
        </w:rPr>
        <w:t>DETERMINE THE MOLE RATIOS IN A CHEMICAL REACTION</w:t>
      </w:r>
    </w:p>
    <w:p w:rsidR="00AE5598" w:rsidRDefault="00AE5598" w:rsidP="00AE5598">
      <w:pPr>
        <w:ind w:right="-360" w:hanging="360"/>
        <w:rPr>
          <w:b/>
          <w:sz w:val="32"/>
          <w:szCs w:val="32"/>
        </w:rPr>
      </w:pPr>
    </w:p>
    <w:p w:rsidR="00AE5598" w:rsidRDefault="00AE5598" w:rsidP="00AE5598">
      <w:pPr>
        <w:ind w:right="-360"/>
        <w:rPr>
          <w:b/>
          <w:sz w:val="28"/>
          <w:szCs w:val="28"/>
        </w:rPr>
      </w:pPr>
      <w:r>
        <w:rPr>
          <w:b/>
          <w:sz w:val="28"/>
          <w:szCs w:val="28"/>
        </w:rPr>
        <w:t>LAB ADV COMP.9</w:t>
      </w:r>
    </w:p>
    <w:p w:rsidR="00AE5598" w:rsidRDefault="00AE5598" w:rsidP="00AE5598">
      <w:pPr>
        <w:ind w:right="-360"/>
      </w:pPr>
      <w:r>
        <w:t xml:space="preserve">From </w:t>
      </w:r>
      <w:r>
        <w:rPr>
          <w:i/>
        </w:rPr>
        <w:t xml:space="preserve">Advanced Chemistry with Vernier, </w:t>
      </w:r>
      <w:r>
        <w:t>Vernier Software &amp; Technology, 2004</w:t>
      </w:r>
    </w:p>
    <w:p w:rsidR="00AE5598" w:rsidRDefault="00AE5598" w:rsidP="00AE5598">
      <w:pPr>
        <w:ind w:right="-360"/>
      </w:pPr>
    </w:p>
    <w:p w:rsidR="00AE5598" w:rsidRDefault="00AE5598" w:rsidP="00AE5598">
      <w:pPr>
        <w:ind w:right="-360"/>
        <w:rPr>
          <w:b/>
          <w:sz w:val="28"/>
          <w:szCs w:val="28"/>
        </w:rPr>
      </w:pPr>
      <w:r>
        <w:rPr>
          <w:b/>
          <w:sz w:val="28"/>
          <w:szCs w:val="28"/>
        </w:rPr>
        <w:t>INTRODUCTION</w:t>
      </w:r>
    </w:p>
    <w:p w:rsidR="00AE5598" w:rsidRDefault="00AE5598" w:rsidP="00AE5598">
      <w:pPr>
        <w:ind w:right="-360"/>
        <w:rPr>
          <w:b/>
          <w:sz w:val="28"/>
          <w:szCs w:val="28"/>
        </w:rPr>
      </w:pPr>
    </w:p>
    <w:p w:rsidR="00AE5598" w:rsidRDefault="00AE5598" w:rsidP="00AE5598">
      <w:pPr>
        <w:pStyle w:val="VParaText"/>
      </w:pPr>
      <w:r>
        <w:t>A balanced chemical reaction equation gives the mole ratios of the reactants and the products as coefficients. When some of the chemical formulas are not known, an experiment must be conducted to help determine the mole ratios.</w:t>
      </w:r>
    </w:p>
    <w:p w:rsidR="00AE5598" w:rsidRDefault="00AE5598" w:rsidP="00AE5598">
      <w:pPr>
        <w:pStyle w:val="VParaText"/>
        <w:spacing w:after="120"/>
      </w:pPr>
      <w:r>
        <w:t>This experiment uses two common substances as the reactants: hypochlorite ion (</w:t>
      </w:r>
      <w:proofErr w:type="spellStart"/>
      <w:r>
        <w:t>OCl</w:t>
      </w:r>
      <w:proofErr w:type="spellEnd"/>
      <w:r>
        <w:rPr>
          <w:vertAlign w:val="superscript"/>
        </w:rPr>
        <w:t>–</w:t>
      </w:r>
      <w:r>
        <w:t>)</w:t>
      </w:r>
      <w:r>
        <w:rPr>
          <w:vertAlign w:val="superscript"/>
        </w:rPr>
        <w:t xml:space="preserve"> </w:t>
      </w:r>
      <w:r>
        <w:t>from household bleach and thiosulfate ion (S</w:t>
      </w:r>
      <w:r>
        <w:rPr>
          <w:vertAlign w:val="subscript"/>
        </w:rPr>
        <w:t>2</w:t>
      </w:r>
      <w:r>
        <w:t>O</w:t>
      </w:r>
      <w:r>
        <w:rPr>
          <w:vertAlign w:val="subscript"/>
        </w:rPr>
        <w:t>3</w:t>
      </w:r>
      <w:r>
        <w:rPr>
          <w:vertAlign w:val="superscript"/>
        </w:rPr>
        <w:t>2–</w:t>
      </w:r>
      <w:r>
        <w:t>), the active ingredient in a photographic “fixer” solution used to develop film. In the reaction, hypochlorite ions oxidize the thiosulfate ions according to the unbalanced and incomplete reaction equation below.</w:t>
      </w:r>
    </w:p>
    <w:p w:rsidR="00AE5598" w:rsidRDefault="00AE5598" w:rsidP="00AE5598">
      <w:pPr>
        <w:pStyle w:val="VGraphicEquation"/>
      </w:pPr>
      <w:proofErr w:type="gramStart"/>
      <w:r>
        <w:rPr>
          <w:i/>
        </w:rPr>
        <w:t>A</w:t>
      </w:r>
      <w:proofErr w:type="gramEnd"/>
      <w:r>
        <w:t xml:space="preserve"> </w:t>
      </w:r>
      <w:proofErr w:type="spellStart"/>
      <w:r>
        <w:t>OCl</w:t>
      </w:r>
      <w:proofErr w:type="spellEnd"/>
      <w:r>
        <w:rPr>
          <w:vertAlign w:val="superscript"/>
        </w:rPr>
        <w:t>–</w:t>
      </w:r>
      <w:r>
        <w:t xml:space="preserve"> + </w:t>
      </w:r>
      <w:r>
        <w:rPr>
          <w:i/>
        </w:rPr>
        <w:t>B</w:t>
      </w:r>
      <w:r>
        <w:t xml:space="preserve"> S</w:t>
      </w:r>
      <w:r>
        <w:rPr>
          <w:vertAlign w:val="subscript"/>
        </w:rPr>
        <w:t>2</w:t>
      </w:r>
      <w:r>
        <w:t>O</w:t>
      </w:r>
      <w:r>
        <w:rPr>
          <w:vertAlign w:val="subscript"/>
        </w:rPr>
        <w:t>3</w:t>
      </w:r>
      <w:r>
        <w:rPr>
          <w:vertAlign w:val="superscript"/>
        </w:rPr>
        <w:t>2–</w:t>
      </w:r>
      <w:r>
        <w:t xml:space="preserve"> </w:t>
      </w:r>
      <w:r>
        <w:rPr>
          <w:rFonts w:ascii="Arial" w:hAnsi="Arial" w:cs="Arial"/>
        </w:rPr>
        <w:t>→</w:t>
      </w:r>
      <w:r>
        <w:t xml:space="preserve"> products</w:t>
      </w:r>
    </w:p>
    <w:p w:rsidR="00AE5598" w:rsidRDefault="00AE5598" w:rsidP="00AE5598">
      <w:pPr>
        <w:pStyle w:val="VParaText"/>
      </w:pPr>
      <w:r>
        <w:t xml:space="preserve">It is possible to identify the coefficients, </w:t>
      </w:r>
      <w:r>
        <w:rPr>
          <w:i/>
        </w:rPr>
        <w:t>A</w:t>
      </w:r>
      <w:r>
        <w:t xml:space="preserve"> and</w:t>
      </w:r>
      <w:r>
        <w:rPr>
          <w:b/>
          <w:i/>
        </w:rPr>
        <w:t xml:space="preserve"> </w:t>
      </w:r>
      <w:r>
        <w:rPr>
          <w:i/>
        </w:rPr>
        <w:t>B</w:t>
      </w:r>
      <w:r>
        <w:t xml:space="preserve">, for the reactants, without knowing the products of the reaction. The process that you will use to determine the coefficients is called </w:t>
      </w:r>
      <w:r>
        <w:rPr>
          <w:i/>
        </w:rPr>
        <w:t>continuous variations</w:t>
      </w:r>
      <w:r>
        <w:t xml:space="preserve">. You will prepare a series of mixtures of the two reactants. Each mixture will have the same total volume and the same total number of moles of reactants. The reaction is exothermic, thus the mixture that generates the most heat energy will be the reaction that completely consumes both the hypochlorite and the thiosulfate ions. </w:t>
      </w:r>
      <w:r w:rsidR="00A610A2">
        <w:t xml:space="preserve">As heat energy is a product of this reaction, the reaction ratio that produces the most heat </w:t>
      </w:r>
      <w:r w:rsidR="008124F6">
        <w:t xml:space="preserve">indicates the stoichiometry of the reaction. </w:t>
      </w:r>
      <w:r>
        <w:t>You will use this mixture to establish the coefficients, and therefore the mole ratio, for the reaction.</w:t>
      </w:r>
    </w:p>
    <w:p w:rsidR="00AE5598" w:rsidRDefault="00AE5598" w:rsidP="00AE5598">
      <w:pPr>
        <w:ind w:right="-360"/>
        <w:rPr>
          <w:b/>
          <w:sz w:val="28"/>
          <w:szCs w:val="28"/>
        </w:rPr>
      </w:pPr>
      <w:r>
        <w:rPr>
          <w:b/>
          <w:sz w:val="28"/>
          <w:szCs w:val="28"/>
        </w:rPr>
        <w:t>OBJECTIVES</w:t>
      </w:r>
    </w:p>
    <w:p w:rsidR="00AE5598" w:rsidRDefault="00AE5598" w:rsidP="00AE5598">
      <w:pPr>
        <w:pStyle w:val="VParawBullets"/>
      </w:pPr>
      <w:r>
        <w:t>In this experiment, you will</w:t>
      </w:r>
    </w:p>
    <w:p w:rsidR="00AE5598" w:rsidRDefault="00AE5598" w:rsidP="00AE5598">
      <w:pPr>
        <w:pStyle w:val="VBullets"/>
      </w:pPr>
      <w:r>
        <w:t>Measure the enthalpy change of a series of reactions.</w:t>
      </w:r>
    </w:p>
    <w:p w:rsidR="00AE5598" w:rsidRDefault="00AE5598" w:rsidP="00AE5598">
      <w:pPr>
        <w:pStyle w:val="VBulletfinal"/>
      </w:pPr>
      <w:r>
        <w:t>Determine the stoichiometry of an oxidation-reduction reaction in which the reactants are known but the products are unknown.</w:t>
      </w:r>
    </w:p>
    <w:p w:rsidR="00AE5598" w:rsidRDefault="00850C79" w:rsidP="00AE5598">
      <w:pPr>
        <w:pStyle w:val="VGraphicEquation"/>
      </w:pPr>
      <w:bookmarkStart w:id="0" w:name="_GoBack"/>
      <w:r>
        <w:rPr>
          <w:noProof/>
        </w:rPr>
        <w:drawing>
          <wp:inline distT="0" distB="0" distL="0" distR="0">
            <wp:extent cx="2654300" cy="2495550"/>
            <wp:effectExtent l="0" t="0" r="0" b="0"/>
            <wp:docPr id="1" name="Picture 1" descr="temperature probe and beaker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2495550"/>
                    </a:xfrm>
                    <a:prstGeom prst="rect">
                      <a:avLst/>
                    </a:prstGeom>
                    <a:noFill/>
                    <a:ln>
                      <a:noFill/>
                    </a:ln>
                  </pic:spPr>
                </pic:pic>
              </a:graphicData>
            </a:graphic>
          </wp:inline>
        </w:drawing>
      </w:r>
      <w:bookmarkEnd w:id="0"/>
    </w:p>
    <w:p w:rsidR="00AE5598" w:rsidRDefault="00AE5598" w:rsidP="00AE5598">
      <w:pPr>
        <w:ind w:right="-360"/>
      </w:pPr>
    </w:p>
    <w:p w:rsidR="00AE5598" w:rsidRDefault="00AE5598" w:rsidP="00AE5598">
      <w:pPr>
        <w:ind w:right="-360"/>
        <w:rPr>
          <w:b/>
          <w:sz w:val="28"/>
          <w:szCs w:val="28"/>
        </w:rPr>
      </w:pPr>
      <w:r>
        <w:rPr>
          <w:b/>
          <w:sz w:val="28"/>
          <w:szCs w:val="28"/>
        </w:rPr>
        <w:t>MATERIALS</w:t>
      </w:r>
    </w:p>
    <w:p w:rsidR="00AE5598" w:rsidRPr="00AE5598" w:rsidRDefault="00AE5598" w:rsidP="00AE5598">
      <w:pPr>
        <w:ind w:right="-360"/>
        <w:rPr>
          <w:b/>
          <w:sz w:val="28"/>
          <w:szCs w:val="28"/>
        </w:rPr>
      </w:pPr>
    </w:p>
    <w:tbl>
      <w:tblPr>
        <w:tblW w:w="0" w:type="auto"/>
        <w:tblLayout w:type="fixed"/>
        <w:tblLook w:val="01E0" w:firstRow="1" w:lastRow="1" w:firstColumn="1" w:lastColumn="1" w:noHBand="0" w:noVBand="0"/>
      </w:tblPr>
      <w:tblGrid>
        <w:gridCol w:w="3528"/>
        <w:gridCol w:w="5040"/>
      </w:tblGrid>
      <w:tr w:rsidR="008124F6" w:rsidTr="008124F6">
        <w:tblPrEx>
          <w:tblCellMar>
            <w:top w:w="0" w:type="dxa"/>
            <w:bottom w:w="0" w:type="dxa"/>
          </w:tblCellMar>
        </w:tblPrEx>
        <w:tc>
          <w:tcPr>
            <w:tcW w:w="3528" w:type="dxa"/>
          </w:tcPr>
          <w:p w:rsidR="008124F6" w:rsidRDefault="008124F6" w:rsidP="00D2581F">
            <w:pPr>
              <w:pStyle w:val="VMaterialslist"/>
            </w:pPr>
            <w:r>
              <w:t>LabQuest</w:t>
            </w:r>
          </w:p>
        </w:tc>
        <w:tc>
          <w:tcPr>
            <w:tcW w:w="5040" w:type="dxa"/>
          </w:tcPr>
          <w:p w:rsidR="008124F6" w:rsidRDefault="008124F6" w:rsidP="008124F6">
            <w:pPr>
              <w:pStyle w:val="VMaterialslist"/>
              <w:ind w:right="-900"/>
            </w:pPr>
            <w:r>
              <w:t>three 250 mL beakers</w:t>
            </w:r>
          </w:p>
        </w:tc>
      </w:tr>
      <w:tr w:rsidR="008124F6" w:rsidTr="008124F6">
        <w:tblPrEx>
          <w:tblCellMar>
            <w:top w:w="0" w:type="dxa"/>
            <w:bottom w:w="0" w:type="dxa"/>
          </w:tblCellMar>
        </w:tblPrEx>
        <w:tc>
          <w:tcPr>
            <w:tcW w:w="3528" w:type="dxa"/>
          </w:tcPr>
          <w:p w:rsidR="008124F6" w:rsidRDefault="008124F6" w:rsidP="00D2581F">
            <w:pPr>
              <w:pStyle w:val="VMaterialslist"/>
            </w:pPr>
            <w:r>
              <w:t>LabQuest App</w:t>
            </w:r>
          </w:p>
        </w:tc>
        <w:tc>
          <w:tcPr>
            <w:tcW w:w="5040" w:type="dxa"/>
          </w:tcPr>
          <w:p w:rsidR="008124F6" w:rsidRDefault="008124F6" w:rsidP="008124F6">
            <w:pPr>
              <w:pStyle w:val="VMaterialslist"/>
              <w:ind w:right="-900"/>
            </w:pPr>
            <w:r>
              <w:t xml:space="preserve">0.50 M sodium hypochlorite, </w:t>
            </w:r>
            <w:proofErr w:type="spellStart"/>
            <w:r>
              <w:t>NaOCl</w:t>
            </w:r>
            <w:proofErr w:type="spellEnd"/>
            <w:r>
              <w:t>, solution</w:t>
            </w:r>
          </w:p>
        </w:tc>
      </w:tr>
      <w:tr w:rsidR="008124F6" w:rsidTr="008124F6">
        <w:tblPrEx>
          <w:tblCellMar>
            <w:top w:w="0" w:type="dxa"/>
            <w:bottom w:w="0" w:type="dxa"/>
          </w:tblCellMar>
        </w:tblPrEx>
        <w:tc>
          <w:tcPr>
            <w:tcW w:w="3528" w:type="dxa"/>
          </w:tcPr>
          <w:p w:rsidR="008124F6" w:rsidRDefault="008124F6" w:rsidP="00D2581F">
            <w:pPr>
              <w:pStyle w:val="VMaterialslist"/>
            </w:pPr>
            <w:r>
              <w:t>Temperature Probe</w:t>
            </w:r>
            <w:r>
              <w:br/>
              <w:t>two 10 mL graduated cylinders</w:t>
            </w:r>
          </w:p>
        </w:tc>
        <w:tc>
          <w:tcPr>
            <w:tcW w:w="5040" w:type="dxa"/>
          </w:tcPr>
          <w:p w:rsidR="008124F6" w:rsidRDefault="008124F6" w:rsidP="008124F6">
            <w:pPr>
              <w:pStyle w:val="VMaterialslist"/>
              <w:ind w:right="-900"/>
            </w:pPr>
            <w:r>
              <w:t>0.50 M sodium thiosulfate, Na</w:t>
            </w:r>
            <w:r>
              <w:rPr>
                <w:vertAlign w:val="subscript"/>
              </w:rPr>
              <w:t>2</w:t>
            </w:r>
            <w:r>
              <w:t>S</w:t>
            </w:r>
            <w:r>
              <w:rPr>
                <w:vertAlign w:val="subscript"/>
              </w:rPr>
              <w:t>2</w:t>
            </w:r>
            <w:r>
              <w:t>O</w:t>
            </w:r>
            <w:r>
              <w:rPr>
                <w:vertAlign w:val="subscript"/>
              </w:rPr>
              <w:t>3</w:t>
            </w:r>
            <w:r>
              <w:t>, solution in</w:t>
            </w:r>
            <w:r>
              <w:br/>
              <w:t xml:space="preserve">    0.2 M sodium hydroxide, NaOH</w:t>
            </w:r>
          </w:p>
        </w:tc>
      </w:tr>
      <w:tr w:rsidR="008124F6" w:rsidTr="008124F6">
        <w:tblPrEx>
          <w:tblCellMar>
            <w:top w:w="0" w:type="dxa"/>
            <w:bottom w:w="0" w:type="dxa"/>
          </w:tblCellMar>
        </w:tblPrEx>
        <w:tc>
          <w:tcPr>
            <w:tcW w:w="3528" w:type="dxa"/>
          </w:tcPr>
          <w:p w:rsidR="008124F6" w:rsidRDefault="008124F6" w:rsidP="00D2581F">
            <w:pPr>
              <w:pStyle w:val="VMaterialslist"/>
            </w:pPr>
            <w:r>
              <w:t>two 25 mL graduated cylinders</w:t>
            </w:r>
          </w:p>
        </w:tc>
        <w:tc>
          <w:tcPr>
            <w:tcW w:w="5040" w:type="dxa"/>
          </w:tcPr>
          <w:p w:rsidR="008124F6" w:rsidRDefault="008124F6" w:rsidP="008124F6">
            <w:pPr>
              <w:pStyle w:val="VMaterialslist"/>
              <w:ind w:right="-900"/>
            </w:pPr>
            <w:r>
              <w:t>Styrofoam</w:t>
            </w:r>
            <w:r>
              <w:rPr>
                <w:position w:val="4"/>
                <w:sz w:val="20"/>
                <w:szCs w:val="20"/>
              </w:rPr>
              <w:t>®</w:t>
            </w:r>
            <w:r>
              <w:t xml:space="preserve"> cups</w:t>
            </w:r>
          </w:p>
        </w:tc>
      </w:tr>
      <w:tr w:rsidR="008124F6" w:rsidTr="008124F6">
        <w:tblPrEx>
          <w:tblCellMar>
            <w:top w:w="0" w:type="dxa"/>
            <w:bottom w:w="0" w:type="dxa"/>
          </w:tblCellMar>
        </w:tblPrEx>
        <w:tc>
          <w:tcPr>
            <w:tcW w:w="3528" w:type="dxa"/>
          </w:tcPr>
          <w:p w:rsidR="008124F6" w:rsidRDefault="008124F6" w:rsidP="00D2581F">
            <w:pPr>
              <w:pStyle w:val="VMaterialslist"/>
            </w:pPr>
            <w:r>
              <w:t>two 50 mL graduated cylinders</w:t>
            </w:r>
          </w:p>
        </w:tc>
        <w:tc>
          <w:tcPr>
            <w:tcW w:w="5040" w:type="dxa"/>
          </w:tcPr>
          <w:p w:rsidR="008124F6" w:rsidRDefault="008124F6" w:rsidP="008124F6">
            <w:pPr>
              <w:pStyle w:val="VMaterialslist"/>
              <w:ind w:right="-900"/>
            </w:pPr>
          </w:p>
        </w:tc>
      </w:tr>
    </w:tbl>
    <w:p w:rsidR="00AE5598" w:rsidRDefault="00AE5598" w:rsidP="00AE5598">
      <w:pPr>
        <w:ind w:right="-360"/>
      </w:pPr>
    </w:p>
    <w:p w:rsidR="00AE5598" w:rsidRDefault="00AE5598" w:rsidP="00AE5598">
      <w:pPr>
        <w:ind w:right="-360"/>
      </w:pPr>
    </w:p>
    <w:p w:rsidR="00AE5598" w:rsidRDefault="00AE5598" w:rsidP="00AE5598">
      <w:pPr>
        <w:ind w:right="-360"/>
        <w:rPr>
          <w:b/>
          <w:sz w:val="28"/>
          <w:szCs w:val="28"/>
        </w:rPr>
      </w:pPr>
      <w:r>
        <w:rPr>
          <w:b/>
          <w:sz w:val="28"/>
          <w:szCs w:val="28"/>
        </w:rPr>
        <w:t>PROCEDURE</w:t>
      </w:r>
    </w:p>
    <w:p w:rsidR="00AE5598" w:rsidRPr="00AE5598" w:rsidRDefault="00AE5598" w:rsidP="00AE5598">
      <w:pPr>
        <w:ind w:right="-360"/>
        <w:rPr>
          <w:b/>
          <w:sz w:val="28"/>
          <w:szCs w:val="28"/>
        </w:rPr>
      </w:pPr>
    </w:p>
    <w:p w:rsidR="008124F6" w:rsidRDefault="00AE5598" w:rsidP="008124F6">
      <w:pPr>
        <w:pStyle w:val="VSteps"/>
      </w:pPr>
      <w:r>
        <w:tab/>
      </w:r>
      <w:r w:rsidR="008124F6">
        <w:t>1.</w:t>
      </w:r>
      <w:r w:rsidR="008124F6">
        <w:tab/>
        <w:t>Obtain and wear goggles.</w:t>
      </w:r>
    </w:p>
    <w:p w:rsidR="00AE489D" w:rsidRDefault="008124F6" w:rsidP="00AE489D">
      <w:pPr>
        <w:pStyle w:val="VSteps"/>
      </w:pPr>
      <w:r>
        <w:tab/>
      </w:r>
      <w:r w:rsidR="00AE489D">
        <w:t>2.</w:t>
      </w:r>
      <w:r w:rsidR="00AE489D">
        <w:tab/>
        <w:t>Connect the Temperature Probe to LabQuest and choose New from the File menu. If you have an older sensor that does not auto-ID, manually set up the sensor.</w:t>
      </w:r>
      <w:r w:rsidR="00AE489D" w:rsidRPr="00AE489D">
        <w:t xml:space="preserve"> </w:t>
      </w:r>
    </w:p>
    <w:p w:rsidR="00AE489D" w:rsidRDefault="00AE489D" w:rsidP="00AE489D">
      <w:pPr>
        <w:pStyle w:val="VSteps"/>
      </w:pPr>
      <w:r>
        <w:tab/>
        <w:t>3.</w:t>
      </w:r>
      <w:r>
        <w:tab/>
        <w:t>Tap the Mode: box on the LabQuest and then tap on the length box.  A keyboard should appear on the screen.  Using the backspace key remove 180 and then enter 90 for the length of the experiment.  Tap Ok.</w:t>
      </w:r>
    </w:p>
    <w:p w:rsidR="00AE489D" w:rsidRDefault="00AE489D" w:rsidP="00AE489D">
      <w:pPr>
        <w:pStyle w:val="VSteps"/>
      </w:pPr>
      <w:r>
        <w:tab/>
        <w:t>4.</w:t>
      </w:r>
      <w:r>
        <w:tab/>
        <w:t xml:space="preserve">Measure out precisely 25.0 mL of the 0.50 M </w:t>
      </w:r>
      <w:proofErr w:type="spellStart"/>
      <w:r>
        <w:t>NaOCl</w:t>
      </w:r>
      <w:proofErr w:type="spellEnd"/>
      <w:r>
        <w:t xml:space="preserve"> solution. Pour this solution into a Styrofoam cup and nest the cup in a beaker to help stabilize the cup.</w:t>
      </w:r>
    </w:p>
    <w:p w:rsidR="00AE489D" w:rsidRDefault="00AE489D" w:rsidP="00AE489D">
      <w:pPr>
        <w:pStyle w:val="VSteps"/>
      </w:pPr>
      <w:r>
        <w:tab/>
        <w:t>5.</w:t>
      </w:r>
      <w:r>
        <w:tab/>
        <w:t xml:space="preserve">Immerse the tip of the Temperature Probe in the Styrofoam cup of </w:t>
      </w:r>
      <w:proofErr w:type="spellStart"/>
      <w:r>
        <w:t>NaOCl</w:t>
      </w:r>
      <w:proofErr w:type="spellEnd"/>
      <w:r>
        <w:t xml:space="preserve"> solution.</w:t>
      </w:r>
    </w:p>
    <w:p w:rsidR="00AE489D" w:rsidRDefault="00AE489D" w:rsidP="00AE489D">
      <w:pPr>
        <w:pStyle w:val="VSteps"/>
      </w:pPr>
      <w:r>
        <w:tab/>
        <w:t>6.</w:t>
      </w:r>
      <w:r>
        <w:tab/>
        <w:t>Measure out precisely 25.0 mL of the 0.50 M Na</w:t>
      </w:r>
      <w:r>
        <w:rPr>
          <w:vertAlign w:val="subscript"/>
        </w:rPr>
        <w:t>2</w:t>
      </w:r>
      <w:r>
        <w:t>S</w:t>
      </w:r>
      <w:r>
        <w:rPr>
          <w:vertAlign w:val="subscript"/>
        </w:rPr>
        <w:t>2</w:t>
      </w:r>
      <w:r>
        <w:t>O</w:t>
      </w:r>
      <w:r>
        <w:rPr>
          <w:vertAlign w:val="subscript"/>
        </w:rPr>
        <w:t>3</w:t>
      </w:r>
      <w:r>
        <w:t xml:space="preserve"> solution. </w:t>
      </w:r>
      <w:r>
        <w:rPr>
          <w:b/>
        </w:rPr>
        <w:t>Note:</w:t>
      </w:r>
      <w:r>
        <w:t xml:space="preserve"> Do not mix the two solutions yet.</w:t>
      </w:r>
    </w:p>
    <w:p w:rsidR="00AE489D" w:rsidRDefault="00AE489D" w:rsidP="00AE489D">
      <w:pPr>
        <w:pStyle w:val="VSteps"/>
      </w:pPr>
      <w:r>
        <w:tab/>
        <w:t>7.</w:t>
      </w:r>
      <w:r>
        <w:tab/>
        <w:t>Start data collection. Let the program gather and graph a few initial temperature readings, and then add the Na</w:t>
      </w:r>
      <w:r>
        <w:rPr>
          <w:vertAlign w:val="subscript"/>
        </w:rPr>
        <w:t>2</w:t>
      </w:r>
      <w:r>
        <w:t>S</w:t>
      </w:r>
      <w:r>
        <w:rPr>
          <w:vertAlign w:val="subscript"/>
        </w:rPr>
        <w:t>2</w:t>
      </w:r>
      <w:r>
        <w:t>O</w:t>
      </w:r>
      <w:r>
        <w:rPr>
          <w:vertAlign w:val="subscript"/>
        </w:rPr>
        <w:t>3</w:t>
      </w:r>
      <w:r>
        <w:t xml:space="preserve"> solution. Gently stir the reaction mixture with the Temperature Probe.</w:t>
      </w:r>
    </w:p>
    <w:p w:rsidR="00AE489D" w:rsidRDefault="00AE489D" w:rsidP="00AE489D">
      <w:pPr>
        <w:pStyle w:val="VSteps"/>
      </w:pPr>
      <w:r>
        <w:tab/>
        <w:t>8.</w:t>
      </w:r>
      <w:r>
        <w:tab/>
        <w:t>Data collection will stop after 3 minutes. You may stop data collection before three minutes have passed if the temperature readings are no longer changing. Examine the graph by selecting any data point to trace the graph. Calculate and record the maximum temperature change.</w:t>
      </w:r>
    </w:p>
    <w:p w:rsidR="00AE489D" w:rsidRDefault="00AE489D" w:rsidP="00AE489D">
      <w:pPr>
        <w:pStyle w:val="VSteps"/>
      </w:pPr>
      <w:r>
        <w:tab/>
        <w:t>9.</w:t>
      </w:r>
      <w:r>
        <w:tab/>
        <w:t>Rinse out and dispose of the reaction mixture as directed.</w:t>
      </w:r>
    </w:p>
    <w:p w:rsidR="00AE489D" w:rsidRDefault="00AE5598" w:rsidP="00AE489D">
      <w:pPr>
        <w:pStyle w:val="VSteps"/>
      </w:pPr>
      <w:r>
        <w:tab/>
        <w:t>1</w:t>
      </w:r>
      <w:r w:rsidR="00AE489D">
        <w:t>0</w:t>
      </w:r>
      <w:r>
        <w:t>.</w:t>
      </w:r>
      <w:r>
        <w:tab/>
        <w:t>Repeat the necessary steps to continue testing various ratios of the two solutions, keeping the total volume at 50.0 mL</w:t>
      </w:r>
      <w:r w:rsidR="00784004">
        <w:t>.</w:t>
      </w:r>
      <w:r>
        <w:t xml:space="preserve"> </w:t>
      </w:r>
      <w:r w:rsidR="00784004">
        <w:t>Use the data table for the desired volumes of each reagent and record the temperature change for ea</w:t>
      </w:r>
      <w:r w:rsidR="00AE489D">
        <w:t>ch trial</w:t>
      </w:r>
    </w:p>
    <w:p w:rsidR="00784004" w:rsidRDefault="00AE489D" w:rsidP="008124F6">
      <w:pPr>
        <w:pStyle w:val="VSteps"/>
      </w:pPr>
      <w:r>
        <w:tab/>
        <w:t>11.</w:t>
      </w:r>
      <w:r>
        <w:tab/>
        <w:t>Restart the LabQuest by tapping the play icon and then tapping discard to clear the previous data set.</w:t>
      </w:r>
    </w:p>
    <w:p w:rsidR="00AE5598" w:rsidRDefault="00784004" w:rsidP="00784004">
      <w:pPr>
        <w:pStyle w:val="VSteps"/>
      </w:pPr>
      <w:r>
        <w:tab/>
        <w:t>1</w:t>
      </w:r>
      <w:r w:rsidR="00AE489D">
        <w:t>2</w:t>
      </w:r>
      <w:r>
        <w:t>.</w:t>
      </w:r>
      <w:r>
        <w:tab/>
        <w:t>T</w:t>
      </w:r>
      <w:r w:rsidR="00AE5598">
        <w:t xml:space="preserve">he </w:t>
      </w:r>
      <w:r>
        <w:t xml:space="preserve">trial with the greatest temperature </w:t>
      </w:r>
      <w:r w:rsidR="00AE5598">
        <w:t>change</w:t>
      </w:r>
      <w:r>
        <w:t xml:space="preserve"> will be the optimal reaction ratio</w:t>
      </w:r>
      <w:r w:rsidR="00AE5598">
        <w:t>.</w:t>
      </w:r>
    </w:p>
    <w:p w:rsidR="00AE5598" w:rsidRDefault="00AE5598" w:rsidP="00AE5598">
      <w:pPr>
        <w:ind w:right="-360"/>
        <w:rPr>
          <w:b/>
          <w:sz w:val="28"/>
          <w:szCs w:val="28"/>
        </w:rPr>
      </w:pPr>
      <w:r>
        <w:br w:type="page"/>
      </w:r>
      <w:r>
        <w:rPr>
          <w:b/>
          <w:sz w:val="28"/>
          <w:szCs w:val="28"/>
        </w:rPr>
        <w:lastRenderedPageBreak/>
        <w:t>DATA TABLE</w:t>
      </w:r>
    </w:p>
    <w:p w:rsidR="00AE5598" w:rsidRDefault="00AE5598" w:rsidP="00AE5598">
      <w:pPr>
        <w:ind w:right="-36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384"/>
        <w:gridCol w:w="1456"/>
        <w:gridCol w:w="1576"/>
        <w:gridCol w:w="1576"/>
        <w:gridCol w:w="1794"/>
      </w:tblGrid>
      <w:tr w:rsidR="00A610A2" w:rsidTr="00A610A2">
        <w:trPr>
          <w:trHeight w:hRule="exact" w:val="1008"/>
          <w:jc w:val="center"/>
        </w:trPr>
        <w:tc>
          <w:tcPr>
            <w:tcW w:w="1599" w:type="dxa"/>
            <w:tcBorders>
              <w:top w:val="single" w:sz="4" w:space="0" w:color="auto"/>
              <w:left w:val="single" w:sz="4" w:space="0" w:color="auto"/>
              <w:right w:val="single" w:sz="4" w:space="0" w:color="auto"/>
            </w:tcBorders>
            <w:vAlign w:val="center"/>
          </w:tcPr>
          <w:p w:rsidR="00A610A2" w:rsidRPr="00A610A2" w:rsidRDefault="00A610A2" w:rsidP="00A610A2">
            <w:pPr>
              <w:spacing w:before="20"/>
              <w:jc w:val="center"/>
              <w:rPr>
                <w:b/>
              </w:rPr>
            </w:pPr>
            <w:r w:rsidRPr="00A610A2">
              <w:rPr>
                <w:b/>
              </w:rPr>
              <w:t xml:space="preserve">Volume </w:t>
            </w:r>
            <w:proofErr w:type="spellStart"/>
            <w:r w:rsidRPr="00A610A2">
              <w:rPr>
                <w:b/>
              </w:rPr>
              <w:t>OCl</w:t>
            </w:r>
            <w:proofErr w:type="spellEnd"/>
            <w:r w:rsidRPr="00A610A2">
              <w:rPr>
                <w:b/>
                <w:vertAlign w:val="superscript"/>
              </w:rPr>
              <w:t>–</w:t>
            </w:r>
          </w:p>
        </w:tc>
        <w:tc>
          <w:tcPr>
            <w:tcW w:w="1598" w:type="dxa"/>
            <w:tcBorders>
              <w:top w:val="single" w:sz="4" w:space="0" w:color="auto"/>
              <w:left w:val="single" w:sz="4" w:space="0" w:color="auto"/>
              <w:right w:val="single" w:sz="4" w:space="0" w:color="auto"/>
            </w:tcBorders>
            <w:vAlign w:val="center"/>
          </w:tcPr>
          <w:p w:rsidR="00A610A2" w:rsidRPr="00A610A2" w:rsidRDefault="00A610A2" w:rsidP="00130FA1">
            <w:pPr>
              <w:spacing w:before="20"/>
              <w:jc w:val="center"/>
              <w:rPr>
                <w:b/>
              </w:rPr>
            </w:pPr>
            <w:r w:rsidRPr="00A610A2">
              <w:rPr>
                <w:b/>
              </w:rPr>
              <w:t>Volume S</w:t>
            </w:r>
            <w:r w:rsidRPr="00A610A2">
              <w:rPr>
                <w:b/>
                <w:vertAlign w:val="subscript"/>
              </w:rPr>
              <w:t>2</w:t>
            </w:r>
            <w:r w:rsidRPr="00A610A2">
              <w:rPr>
                <w:b/>
              </w:rPr>
              <w:t>O</w:t>
            </w:r>
            <w:r w:rsidRPr="00A610A2">
              <w:rPr>
                <w:b/>
                <w:vertAlign w:val="subscript"/>
              </w:rPr>
              <w:t>3</w:t>
            </w:r>
            <w:r w:rsidRPr="00A610A2">
              <w:rPr>
                <w:b/>
                <w:vertAlign w:val="superscript"/>
              </w:rPr>
              <w:t>2–</w:t>
            </w:r>
            <w:r>
              <w:rPr>
                <w:b/>
              </w:rPr>
              <w:t xml:space="preserve"> </w:t>
            </w:r>
          </w:p>
        </w:tc>
        <w:tc>
          <w:tcPr>
            <w:tcW w:w="1649" w:type="dxa"/>
            <w:tcBorders>
              <w:top w:val="single" w:sz="4" w:space="0" w:color="auto"/>
              <w:left w:val="single" w:sz="4" w:space="0" w:color="auto"/>
              <w:right w:val="single" w:sz="4" w:space="0" w:color="auto"/>
            </w:tcBorders>
            <w:vAlign w:val="center"/>
          </w:tcPr>
          <w:p w:rsidR="00A610A2" w:rsidRPr="00A610A2" w:rsidRDefault="00A610A2" w:rsidP="00130FA1">
            <w:pPr>
              <w:spacing w:before="40"/>
              <w:jc w:val="center"/>
              <w:rPr>
                <w:b/>
              </w:rPr>
            </w:pPr>
            <w:r w:rsidRPr="00A610A2">
              <w:rPr>
                <w:b/>
              </w:rPr>
              <w:t>Reaction</w:t>
            </w:r>
          </w:p>
          <w:p w:rsidR="00A610A2" w:rsidRPr="00A610A2" w:rsidRDefault="00A610A2" w:rsidP="00130FA1">
            <w:pPr>
              <w:spacing w:before="40"/>
              <w:jc w:val="center"/>
              <w:rPr>
                <w:b/>
              </w:rPr>
            </w:pPr>
            <w:r w:rsidRPr="00A610A2">
              <w:rPr>
                <w:b/>
              </w:rPr>
              <w:t>Ratio</w:t>
            </w:r>
          </w:p>
        </w:tc>
        <w:tc>
          <w:tcPr>
            <w:tcW w:w="1158" w:type="dxa"/>
            <w:tcBorders>
              <w:top w:val="single" w:sz="4" w:space="0" w:color="auto"/>
              <w:left w:val="single" w:sz="4" w:space="0" w:color="auto"/>
              <w:right w:val="single" w:sz="4" w:space="0" w:color="auto"/>
            </w:tcBorders>
            <w:vAlign w:val="center"/>
          </w:tcPr>
          <w:p w:rsidR="00A610A2" w:rsidRDefault="00A610A2" w:rsidP="00A610A2">
            <w:pPr>
              <w:spacing w:before="40"/>
              <w:jc w:val="center"/>
              <w:rPr>
                <w:b/>
              </w:rPr>
            </w:pPr>
            <w:r>
              <w:rPr>
                <w:b/>
              </w:rPr>
              <w:t>Initial</w:t>
            </w:r>
          </w:p>
          <w:p w:rsidR="00A610A2" w:rsidRPr="00A610A2" w:rsidRDefault="00A610A2" w:rsidP="00A610A2">
            <w:pPr>
              <w:spacing w:before="40"/>
              <w:rPr>
                <w:b/>
              </w:rPr>
            </w:pPr>
            <w:r>
              <w:rPr>
                <w:b/>
              </w:rPr>
              <w:t>Temperature</w:t>
            </w:r>
          </w:p>
        </w:tc>
        <w:tc>
          <w:tcPr>
            <w:tcW w:w="1472" w:type="dxa"/>
            <w:tcBorders>
              <w:top w:val="single" w:sz="4" w:space="0" w:color="auto"/>
              <w:left w:val="single" w:sz="4" w:space="0" w:color="auto"/>
              <w:right w:val="single" w:sz="4" w:space="0" w:color="auto"/>
            </w:tcBorders>
            <w:vAlign w:val="center"/>
          </w:tcPr>
          <w:p w:rsidR="00A610A2" w:rsidRDefault="008124F6" w:rsidP="00A610A2">
            <w:pPr>
              <w:spacing w:before="40"/>
              <w:jc w:val="center"/>
              <w:rPr>
                <w:b/>
              </w:rPr>
            </w:pPr>
            <w:r>
              <w:rPr>
                <w:b/>
              </w:rPr>
              <w:t>Maximum</w:t>
            </w:r>
          </w:p>
          <w:p w:rsidR="00A610A2" w:rsidRPr="00A610A2" w:rsidRDefault="00A610A2" w:rsidP="00A610A2">
            <w:pPr>
              <w:spacing w:before="40"/>
              <w:jc w:val="center"/>
              <w:rPr>
                <w:b/>
              </w:rPr>
            </w:pPr>
            <w:r>
              <w:rPr>
                <w:b/>
              </w:rPr>
              <w:t>Temperature</w:t>
            </w:r>
          </w:p>
        </w:tc>
        <w:tc>
          <w:tcPr>
            <w:tcW w:w="1920" w:type="dxa"/>
            <w:tcBorders>
              <w:top w:val="single" w:sz="4" w:space="0" w:color="auto"/>
              <w:left w:val="single" w:sz="4" w:space="0" w:color="auto"/>
              <w:right w:val="single" w:sz="4" w:space="0" w:color="auto"/>
            </w:tcBorders>
            <w:vAlign w:val="center"/>
          </w:tcPr>
          <w:p w:rsidR="00A610A2" w:rsidRPr="00A610A2" w:rsidRDefault="00A610A2" w:rsidP="00A610A2">
            <w:pPr>
              <w:spacing w:before="40"/>
              <w:jc w:val="center"/>
              <w:rPr>
                <w:b/>
              </w:rPr>
            </w:pPr>
            <w:r>
              <w:rPr>
                <w:b/>
              </w:rPr>
              <w:t>Temperature C</w:t>
            </w:r>
            <w:r w:rsidRPr="00A610A2">
              <w:rPr>
                <w:b/>
              </w:rPr>
              <w:t>hange</w:t>
            </w:r>
          </w:p>
        </w:tc>
      </w:tr>
      <w:tr w:rsidR="00A610A2" w:rsidTr="00A610A2">
        <w:trPr>
          <w:trHeight w:hRule="exact" w:val="576"/>
          <w:jc w:val="center"/>
        </w:trPr>
        <w:tc>
          <w:tcPr>
            <w:tcW w:w="1599" w:type="dxa"/>
            <w:vAlign w:val="center"/>
          </w:tcPr>
          <w:p w:rsidR="00A610A2" w:rsidRDefault="00A610A2" w:rsidP="00784004">
            <w:pPr>
              <w:jc w:val="center"/>
            </w:pPr>
            <w:r>
              <w:t>25.0 mL</w:t>
            </w:r>
          </w:p>
        </w:tc>
        <w:tc>
          <w:tcPr>
            <w:tcW w:w="1598" w:type="dxa"/>
            <w:vAlign w:val="center"/>
          </w:tcPr>
          <w:p w:rsidR="00A610A2" w:rsidRDefault="00A610A2" w:rsidP="00784004">
            <w:pPr>
              <w:jc w:val="center"/>
            </w:pPr>
            <w:r>
              <w:t>25.0 mL</w:t>
            </w:r>
          </w:p>
        </w:tc>
        <w:tc>
          <w:tcPr>
            <w:tcW w:w="1649" w:type="dxa"/>
            <w:vAlign w:val="center"/>
          </w:tcPr>
          <w:p w:rsidR="00A610A2" w:rsidRDefault="00A610A2" w:rsidP="00784004">
            <w:pPr>
              <w:jc w:val="center"/>
            </w:pPr>
          </w:p>
        </w:tc>
        <w:tc>
          <w:tcPr>
            <w:tcW w:w="1158" w:type="dxa"/>
            <w:vAlign w:val="center"/>
          </w:tcPr>
          <w:p w:rsidR="00A610A2" w:rsidRDefault="00A610A2" w:rsidP="00A610A2"/>
        </w:tc>
        <w:tc>
          <w:tcPr>
            <w:tcW w:w="1472" w:type="dxa"/>
            <w:vAlign w:val="center"/>
          </w:tcPr>
          <w:p w:rsidR="00A610A2" w:rsidRDefault="00A610A2" w:rsidP="00A610A2"/>
        </w:tc>
        <w:tc>
          <w:tcPr>
            <w:tcW w:w="1920" w:type="dxa"/>
            <w:vAlign w:val="center"/>
          </w:tcPr>
          <w:p w:rsidR="00A610A2" w:rsidRDefault="00A610A2" w:rsidP="00784004">
            <w:pPr>
              <w:jc w:val="center"/>
            </w:pPr>
          </w:p>
        </w:tc>
      </w:tr>
      <w:tr w:rsidR="00A610A2" w:rsidTr="00A610A2">
        <w:trPr>
          <w:trHeight w:hRule="exact" w:val="576"/>
          <w:jc w:val="center"/>
        </w:trPr>
        <w:tc>
          <w:tcPr>
            <w:tcW w:w="1599" w:type="dxa"/>
            <w:vAlign w:val="center"/>
          </w:tcPr>
          <w:p w:rsidR="00A610A2" w:rsidRDefault="00A610A2" w:rsidP="00784004">
            <w:pPr>
              <w:jc w:val="center"/>
            </w:pPr>
            <w:r>
              <w:t>16.7 mL</w:t>
            </w:r>
          </w:p>
        </w:tc>
        <w:tc>
          <w:tcPr>
            <w:tcW w:w="1598" w:type="dxa"/>
            <w:vAlign w:val="center"/>
          </w:tcPr>
          <w:p w:rsidR="00A610A2" w:rsidRDefault="00A610A2" w:rsidP="00784004">
            <w:pPr>
              <w:jc w:val="center"/>
            </w:pPr>
            <w:r>
              <w:t>33.3 mL</w:t>
            </w:r>
          </w:p>
        </w:tc>
        <w:tc>
          <w:tcPr>
            <w:tcW w:w="1649" w:type="dxa"/>
            <w:vAlign w:val="center"/>
          </w:tcPr>
          <w:p w:rsidR="00A610A2" w:rsidRDefault="00A610A2" w:rsidP="00784004">
            <w:pPr>
              <w:jc w:val="center"/>
            </w:pPr>
          </w:p>
        </w:tc>
        <w:tc>
          <w:tcPr>
            <w:tcW w:w="1158" w:type="dxa"/>
            <w:vAlign w:val="center"/>
          </w:tcPr>
          <w:p w:rsidR="00A610A2" w:rsidRDefault="00A610A2" w:rsidP="00A610A2"/>
        </w:tc>
        <w:tc>
          <w:tcPr>
            <w:tcW w:w="1472" w:type="dxa"/>
            <w:vAlign w:val="center"/>
          </w:tcPr>
          <w:p w:rsidR="00A610A2" w:rsidRDefault="00A610A2" w:rsidP="00A610A2"/>
        </w:tc>
        <w:tc>
          <w:tcPr>
            <w:tcW w:w="1920" w:type="dxa"/>
            <w:vAlign w:val="center"/>
          </w:tcPr>
          <w:p w:rsidR="00A610A2" w:rsidRDefault="00A610A2" w:rsidP="00784004">
            <w:pPr>
              <w:jc w:val="center"/>
            </w:pPr>
          </w:p>
        </w:tc>
      </w:tr>
      <w:tr w:rsidR="00A610A2" w:rsidTr="00A610A2">
        <w:trPr>
          <w:trHeight w:hRule="exact" w:val="576"/>
          <w:jc w:val="center"/>
        </w:trPr>
        <w:tc>
          <w:tcPr>
            <w:tcW w:w="1599" w:type="dxa"/>
            <w:vAlign w:val="center"/>
          </w:tcPr>
          <w:p w:rsidR="00A610A2" w:rsidRDefault="00A610A2" w:rsidP="00784004">
            <w:pPr>
              <w:jc w:val="center"/>
            </w:pPr>
            <w:r>
              <w:t>33.3 mL</w:t>
            </w:r>
          </w:p>
        </w:tc>
        <w:tc>
          <w:tcPr>
            <w:tcW w:w="1598" w:type="dxa"/>
            <w:vAlign w:val="center"/>
          </w:tcPr>
          <w:p w:rsidR="00A610A2" w:rsidRDefault="00A610A2" w:rsidP="00784004">
            <w:pPr>
              <w:jc w:val="center"/>
            </w:pPr>
            <w:r>
              <w:t>16.7 mL</w:t>
            </w:r>
          </w:p>
        </w:tc>
        <w:tc>
          <w:tcPr>
            <w:tcW w:w="1649" w:type="dxa"/>
            <w:vAlign w:val="center"/>
          </w:tcPr>
          <w:p w:rsidR="00A610A2" w:rsidRDefault="00A610A2" w:rsidP="00784004">
            <w:pPr>
              <w:jc w:val="center"/>
            </w:pPr>
          </w:p>
        </w:tc>
        <w:tc>
          <w:tcPr>
            <w:tcW w:w="1158" w:type="dxa"/>
            <w:vAlign w:val="center"/>
          </w:tcPr>
          <w:p w:rsidR="00A610A2" w:rsidRDefault="00A610A2" w:rsidP="00A610A2"/>
        </w:tc>
        <w:tc>
          <w:tcPr>
            <w:tcW w:w="1472" w:type="dxa"/>
            <w:vAlign w:val="center"/>
          </w:tcPr>
          <w:p w:rsidR="00A610A2" w:rsidRDefault="00A610A2" w:rsidP="00A610A2"/>
        </w:tc>
        <w:tc>
          <w:tcPr>
            <w:tcW w:w="1920" w:type="dxa"/>
            <w:vAlign w:val="center"/>
          </w:tcPr>
          <w:p w:rsidR="00A610A2" w:rsidRDefault="00A610A2" w:rsidP="00784004">
            <w:pPr>
              <w:jc w:val="center"/>
            </w:pPr>
          </w:p>
        </w:tc>
      </w:tr>
      <w:tr w:rsidR="00A610A2" w:rsidTr="00A610A2">
        <w:trPr>
          <w:trHeight w:hRule="exact" w:val="576"/>
          <w:jc w:val="center"/>
        </w:trPr>
        <w:tc>
          <w:tcPr>
            <w:tcW w:w="1599" w:type="dxa"/>
            <w:vAlign w:val="center"/>
          </w:tcPr>
          <w:p w:rsidR="00A610A2" w:rsidRDefault="00A610A2" w:rsidP="00784004">
            <w:pPr>
              <w:jc w:val="center"/>
            </w:pPr>
            <w:r>
              <w:t>12.5 mL</w:t>
            </w:r>
          </w:p>
        </w:tc>
        <w:tc>
          <w:tcPr>
            <w:tcW w:w="1598" w:type="dxa"/>
            <w:vAlign w:val="center"/>
          </w:tcPr>
          <w:p w:rsidR="00A610A2" w:rsidRDefault="00A610A2" w:rsidP="00784004">
            <w:pPr>
              <w:jc w:val="center"/>
            </w:pPr>
            <w:r>
              <w:t>37.5 mL</w:t>
            </w:r>
          </w:p>
        </w:tc>
        <w:tc>
          <w:tcPr>
            <w:tcW w:w="1649" w:type="dxa"/>
            <w:vAlign w:val="center"/>
          </w:tcPr>
          <w:p w:rsidR="00A610A2" w:rsidRDefault="00A610A2" w:rsidP="00784004">
            <w:pPr>
              <w:jc w:val="center"/>
            </w:pPr>
          </w:p>
        </w:tc>
        <w:tc>
          <w:tcPr>
            <w:tcW w:w="1158" w:type="dxa"/>
            <w:vAlign w:val="center"/>
          </w:tcPr>
          <w:p w:rsidR="00A610A2" w:rsidRDefault="00A610A2" w:rsidP="00A610A2"/>
        </w:tc>
        <w:tc>
          <w:tcPr>
            <w:tcW w:w="1472" w:type="dxa"/>
            <w:vAlign w:val="center"/>
          </w:tcPr>
          <w:p w:rsidR="00A610A2" w:rsidRDefault="00A610A2" w:rsidP="00A610A2"/>
        </w:tc>
        <w:tc>
          <w:tcPr>
            <w:tcW w:w="1920" w:type="dxa"/>
            <w:vAlign w:val="center"/>
          </w:tcPr>
          <w:p w:rsidR="00A610A2" w:rsidRDefault="00A610A2" w:rsidP="00784004">
            <w:pPr>
              <w:jc w:val="center"/>
            </w:pPr>
          </w:p>
        </w:tc>
      </w:tr>
      <w:tr w:rsidR="00A610A2" w:rsidTr="00A610A2">
        <w:trPr>
          <w:trHeight w:hRule="exact" w:val="576"/>
          <w:jc w:val="center"/>
        </w:trPr>
        <w:tc>
          <w:tcPr>
            <w:tcW w:w="1599" w:type="dxa"/>
            <w:vAlign w:val="center"/>
          </w:tcPr>
          <w:p w:rsidR="00A610A2" w:rsidRDefault="00A610A2" w:rsidP="00784004">
            <w:pPr>
              <w:jc w:val="center"/>
            </w:pPr>
            <w:r>
              <w:t>37.5 mL</w:t>
            </w:r>
          </w:p>
        </w:tc>
        <w:tc>
          <w:tcPr>
            <w:tcW w:w="1598" w:type="dxa"/>
            <w:vAlign w:val="center"/>
          </w:tcPr>
          <w:p w:rsidR="00A610A2" w:rsidRDefault="00A610A2" w:rsidP="00784004">
            <w:pPr>
              <w:jc w:val="center"/>
            </w:pPr>
            <w:r>
              <w:t>12.5 mL</w:t>
            </w:r>
          </w:p>
        </w:tc>
        <w:tc>
          <w:tcPr>
            <w:tcW w:w="1649" w:type="dxa"/>
            <w:vAlign w:val="center"/>
          </w:tcPr>
          <w:p w:rsidR="00A610A2" w:rsidRDefault="00A610A2" w:rsidP="00784004">
            <w:pPr>
              <w:jc w:val="center"/>
            </w:pPr>
          </w:p>
        </w:tc>
        <w:tc>
          <w:tcPr>
            <w:tcW w:w="1158" w:type="dxa"/>
            <w:vAlign w:val="center"/>
          </w:tcPr>
          <w:p w:rsidR="00A610A2" w:rsidRDefault="00A610A2" w:rsidP="00A610A2"/>
        </w:tc>
        <w:tc>
          <w:tcPr>
            <w:tcW w:w="1472" w:type="dxa"/>
            <w:vAlign w:val="center"/>
          </w:tcPr>
          <w:p w:rsidR="00A610A2" w:rsidRDefault="00A610A2" w:rsidP="00A610A2"/>
        </w:tc>
        <w:tc>
          <w:tcPr>
            <w:tcW w:w="1920" w:type="dxa"/>
            <w:vAlign w:val="center"/>
          </w:tcPr>
          <w:p w:rsidR="00A610A2" w:rsidRDefault="00A610A2" w:rsidP="00784004">
            <w:pPr>
              <w:jc w:val="center"/>
            </w:pPr>
          </w:p>
        </w:tc>
      </w:tr>
      <w:tr w:rsidR="00A610A2" w:rsidTr="00A610A2">
        <w:trPr>
          <w:trHeight w:hRule="exact" w:val="576"/>
          <w:jc w:val="center"/>
        </w:trPr>
        <w:tc>
          <w:tcPr>
            <w:tcW w:w="1599" w:type="dxa"/>
            <w:vAlign w:val="center"/>
          </w:tcPr>
          <w:p w:rsidR="00A610A2" w:rsidRDefault="00A610A2" w:rsidP="00784004">
            <w:pPr>
              <w:jc w:val="center"/>
            </w:pPr>
            <w:r>
              <w:t>10.0 mL</w:t>
            </w:r>
          </w:p>
        </w:tc>
        <w:tc>
          <w:tcPr>
            <w:tcW w:w="1598" w:type="dxa"/>
            <w:vAlign w:val="center"/>
          </w:tcPr>
          <w:p w:rsidR="00A610A2" w:rsidRDefault="00A610A2" w:rsidP="00784004">
            <w:pPr>
              <w:jc w:val="center"/>
            </w:pPr>
            <w:r>
              <w:t>40.0 mL</w:t>
            </w:r>
          </w:p>
        </w:tc>
        <w:tc>
          <w:tcPr>
            <w:tcW w:w="1649" w:type="dxa"/>
            <w:vAlign w:val="center"/>
          </w:tcPr>
          <w:p w:rsidR="00A610A2" w:rsidRDefault="00A610A2" w:rsidP="00784004">
            <w:pPr>
              <w:jc w:val="center"/>
            </w:pPr>
          </w:p>
        </w:tc>
        <w:tc>
          <w:tcPr>
            <w:tcW w:w="1158" w:type="dxa"/>
            <w:vAlign w:val="center"/>
          </w:tcPr>
          <w:p w:rsidR="00A610A2" w:rsidRDefault="00A610A2" w:rsidP="00A610A2"/>
        </w:tc>
        <w:tc>
          <w:tcPr>
            <w:tcW w:w="1472" w:type="dxa"/>
            <w:vAlign w:val="center"/>
          </w:tcPr>
          <w:p w:rsidR="00A610A2" w:rsidRDefault="00A610A2" w:rsidP="00A610A2"/>
        </w:tc>
        <w:tc>
          <w:tcPr>
            <w:tcW w:w="1920" w:type="dxa"/>
            <w:vAlign w:val="center"/>
          </w:tcPr>
          <w:p w:rsidR="00A610A2" w:rsidRDefault="00A610A2" w:rsidP="00784004">
            <w:pPr>
              <w:jc w:val="center"/>
            </w:pPr>
          </w:p>
        </w:tc>
      </w:tr>
      <w:tr w:rsidR="00A610A2" w:rsidTr="00A610A2">
        <w:trPr>
          <w:trHeight w:hRule="exact" w:val="576"/>
          <w:jc w:val="center"/>
        </w:trPr>
        <w:tc>
          <w:tcPr>
            <w:tcW w:w="1599" w:type="dxa"/>
            <w:vAlign w:val="center"/>
          </w:tcPr>
          <w:p w:rsidR="00A610A2" w:rsidRDefault="00A610A2" w:rsidP="00784004">
            <w:pPr>
              <w:jc w:val="center"/>
            </w:pPr>
            <w:r>
              <w:t>40.0 mL</w:t>
            </w:r>
          </w:p>
        </w:tc>
        <w:tc>
          <w:tcPr>
            <w:tcW w:w="1598" w:type="dxa"/>
            <w:vAlign w:val="center"/>
          </w:tcPr>
          <w:p w:rsidR="00A610A2" w:rsidRDefault="00A610A2" w:rsidP="00784004">
            <w:pPr>
              <w:jc w:val="center"/>
            </w:pPr>
            <w:r>
              <w:t>10.0 mL</w:t>
            </w:r>
          </w:p>
        </w:tc>
        <w:tc>
          <w:tcPr>
            <w:tcW w:w="1649" w:type="dxa"/>
            <w:vAlign w:val="center"/>
          </w:tcPr>
          <w:p w:rsidR="00A610A2" w:rsidRDefault="00A610A2" w:rsidP="00784004">
            <w:pPr>
              <w:jc w:val="center"/>
            </w:pPr>
          </w:p>
        </w:tc>
        <w:tc>
          <w:tcPr>
            <w:tcW w:w="1158" w:type="dxa"/>
            <w:vAlign w:val="center"/>
          </w:tcPr>
          <w:p w:rsidR="00A610A2" w:rsidRDefault="00A610A2" w:rsidP="00A610A2"/>
        </w:tc>
        <w:tc>
          <w:tcPr>
            <w:tcW w:w="1472" w:type="dxa"/>
            <w:vAlign w:val="center"/>
          </w:tcPr>
          <w:p w:rsidR="00A610A2" w:rsidRDefault="00A610A2" w:rsidP="00A610A2"/>
        </w:tc>
        <w:tc>
          <w:tcPr>
            <w:tcW w:w="1920" w:type="dxa"/>
            <w:vAlign w:val="center"/>
          </w:tcPr>
          <w:p w:rsidR="00A610A2" w:rsidRDefault="00A610A2" w:rsidP="00784004">
            <w:pPr>
              <w:jc w:val="center"/>
            </w:pPr>
          </w:p>
        </w:tc>
      </w:tr>
    </w:tbl>
    <w:p w:rsidR="00AE5598" w:rsidRDefault="00AE5598" w:rsidP="00AE5598">
      <w:pPr>
        <w:ind w:right="-360"/>
        <w:rPr>
          <w:b/>
          <w:sz w:val="28"/>
          <w:szCs w:val="28"/>
        </w:rPr>
      </w:pPr>
    </w:p>
    <w:p w:rsidR="00AE5598" w:rsidRDefault="00AE5598" w:rsidP="00AE5598">
      <w:pPr>
        <w:ind w:right="-360"/>
        <w:rPr>
          <w:b/>
          <w:sz w:val="28"/>
          <w:szCs w:val="28"/>
        </w:rPr>
      </w:pPr>
      <w:r>
        <w:rPr>
          <w:b/>
          <w:sz w:val="28"/>
          <w:szCs w:val="28"/>
        </w:rPr>
        <w:t>DATA ANALYSIS</w:t>
      </w:r>
    </w:p>
    <w:p w:rsidR="00AE5598" w:rsidRDefault="00AE5598" w:rsidP="00AE5598">
      <w:pPr>
        <w:ind w:right="-360"/>
        <w:rPr>
          <w:b/>
          <w:sz w:val="28"/>
          <w:szCs w:val="28"/>
        </w:rPr>
      </w:pPr>
    </w:p>
    <w:p w:rsidR="00B12D9C" w:rsidRDefault="00AE5598" w:rsidP="00B12D9C">
      <w:pPr>
        <w:ind w:left="360" w:hanging="360"/>
      </w:pPr>
      <w:r>
        <w:t>1.</w:t>
      </w:r>
      <w:r w:rsidR="00B12D9C">
        <w:t xml:space="preserve">    </w:t>
      </w:r>
      <w:r>
        <w:t>Determine the whole number mole ratio of the two reactants.</w:t>
      </w:r>
    </w:p>
    <w:p w:rsidR="00B12D9C" w:rsidRDefault="00B12D9C" w:rsidP="00B12D9C"/>
    <w:p w:rsidR="00B12D9C" w:rsidRDefault="00B12D9C" w:rsidP="00B12D9C"/>
    <w:p w:rsidR="00AE489D" w:rsidRDefault="00AE489D" w:rsidP="00B12D9C"/>
    <w:p w:rsidR="00AE489D" w:rsidRDefault="00AE489D" w:rsidP="00B12D9C"/>
    <w:p w:rsidR="00AE5598" w:rsidRDefault="00AE5598" w:rsidP="00B12D9C">
      <w:pPr>
        <w:ind w:left="360" w:hanging="360"/>
      </w:pPr>
      <w:r>
        <w:t>2.</w:t>
      </w:r>
      <w:r w:rsidR="00B12D9C">
        <w:t xml:space="preserve">   </w:t>
      </w:r>
      <w:r>
        <w:t>The molarities of the reactant solutions were equal in this ex</w:t>
      </w:r>
      <w:r w:rsidR="00B12D9C">
        <w:t xml:space="preserve">periment. Is this necessary, or </w:t>
      </w:r>
      <w:r>
        <w:t>even important, for the success of the experiment?</w:t>
      </w:r>
    </w:p>
    <w:p w:rsidR="00B12D9C" w:rsidRDefault="00B12D9C" w:rsidP="00B12D9C">
      <w:pPr>
        <w:ind w:left="360" w:hanging="360"/>
      </w:pPr>
    </w:p>
    <w:p w:rsidR="00B12D9C" w:rsidRDefault="00B12D9C" w:rsidP="00B12D9C"/>
    <w:p w:rsidR="00AE489D" w:rsidRDefault="00AE489D" w:rsidP="00B12D9C"/>
    <w:p w:rsidR="00AE5598" w:rsidRDefault="00AE5598" w:rsidP="00B12D9C">
      <w:pPr>
        <w:ind w:left="360" w:hanging="360"/>
      </w:pPr>
      <w:r>
        <w:t>3.</w:t>
      </w:r>
      <w:r w:rsidR="00B12D9C">
        <w:t xml:space="preserve">   </w:t>
      </w:r>
      <w:r>
        <w:t>Which solution was the limiting reactant in each trial?</w:t>
      </w:r>
    </w:p>
    <w:p w:rsidR="00B12D9C" w:rsidRDefault="00B12D9C" w:rsidP="00B12D9C"/>
    <w:p w:rsidR="00B12D9C" w:rsidRDefault="00B12D9C" w:rsidP="00B12D9C"/>
    <w:p w:rsidR="00AE489D" w:rsidRDefault="00AE489D" w:rsidP="00B12D9C"/>
    <w:p w:rsidR="00B12D9C" w:rsidRDefault="00B12D9C" w:rsidP="00B12D9C"/>
    <w:p w:rsidR="00AE5598" w:rsidRDefault="00AE5598" w:rsidP="00B12D9C">
      <w:pPr>
        <w:ind w:left="360" w:hanging="360"/>
      </w:pPr>
      <w:r>
        <w:t>4.</w:t>
      </w:r>
      <w:r>
        <w:tab/>
        <w:t xml:space="preserve">Find the actual balanced chemical equation for the reaction between </w:t>
      </w:r>
      <w:proofErr w:type="spellStart"/>
      <w:r>
        <w:t>OCl</w:t>
      </w:r>
      <w:proofErr w:type="spellEnd"/>
      <w:r>
        <w:rPr>
          <w:vertAlign w:val="superscript"/>
        </w:rPr>
        <w:t>–</w:t>
      </w:r>
      <w:r>
        <w:t xml:space="preserve"> and S</w:t>
      </w:r>
      <w:r>
        <w:rPr>
          <w:vertAlign w:val="subscript"/>
        </w:rPr>
        <w:t>2</w:t>
      </w:r>
      <w:r>
        <w:t>O</w:t>
      </w:r>
      <w:r>
        <w:rPr>
          <w:vertAlign w:val="subscript"/>
        </w:rPr>
        <w:t>3</w:t>
      </w:r>
      <w:r>
        <w:rPr>
          <w:vertAlign w:val="superscript"/>
        </w:rPr>
        <w:t>2–</w:t>
      </w:r>
      <w:r>
        <w:t>. Does the mole ratio that you determined in your experiment match the actual reaction equation’s coefficients for the two reactants? Explain, especially if your mole ratios do not match the coefficients.</w:t>
      </w:r>
    </w:p>
    <w:p w:rsidR="00B12D9C" w:rsidRDefault="00B12D9C" w:rsidP="00B12D9C">
      <w:pPr>
        <w:ind w:left="360" w:hanging="360"/>
      </w:pPr>
    </w:p>
    <w:p w:rsidR="00B12D9C" w:rsidRPr="00AE5598" w:rsidRDefault="00B12D9C" w:rsidP="00B12D9C">
      <w:pPr>
        <w:rPr>
          <w:b/>
          <w:sz w:val="28"/>
          <w:szCs w:val="28"/>
        </w:rPr>
      </w:pPr>
    </w:p>
    <w:sectPr w:rsidR="00B12D9C" w:rsidRPr="00AE5598" w:rsidSect="00AE5598">
      <w:headerReference w:type="default" r:id="rId8"/>
      <w:footerReference w:type="default" r:id="rId9"/>
      <w:footerReference w:type="first" r:id="rId10"/>
      <w:pgSz w:w="12240" w:h="15840" w:code="1"/>
      <w:pgMar w:top="1440" w:right="126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81F" w:rsidRDefault="00D2581F">
      <w:r>
        <w:separator/>
      </w:r>
    </w:p>
  </w:endnote>
  <w:endnote w:type="continuationSeparator" w:id="0">
    <w:p w:rsidR="00D2581F" w:rsidRDefault="00D2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98" w:rsidRDefault="00AE5598" w:rsidP="00AE5598">
    <w:pPr>
      <w:pStyle w:val="Footer"/>
      <w:tabs>
        <w:tab w:val="clear" w:pos="8640"/>
        <w:tab w:val="right" w:pos="9180"/>
      </w:tabs>
    </w:pPr>
    <w:r>
      <w:rPr>
        <w:u w:val="single"/>
      </w:rPr>
      <w:tab/>
    </w:r>
    <w:r>
      <w:rPr>
        <w:u w:val="single"/>
      </w:rPr>
      <w:tab/>
      <w:t>____</w:t>
    </w:r>
  </w:p>
  <w:p w:rsidR="00AE5598" w:rsidRPr="00AE5598" w:rsidRDefault="00AE5598" w:rsidP="00AE5598">
    <w:pPr>
      <w:pStyle w:val="Footer"/>
      <w:tabs>
        <w:tab w:val="clear" w:pos="8640"/>
        <w:tab w:val="right" w:pos="9180"/>
      </w:tabs>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ADV COMP.9-</w:t>
    </w:r>
    <w:r>
      <w:rPr>
        <w:rStyle w:val="PageNumber"/>
      </w:rPr>
      <w:fldChar w:fldCharType="begin"/>
    </w:r>
    <w:r>
      <w:rPr>
        <w:rStyle w:val="PageNumber"/>
      </w:rPr>
      <w:instrText xml:space="preserve"> PAGE </w:instrText>
    </w:r>
    <w:r>
      <w:rPr>
        <w:rStyle w:val="PageNumber"/>
      </w:rPr>
      <w:fldChar w:fldCharType="separate"/>
    </w:r>
    <w:r w:rsidR="00AE489D">
      <w:rPr>
        <w:rStyle w:val="PageNumber"/>
        <w:noProof/>
      </w:rPr>
      <w:t>3</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98" w:rsidRDefault="00AE5598" w:rsidP="00AE5598">
    <w:pPr>
      <w:pStyle w:val="Footer"/>
      <w:tabs>
        <w:tab w:val="clear" w:pos="8640"/>
        <w:tab w:val="right" w:pos="9180"/>
      </w:tabs>
    </w:pPr>
    <w:r>
      <w:rPr>
        <w:u w:val="single"/>
      </w:rPr>
      <w:tab/>
    </w:r>
    <w:r>
      <w:rPr>
        <w:u w:val="single"/>
      </w:rPr>
      <w:tab/>
    </w:r>
  </w:p>
  <w:p w:rsidR="00AE5598" w:rsidRPr="00AE5598" w:rsidRDefault="00AE5598">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ADV COMP.9-</w:t>
    </w:r>
    <w:r>
      <w:rPr>
        <w:rStyle w:val="PageNumber"/>
      </w:rPr>
      <w:fldChar w:fldCharType="begin"/>
    </w:r>
    <w:r>
      <w:rPr>
        <w:rStyle w:val="PageNumber"/>
      </w:rPr>
      <w:instrText xml:space="preserve"> PAGE </w:instrText>
    </w:r>
    <w:r>
      <w:rPr>
        <w:rStyle w:val="PageNumber"/>
      </w:rPr>
      <w:fldChar w:fldCharType="separate"/>
    </w:r>
    <w:r w:rsidR="00AE489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81F" w:rsidRDefault="00D2581F">
      <w:r>
        <w:separator/>
      </w:r>
    </w:p>
  </w:footnote>
  <w:footnote w:type="continuationSeparator" w:id="0">
    <w:p w:rsidR="00D2581F" w:rsidRDefault="00D2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98" w:rsidRPr="00AE5598" w:rsidRDefault="00AE5598" w:rsidP="00AE5598">
    <w:pPr>
      <w:pStyle w:val="Header"/>
      <w:rPr>
        <w:b/>
        <w:i/>
        <w:sz w:val="22"/>
        <w:szCs w:val="22"/>
        <w:u w:val="single"/>
      </w:rPr>
    </w:pPr>
    <w:r>
      <w:rPr>
        <w:u w:val="single"/>
      </w:rPr>
      <w:tab/>
    </w:r>
    <w:r>
      <w:rPr>
        <w:u w:val="single"/>
      </w:rPr>
      <w:tab/>
    </w:r>
    <w:r w:rsidRPr="00AE5598">
      <w:rPr>
        <w:b/>
        <w:i/>
        <w:sz w:val="22"/>
        <w:szCs w:val="22"/>
        <w:u w:val="single"/>
      </w:rPr>
      <w:t>Determining the Mole Ratios in a Chemical Reaction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3E17"/>
    <w:multiLevelType w:val="hybridMultilevel"/>
    <w:tmpl w:val="9E2EBA9C"/>
    <w:lvl w:ilvl="0" w:tplc="FFFFFFFF">
      <w:start w:val="1"/>
      <w:numFmt w:val="bullet"/>
      <w:pStyle w:val="VBullets"/>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98"/>
    <w:rsid w:val="00130FA1"/>
    <w:rsid w:val="001D46AE"/>
    <w:rsid w:val="00271DBE"/>
    <w:rsid w:val="00784004"/>
    <w:rsid w:val="008124F6"/>
    <w:rsid w:val="00850C79"/>
    <w:rsid w:val="00A610A2"/>
    <w:rsid w:val="00A759D9"/>
    <w:rsid w:val="00AE489D"/>
    <w:rsid w:val="00AE5598"/>
    <w:rsid w:val="00B12D9C"/>
    <w:rsid w:val="00D2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CC4E34EA-E31D-44E0-B835-C9E27DFA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E5598"/>
    <w:pPr>
      <w:tabs>
        <w:tab w:val="center" w:pos="4320"/>
        <w:tab w:val="right" w:pos="8640"/>
      </w:tabs>
    </w:pPr>
  </w:style>
  <w:style w:type="paragraph" w:styleId="Footer">
    <w:name w:val="footer"/>
    <w:basedOn w:val="Normal"/>
    <w:rsid w:val="00AE5598"/>
    <w:pPr>
      <w:tabs>
        <w:tab w:val="center" w:pos="4320"/>
        <w:tab w:val="right" w:pos="8640"/>
      </w:tabs>
    </w:pPr>
  </w:style>
  <w:style w:type="character" w:styleId="PageNumber">
    <w:name w:val="page number"/>
    <w:basedOn w:val="DefaultParagraphFont"/>
    <w:rsid w:val="00AE5598"/>
  </w:style>
  <w:style w:type="paragraph" w:customStyle="1" w:styleId="SPACERHalf">
    <w:name w:val="SPACER Half"/>
    <w:basedOn w:val="Normal"/>
    <w:rsid w:val="00AE5598"/>
    <w:pPr>
      <w:overflowPunct w:val="0"/>
      <w:autoSpaceDE w:val="0"/>
      <w:autoSpaceDN w:val="0"/>
      <w:adjustRightInd w:val="0"/>
      <w:spacing w:line="120" w:lineRule="exact"/>
      <w:textAlignment w:val="baseline"/>
    </w:pPr>
    <w:rPr>
      <w:szCs w:val="20"/>
    </w:rPr>
  </w:style>
  <w:style w:type="paragraph" w:customStyle="1" w:styleId="VSGraphic">
    <w:name w:val="VS Graphic"/>
    <w:basedOn w:val="Normal"/>
    <w:rsid w:val="00AE5598"/>
    <w:pPr>
      <w:suppressLineNumbers/>
      <w:overflowPunct w:val="0"/>
      <w:autoSpaceDE w:val="0"/>
      <w:autoSpaceDN w:val="0"/>
      <w:adjustRightInd w:val="0"/>
      <w:spacing w:after="160"/>
      <w:ind w:left="360" w:hanging="360"/>
      <w:jc w:val="center"/>
      <w:textAlignment w:val="baseline"/>
    </w:pPr>
    <w:rPr>
      <w:color w:val="000000"/>
      <w:szCs w:val="20"/>
    </w:rPr>
  </w:style>
  <w:style w:type="paragraph" w:customStyle="1" w:styleId="VSGraphiclbl">
    <w:name w:val="VS Graphic lbl"/>
    <w:basedOn w:val="Normal"/>
    <w:rsid w:val="00AE5598"/>
    <w:pPr>
      <w:overflowPunct w:val="0"/>
      <w:autoSpaceDE w:val="0"/>
      <w:autoSpaceDN w:val="0"/>
      <w:adjustRightInd w:val="0"/>
      <w:spacing w:after="120" w:line="240" w:lineRule="exact"/>
      <w:jc w:val="center"/>
      <w:textAlignment w:val="baseline"/>
    </w:pPr>
    <w:rPr>
      <w:i/>
      <w:szCs w:val="20"/>
    </w:rPr>
  </w:style>
  <w:style w:type="paragraph" w:customStyle="1" w:styleId="VSParagraphText">
    <w:name w:val="VS Paragraph Text"/>
    <w:basedOn w:val="Normal"/>
    <w:rsid w:val="00AE5598"/>
    <w:pPr>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VParaText">
    <w:name w:val="V Para Text"/>
    <w:basedOn w:val="Normal"/>
    <w:rsid w:val="00AE5598"/>
    <w:pPr>
      <w:keepNext/>
      <w:spacing w:after="240" w:line="250" w:lineRule="exact"/>
    </w:pPr>
    <w:rPr>
      <w:kern w:val="28"/>
    </w:rPr>
  </w:style>
  <w:style w:type="paragraph" w:customStyle="1" w:styleId="VGraphicEquation">
    <w:name w:val="V Graphic/Equation"/>
    <w:basedOn w:val="Normal"/>
    <w:rsid w:val="00AE5598"/>
    <w:pPr>
      <w:spacing w:after="140" w:line="240" w:lineRule="atLeast"/>
      <w:jc w:val="center"/>
    </w:pPr>
  </w:style>
  <w:style w:type="paragraph" w:customStyle="1" w:styleId="VParawBullets">
    <w:name w:val="V Para w/ Bullets"/>
    <w:basedOn w:val="Normal"/>
    <w:rsid w:val="00AE5598"/>
    <w:pPr>
      <w:keepNext/>
      <w:spacing w:after="140" w:line="250" w:lineRule="exact"/>
    </w:pPr>
    <w:rPr>
      <w:kern w:val="28"/>
    </w:rPr>
  </w:style>
  <w:style w:type="paragraph" w:customStyle="1" w:styleId="VBullets">
    <w:name w:val="V Bullets"/>
    <w:basedOn w:val="VParawBullets"/>
    <w:rsid w:val="00AE5598"/>
    <w:pPr>
      <w:numPr>
        <w:numId w:val="1"/>
      </w:numPr>
      <w:spacing w:after="40" w:line="240" w:lineRule="exact"/>
    </w:pPr>
  </w:style>
  <w:style w:type="paragraph" w:customStyle="1" w:styleId="VBulletfinal">
    <w:name w:val="V Bullet final"/>
    <w:basedOn w:val="VBullets"/>
    <w:rsid w:val="00AE5598"/>
    <w:pPr>
      <w:spacing w:after="160"/>
    </w:pPr>
  </w:style>
  <w:style w:type="paragraph" w:customStyle="1" w:styleId="VMaterialslist">
    <w:name w:val="V Materials list"/>
    <w:basedOn w:val="Normal"/>
    <w:rsid w:val="00AE5598"/>
    <w:pPr>
      <w:spacing w:line="250" w:lineRule="exact"/>
    </w:pPr>
  </w:style>
  <w:style w:type="paragraph" w:customStyle="1" w:styleId="VSteps">
    <w:name w:val="V Steps"/>
    <w:basedOn w:val="Normal"/>
    <w:rsid w:val="00AE5598"/>
    <w:pPr>
      <w:tabs>
        <w:tab w:val="right" w:pos="187"/>
      </w:tabs>
      <w:spacing w:after="240" w:line="240" w:lineRule="exact"/>
      <w:ind w:left="360" w:hanging="720"/>
    </w:pPr>
  </w:style>
  <w:style w:type="paragraph" w:customStyle="1" w:styleId="VStepwroom">
    <w:name w:val="V Step w/ room"/>
    <w:basedOn w:val="Normal"/>
    <w:rsid w:val="00AE5598"/>
    <w:pPr>
      <w:tabs>
        <w:tab w:val="right" w:pos="187"/>
      </w:tabs>
      <w:spacing w:after="1200" w:line="240" w:lineRule="exact"/>
      <w:ind w:left="360" w:hanging="720"/>
    </w:pPr>
  </w:style>
  <w:style w:type="paragraph" w:styleId="BalloonText">
    <w:name w:val="Balloon Text"/>
    <w:basedOn w:val="Normal"/>
    <w:semiHidden/>
    <w:rsid w:val="00AE5598"/>
    <w:rPr>
      <w:rFonts w:ascii="Tahoma" w:hAnsi="Tahoma" w:cs="Tahoma"/>
      <w:sz w:val="16"/>
      <w:szCs w:val="16"/>
    </w:rPr>
  </w:style>
  <w:style w:type="paragraph" w:customStyle="1" w:styleId="VDataTableColumn">
    <w:name w:val="V Data Table Column"/>
    <w:basedOn w:val="Normal"/>
    <w:rsid w:val="00AE489D"/>
    <w:pPr>
      <w:spacing w:beforeLines="80" w:before="192" w:afterLines="80" w:after="192" w:line="200" w:lineRule="atLeast"/>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DETERMINE THE MOLE RATIOS IN A CHEMICAL REACTION</vt:lpstr>
    </vt:vector>
  </TitlesOfParts>
  <Company>Westminster College</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 THE MOLE RATIOS IN A CHEMICAL REACTION</dc:title>
  <dc:subject/>
  <dc:creator>User</dc:creator>
  <cp:keywords/>
  <dc:description/>
  <cp:lastModifiedBy>Lori S. Martin</cp:lastModifiedBy>
  <cp:revision>2</cp:revision>
  <cp:lastPrinted>2006-04-20T15:05:00Z</cp:lastPrinted>
  <dcterms:created xsi:type="dcterms:W3CDTF">2020-01-30T18:17:00Z</dcterms:created>
  <dcterms:modified xsi:type="dcterms:W3CDTF">2020-01-30T18:17:00Z</dcterms:modified>
</cp:coreProperties>
</file>