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984" w:rsidRPr="00B30984" w:rsidRDefault="00B30984" w:rsidP="00B30984">
      <w:pPr>
        <w:pStyle w:val="VTitle"/>
        <w:jc w:val="left"/>
        <w:rPr>
          <w:rFonts w:ascii="Times New Roman" w:hAnsi="Times New Roman" w:cs="Times New Roman"/>
          <w:caps/>
          <w:sz w:val="32"/>
          <w:szCs w:val="32"/>
        </w:rPr>
      </w:pPr>
      <w:r w:rsidRPr="00B30984">
        <w:rPr>
          <w:rFonts w:ascii="Times New Roman" w:hAnsi="Times New Roman" w:cs="Times New Roman"/>
          <w:caps/>
          <w:sz w:val="32"/>
          <w:szCs w:val="32"/>
        </w:rPr>
        <w:t>Determining the K</w:t>
      </w:r>
      <w:r w:rsidRPr="00B30984">
        <w:rPr>
          <w:rFonts w:ascii="Times New Roman" w:hAnsi="Times New Roman" w:cs="Times New Roman"/>
          <w:caps/>
          <w:position w:val="4"/>
          <w:sz w:val="32"/>
          <w:szCs w:val="32"/>
          <w:vertAlign w:val="subscript"/>
        </w:rPr>
        <w:t xml:space="preserve">sp </w:t>
      </w:r>
      <w:r w:rsidRPr="00B30984">
        <w:rPr>
          <w:rFonts w:ascii="Times New Roman" w:hAnsi="Times New Roman" w:cs="Times New Roman"/>
          <w:caps/>
          <w:sz w:val="32"/>
          <w:szCs w:val="32"/>
        </w:rPr>
        <w:t>of Calcium Hydroxide</w:t>
      </w:r>
    </w:p>
    <w:p w:rsidR="00A759D9" w:rsidRDefault="00B30984">
      <w:pPr>
        <w:rPr>
          <w:b/>
          <w:sz w:val="28"/>
          <w:szCs w:val="28"/>
        </w:rPr>
      </w:pPr>
      <w:r>
        <w:rPr>
          <w:b/>
          <w:sz w:val="28"/>
          <w:szCs w:val="28"/>
        </w:rPr>
        <w:t>LAB ADV COMP 23</w:t>
      </w:r>
    </w:p>
    <w:p w:rsidR="00B30984" w:rsidRDefault="00B30984">
      <w:r>
        <w:t xml:space="preserve">From </w:t>
      </w:r>
      <w:r>
        <w:rPr>
          <w:i/>
        </w:rPr>
        <w:t xml:space="preserve">Advanced Chemistry with Vernier, </w:t>
      </w:r>
      <w:r>
        <w:t>Vernier Software &amp; Technology, 2004</w:t>
      </w:r>
    </w:p>
    <w:p w:rsidR="00B30984" w:rsidRDefault="00B30984"/>
    <w:p w:rsidR="00B30984" w:rsidRDefault="00B30984">
      <w:pPr>
        <w:rPr>
          <w:b/>
          <w:sz w:val="28"/>
          <w:szCs w:val="28"/>
        </w:rPr>
      </w:pPr>
      <w:r>
        <w:rPr>
          <w:b/>
          <w:sz w:val="28"/>
          <w:szCs w:val="28"/>
        </w:rPr>
        <w:t>INTRODUCTION</w:t>
      </w:r>
    </w:p>
    <w:p w:rsidR="00B30984" w:rsidRDefault="00B30984">
      <w:pPr>
        <w:rPr>
          <w:b/>
          <w:sz w:val="28"/>
          <w:szCs w:val="28"/>
        </w:rPr>
      </w:pPr>
    </w:p>
    <w:p w:rsidR="00B30984" w:rsidRDefault="00B30984" w:rsidP="00B30984">
      <w:pPr>
        <w:pStyle w:val="VParaText"/>
      </w:pPr>
      <w:r>
        <w:t xml:space="preserve">Calcium hydroxide is an ionic solid that is sparingly soluble in water. A saturated, aqueous, solution of </w:t>
      </w:r>
      <w:proofErr w:type="gramStart"/>
      <w:r>
        <w:t>Ca(</w:t>
      </w:r>
      <w:proofErr w:type="gramEnd"/>
      <w:r>
        <w:t>OH)</w:t>
      </w:r>
      <w:r>
        <w:rPr>
          <w:vertAlign w:val="subscript"/>
        </w:rPr>
        <w:t>2</w:t>
      </w:r>
      <w:r>
        <w:t xml:space="preserve"> is represented in equation form as shown below.</w:t>
      </w:r>
    </w:p>
    <w:p w:rsidR="00B30984" w:rsidRDefault="00B30984" w:rsidP="00B30984">
      <w:pPr>
        <w:pStyle w:val="VGraphicEquation"/>
      </w:pPr>
      <w:proofErr w:type="gramStart"/>
      <w:r>
        <w:t>Ca(</w:t>
      </w:r>
      <w:proofErr w:type="gramEnd"/>
      <w:r>
        <w:t>OH)</w:t>
      </w:r>
      <w:r>
        <w:rPr>
          <w:vertAlign w:val="subscript"/>
        </w:rPr>
        <w:t>2</w:t>
      </w:r>
      <w:r>
        <w:t xml:space="preserve"> (s) ↔ Ca</w:t>
      </w:r>
      <w:r>
        <w:rPr>
          <w:vertAlign w:val="superscript"/>
        </w:rPr>
        <w:t>2+</w:t>
      </w:r>
      <w:r>
        <w:t xml:space="preserve"> (</w:t>
      </w:r>
      <w:proofErr w:type="spellStart"/>
      <w:r>
        <w:t>aq</w:t>
      </w:r>
      <w:proofErr w:type="spellEnd"/>
      <w:r>
        <w:t>) + 2OH</w:t>
      </w:r>
      <w:r>
        <w:rPr>
          <w:vertAlign w:val="superscript"/>
        </w:rPr>
        <w:t>–</w:t>
      </w:r>
      <w:r>
        <w:t xml:space="preserve"> (</w:t>
      </w:r>
      <w:proofErr w:type="spellStart"/>
      <w:r>
        <w:t>aq</w:t>
      </w:r>
      <w:proofErr w:type="spellEnd"/>
      <w:r>
        <w:t>)</w:t>
      </w:r>
    </w:p>
    <w:p w:rsidR="00B30984" w:rsidRDefault="00B30984" w:rsidP="00B30984">
      <w:pPr>
        <w:pStyle w:val="VParaText"/>
        <w:spacing w:before="120" w:after="120"/>
      </w:pPr>
      <w:r>
        <w:t>The solubility product expression describes, in mathematical terms, the equilibrium that is established between the solid substance and its dissolved ions in an aqueous system. The equilibrium expression for calcium hydroxide is shown below.</w:t>
      </w:r>
    </w:p>
    <w:p w:rsidR="00B30984" w:rsidRDefault="00B30984" w:rsidP="00B30984">
      <w:pPr>
        <w:pStyle w:val="VGraphicEquation"/>
      </w:pPr>
      <w:proofErr w:type="spellStart"/>
      <w:r>
        <w:rPr>
          <w:i/>
        </w:rPr>
        <w:t>K</w:t>
      </w:r>
      <w:r>
        <w:rPr>
          <w:i/>
          <w:vertAlign w:val="subscript"/>
        </w:rPr>
        <w:t>sp</w:t>
      </w:r>
      <w:proofErr w:type="spellEnd"/>
      <w:r>
        <w:t xml:space="preserve"> = [Ca</w:t>
      </w:r>
      <w:r>
        <w:rPr>
          <w:vertAlign w:val="superscript"/>
        </w:rPr>
        <w:t>2</w:t>
      </w:r>
      <w:proofErr w:type="gramStart"/>
      <w:r>
        <w:rPr>
          <w:vertAlign w:val="superscript"/>
        </w:rPr>
        <w:t>+</w:t>
      </w:r>
      <w:r>
        <w:t>][</w:t>
      </w:r>
      <w:proofErr w:type="gramEnd"/>
      <w:smartTag w:uri="urn:schemas-microsoft-com:office:smarttags" w:element="place">
        <w:smartTag w:uri="urn:schemas-microsoft-com:office:smarttags" w:element="State">
          <w:r>
            <w:t>OH</w:t>
          </w:r>
          <w:r>
            <w:rPr>
              <w:vertAlign w:val="superscript"/>
            </w:rPr>
            <w:t>–</w:t>
          </w:r>
        </w:smartTag>
      </w:smartTag>
      <w:r>
        <w:t>]</w:t>
      </w:r>
      <w:r>
        <w:rPr>
          <w:vertAlign w:val="superscript"/>
        </w:rPr>
        <w:t>2</w:t>
      </w:r>
    </w:p>
    <w:p w:rsidR="00B30984" w:rsidRDefault="00B30984" w:rsidP="00B30984">
      <w:pPr>
        <w:pStyle w:val="VParaText"/>
      </w:pPr>
      <w:r>
        <w:t xml:space="preserve">The constant that illustrates a substance’s solubility in water is called the </w:t>
      </w:r>
      <w:proofErr w:type="spellStart"/>
      <w:r>
        <w:rPr>
          <w:i/>
        </w:rPr>
        <w:t>K</w:t>
      </w:r>
      <w:r>
        <w:rPr>
          <w:i/>
          <w:vertAlign w:val="subscript"/>
        </w:rPr>
        <w:t>sp</w:t>
      </w:r>
      <w:proofErr w:type="spellEnd"/>
      <w:r>
        <w:t xml:space="preserve">. All compounds, even the highly soluble sodium chloride, have a </w:t>
      </w:r>
      <w:proofErr w:type="spellStart"/>
      <w:r>
        <w:rPr>
          <w:i/>
        </w:rPr>
        <w:t>K</w:t>
      </w:r>
      <w:r>
        <w:rPr>
          <w:i/>
          <w:vertAlign w:val="subscript"/>
        </w:rPr>
        <w:t>sp</w:t>
      </w:r>
      <w:proofErr w:type="spellEnd"/>
      <w:r>
        <w:t xml:space="preserve">. However, the </w:t>
      </w:r>
      <w:proofErr w:type="spellStart"/>
      <w:r>
        <w:rPr>
          <w:i/>
        </w:rPr>
        <w:t>K</w:t>
      </w:r>
      <w:r>
        <w:rPr>
          <w:i/>
          <w:vertAlign w:val="subscript"/>
        </w:rPr>
        <w:t>sp</w:t>
      </w:r>
      <w:proofErr w:type="spellEnd"/>
      <w:r>
        <w:t xml:space="preserve"> of a compound is commonly considered only in cases where the compound is very slightly soluble and the </w:t>
      </w:r>
      <w:proofErr w:type="gramStart"/>
      <w:r>
        <w:t>amount</w:t>
      </w:r>
      <w:proofErr w:type="gramEnd"/>
      <w:r>
        <w:t xml:space="preserve"> of dissolved ions is not simple to measure.</w:t>
      </w:r>
    </w:p>
    <w:p w:rsidR="00B30984" w:rsidRDefault="00B30984" w:rsidP="00B30984">
      <w:pPr>
        <w:pStyle w:val="VParaText"/>
      </w:pPr>
      <w:r>
        <w:t xml:space="preserve">Your primary objective in this experiment is to test a saturated solution of calcium hydroxide and use your observations and measurements to calculate the </w:t>
      </w:r>
      <w:proofErr w:type="spellStart"/>
      <w:r>
        <w:rPr>
          <w:i/>
        </w:rPr>
        <w:t>K</w:t>
      </w:r>
      <w:r>
        <w:rPr>
          <w:i/>
          <w:vertAlign w:val="subscript"/>
        </w:rPr>
        <w:t>sp</w:t>
      </w:r>
      <w:proofErr w:type="spellEnd"/>
      <w:r>
        <w:t xml:space="preserve"> of the compound. You will do this by titrating the prepared </w:t>
      </w:r>
      <w:proofErr w:type="gramStart"/>
      <w:r>
        <w:t>Ca(</w:t>
      </w:r>
      <w:proofErr w:type="gramEnd"/>
      <w:r>
        <w:t>OH)</w:t>
      </w:r>
      <w:r>
        <w:rPr>
          <w:vertAlign w:val="subscript"/>
        </w:rPr>
        <w:t>2</w:t>
      </w:r>
      <w:r>
        <w:t xml:space="preserve"> solution with a standard hydrochloric acid solution. By determining the molar concentration of dissolved hydroxide ions in the saturated </w:t>
      </w:r>
      <w:proofErr w:type="gramStart"/>
      <w:r>
        <w:t>Ca(</w:t>
      </w:r>
      <w:proofErr w:type="gramEnd"/>
      <w:r>
        <w:t>OH)</w:t>
      </w:r>
      <w:r>
        <w:rPr>
          <w:vertAlign w:val="subscript"/>
        </w:rPr>
        <w:t>2</w:t>
      </w:r>
      <w:r>
        <w:t xml:space="preserve"> solution, you will have the necessary information to calculate the </w:t>
      </w:r>
      <w:proofErr w:type="spellStart"/>
      <w:r>
        <w:rPr>
          <w:i/>
        </w:rPr>
        <w:t>K</w:t>
      </w:r>
      <w:r>
        <w:rPr>
          <w:i/>
          <w:vertAlign w:val="subscript"/>
        </w:rPr>
        <w:t>sp</w:t>
      </w:r>
      <w:proofErr w:type="spellEnd"/>
      <w:r>
        <w:t>.</w:t>
      </w:r>
    </w:p>
    <w:p w:rsidR="00B30984" w:rsidRPr="00B30984" w:rsidRDefault="00B30984" w:rsidP="00B30984">
      <w:pPr>
        <w:pStyle w:val="VHeading"/>
        <w:rPr>
          <w:rFonts w:ascii="Times New Roman" w:hAnsi="Times New Roman" w:cs="Times New Roman"/>
        </w:rPr>
      </w:pPr>
      <w:r w:rsidRPr="00B30984">
        <w:rPr>
          <w:rFonts w:ascii="Times New Roman" w:hAnsi="Times New Roman" w:cs="Times New Roman"/>
        </w:rPr>
        <w:t>OBJECTIVES</w:t>
      </w:r>
    </w:p>
    <w:p w:rsidR="00B30984" w:rsidRDefault="00B30984" w:rsidP="00B30984">
      <w:pPr>
        <w:pStyle w:val="VParawBullets"/>
      </w:pPr>
      <w:r>
        <w:t>In this experiment, you will</w:t>
      </w:r>
    </w:p>
    <w:p w:rsidR="00B30984" w:rsidRDefault="00B30984" w:rsidP="00B30984">
      <w:pPr>
        <w:pStyle w:val="VBullets"/>
      </w:pPr>
      <w:r>
        <w:t xml:space="preserve">Titrate a saturated </w:t>
      </w:r>
      <w:proofErr w:type="gramStart"/>
      <w:r>
        <w:t>Ca(</w:t>
      </w:r>
      <w:proofErr w:type="gramEnd"/>
      <w:r>
        <w:t>OH)</w:t>
      </w:r>
      <w:r>
        <w:rPr>
          <w:vertAlign w:val="subscript"/>
        </w:rPr>
        <w:t>2</w:t>
      </w:r>
      <w:r>
        <w:t xml:space="preserve"> solution with a standard HCl solution.</w:t>
      </w:r>
    </w:p>
    <w:p w:rsidR="00B30984" w:rsidRDefault="00B30984" w:rsidP="00B30984">
      <w:pPr>
        <w:pStyle w:val="VBullets"/>
      </w:pPr>
      <w:r>
        <w:t>Determine the [</w:t>
      </w:r>
      <w:smartTag w:uri="urn:schemas-microsoft-com:office:smarttags" w:element="place">
        <w:smartTag w:uri="urn:schemas-microsoft-com:office:smarttags" w:element="State">
          <w:r>
            <w:t>OH</w:t>
          </w:r>
          <w:r>
            <w:rPr>
              <w:vertAlign w:val="superscript"/>
            </w:rPr>
            <w:t>–</w:t>
          </w:r>
        </w:smartTag>
      </w:smartTag>
      <w:r>
        <w:t xml:space="preserve">] for the saturated </w:t>
      </w:r>
      <w:proofErr w:type="gramStart"/>
      <w:r>
        <w:t>Ca(</w:t>
      </w:r>
      <w:proofErr w:type="gramEnd"/>
      <w:r>
        <w:t>OH)</w:t>
      </w:r>
      <w:r>
        <w:rPr>
          <w:vertAlign w:val="subscript"/>
        </w:rPr>
        <w:t>2</w:t>
      </w:r>
      <w:r>
        <w:t xml:space="preserve"> solution.</w:t>
      </w:r>
    </w:p>
    <w:p w:rsidR="00B30984" w:rsidRDefault="00B30984" w:rsidP="00B30984">
      <w:pPr>
        <w:pStyle w:val="VBulletfinal"/>
      </w:pPr>
      <w:r>
        <w:t xml:space="preserve">Calculate the </w:t>
      </w:r>
      <w:proofErr w:type="spellStart"/>
      <w:r>
        <w:rPr>
          <w:i/>
        </w:rPr>
        <w:t>K</w:t>
      </w:r>
      <w:r>
        <w:rPr>
          <w:i/>
          <w:vertAlign w:val="subscript"/>
        </w:rPr>
        <w:t>sp</w:t>
      </w:r>
      <w:proofErr w:type="spellEnd"/>
      <w:r>
        <w:t xml:space="preserve"> of </w:t>
      </w:r>
      <w:proofErr w:type="gramStart"/>
      <w:r>
        <w:t>Ca(</w:t>
      </w:r>
      <w:proofErr w:type="gramEnd"/>
      <w:r>
        <w:t>OH)</w:t>
      </w:r>
      <w:r>
        <w:rPr>
          <w:vertAlign w:val="subscript"/>
        </w:rPr>
        <w:t>2</w:t>
      </w:r>
      <w:r>
        <w:t>.</w:t>
      </w:r>
    </w:p>
    <w:p w:rsidR="00B30984" w:rsidRDefault="00AF33E1" w:rsidP="00B30984">
      <w:pPr>
        <w:jc w:val="center"/>
      </w:pPr>
      <w:bookmarkStart w:id="0" w:name="_GoBack"/>
      <w:r>
        <w:rPr>
          <w:noProof/>
        </w:rPr>
        <w:drawing>
          <wp:inline distT="0" distB="0" distL="0" distR="0">
            <wp:extent cx="1581150" cy="1587500"/>
            <wp:effectExtent l="0" t="0" r="0" b="0"/>
            <wp:docPr id="1" name="Picture 1" descr="figure 1 sensor setup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0" cy="1587500"/>
                    </a:xfrm>
                    <a:prstGeom prst="rect">
                      <a:avLst/>
                    </a:prstGeom>
                    <a:noFill/>
                    <a:ln>
                      <a:noFill/>
                    </a:ln>
                  </pic:spPr>
                </pic:pic>
              </a:graphicData>
            </a:graphic>
          </wp:inline>
        </w:drawing>
      </w:r>
      <w:bookmarkEnd w:id="0"/>
    </w:p>
    <w:p w:rsidR="00B30984" w:rsidRDefault="00B30984" w:rsidP="00B30984">
      <w:pPr>
        <w:pStyle w:val="VGraphicLabel"/>
      </w:pPr>
      <w:r>
        <w:t>Figure 1</w:t>
      </w:r>
    </w:p>
    <w:p w:rsidR="00B30984" w:rsidRDefault="00B30984" w:rsidP="00B30984">
      <w:pPr>
        <w:jc w:val="center"/>
      </w:pPr>
    </w:p>
    <w:p w:rsidR="00B30984" w:rsidRPr="00B30984" w:rsidRDefault="00B30984" w:rsidP="00B30984">
      <w:pPr>
        <w:pStyle w:val="VHeadingTop"/>
        <w:rPr>
          <w:rFonts w:ascii="Times New Roman" w:hAnsi="Times New Roman" w:cs="Times New Roman"/>
        </w:rPr>
      </w:pPr>
      <w:r w:rsidRPr="00B30984">
        <w:rPr>
          <w:rFonts w:ascii="Times New Roman" w:hAnsi="Times New Roman" w:cs="Times New Roman"/>
        </w:rPr>
        <w:lastRenderedPageBreak/>
        <w:t>MATERIALS</w:t>
      </w:r>
    </w:p>
    <w:tbl>
      <w:tblPr>
        <w:tblW w:w="0" w:type="auto"/>
        <w:tblLayout w:type="fixed"/>
        <w:tblLook w:val="01E0" w:firstRow="1" w:lastRow="1" w:firstColumn="1" w:lastColumn="1" w:noHBand="0" w:noVBand="0"/>
      </w:tblPr>
      <w:tblGrid>
        <w:gridCol w:w="4140"/>
        <w:gridCol w:w="4680"/>
      </w:tblGrid>
      <w:tr w:rsidR="00B30984">
        <w:tblPrEx>
          <w:tblCellMar>
            <w:top w:w="0" w:type="dxa"/>
            <w:bottom w:w="0" w:type="dxa"/>
          </w:tblCellMar>
        </w:tblPrEx>
        <w:tc>
          <w:tcPr>
            <w:tcW w:w="4140" w:type="dxa"/>
          </w:tcPr>
          <w:p w:rsidR="00B30984" w:rsidRDefault="00B30984" w:rsidP="001F077A">
            <w:pPr>
              <w:pStyle w:val="VMaterialslist"/>
            </w:pPr>
            <w:r>
              <w:t>Vernier computer interface</w:t>
            </w:r>
          </w:p>
        </w:tc>
        <w:tc>
          <w:tcPr>
            <w:tcW w:w="4680" w:type="dxa"/>
          </w:tcPr>
          <w:p w:rsidR="00B30984" w:rsidRDefault="00B30984" w:rsidP="001F077A">
            <w:pPr>
              <w:pStyle w:val="VMaterialslist"/>
            </w:pPr>
            <w:r>
              <w:t xml:space="preserve">saturated </w:t>
            </w:r>
            <w:proofErr w:type="gramStart"/>
            <w:r>
              <w:t>Ca(</w:t>
            </w:r>
            <w:proofErr w:type="gramEnd"/>
            <w:r>
              <w:t>OH)</w:t>
            </w:r>
            <w:r>
              <w:rPr>
                <w:vertAlign w:val="subscript"/>
              </w:rPr>
              <w:t>2</w:t>
            </w:r>
            <w:r>
              <w:t xml:space="preserve"> solution</w:t>
            </w:r>
          </w:p>
        </w:tc>
      </w:tr>
      <w:tr w:rsidR="00B30984">
        <w:tblPrEx>
          <w:tblCellMar>
            <w:top w:w="0" w:type="dxa"/>
            <w:bottom w:w="0" w:type="dxa"/>
          </w:tblCellMar>
        </w:tblPrEx>
        <w:tc>
          <w:tcPr>
            <w:tcW w:w="4140" w:type="dxa"/>
          </w:tcPr>
          <w:p w:rsidR="00B30984" w:rsidRDefault="00B30984" w:rsidP="001F077A">
            <w:pPr>
              <w:pStyle w:val="VMaterialslist"/>
            </w:pPr>
            <w:r>
              <w:t>computer</w:t>
            </w:r>
          </w:p>
        </w:tc>
        <w:tc>
          <w:tcPr>
            <w:tcW w:w="4680" w:type="dxa"/>
          </w:tcPr>
          <w:p w:rsidR="00B30984" w:rsidRDefault="00B30984" w:rsidP="001F077A">
            <w:pPr>
              <w:pStyle w:val="VMaterialslist"/>
            </w:pPr>
            <w:r>
              <w:t>0.050 M HCl solution</w:t>
            </w:r>
          </w:p>
        </w:tc>
      </w:tr>
      <w:tr w:rsidR="00B30984">
        <w:tblPrEx>
          <w:tblCellMar>
            <w:top w:w="0" w:type="dxa"/>
            <w:bottom w:w="0" w:type="dxa"/>
          </w:tblCellMar>
        </w:tblPrEx>
        <w:tc>
          <w:tcPr>
            <w:tcW w:w="4140" w:type="dxa"/>
          </w:tcPr>
          <w:p w:rsidR="00B30984" w:rsidRDefault="00B30984" w:rsidP="001F077A">
            <w:pPr>
              <w:pStyle w:val="VMaterialslist"/>
            </w:pPr>
            <w:r>
              <w:t>Vernier pH Sensor</w:t>
            </w:r>
          </w:p>
        </w:tc>
        <w:tc>
          <w:tcPr>
            <w:tcW w:w="4680" w:type="dxa"/>
          </w:tcPr>
          <w:p w:rsidR="00B30984" w:rsidRDefault="00B30984" w:rsidP="001F077A">
            <w:pPr>
              <w:pStyle w:val="VMaterialslist"/>
            </w:pPr>
            <w:r>
              <w:t>(optional) indicator solution</w:t>
            </w:r>
          </w:p>
        </w:tc>
      </w:tr>
      <w:tr w:rsidR="00B30984">
        <w:tblPrEx>
          <w:tblCellMar>
            <w:top w:w="0" w:type="dxa"/>
            <w:bottom w:w="0" w:type="dxa"/>
          </w:tblCellMar>
        </w:tblPrEx>
        <w:tc>
          <w:tcPr>
            <w:tcW w:w="4140" w:type="dxa"/>
          </w:tcPr>
          <w:p w:rsidR="00B30984" w:rsidRDefault="00B30984" w:rsidP="001F077A">
            <w:pPr>
              <w:pStyle w:val="VMaterialslist"/>
            </w:pPr>
            <w:r>
              <w:t>ring stand and ring</w:t>
            </w:r>
          </w:p>
        </w:tc>
        <w:tc>
          <w:tcPr>
            <w:tcW w:w="4680" w:type="dxa"/>
          </w:tcPr>
          <w:p w:rsidR="00B30984" w:rsidRDefault="00B30984" w:rsidP="001F077A">
            <w:pPr>
              <w:pStyle w:val="VMaterialslist"/>
            </w:pPr>
            <w:proofErr w:type="spellStart"/>
            <w:r>
              <w:t>buret</w:t>
            </w:r>
            <w:proofErr w:type="spellEnd"/>
            <w:r>
              <w:t xml:space="preserve"> clamp</w:t>
            </w:r>
          </w:p>
        </w:tc>
      </w:tr>
      <w:tr w:rsidR="00B30984">
        <w:tblPrEx>
          <w:tblCellMar>
            <w:top w:w="0" w:type="dxa"/>
            <w:bottom w:w="0" w:type="dxa"/>
          </w:tblCellMar>
        </w:tblPrEx>
        <w:tc>
          <w:tcPr>
            <w:tcW w:w="4140" w:type="dxa"/>
          </w:tcPr>
          <w:p w:rsidR="00B30984" w:rsidRDefault="00B30984" w:rsidP="001F077A">
            <w:pPr>
              <w:pStyle w:val="VMaterialslist"/>
            </w:pPr>
            <w:r>
              <w:t>two 100 mL beakers</w:t>
            </w:r>
          </w:p>
        </w:tc>
        <w:tc>
          <w:tcPr>
            <w:tcW w:w="4680" w:type="dxa"/>
          </w:tcPr>
          <w:p w:rsidR="00B30984" w:rsidRDefault="00B30984" w:rsidP="001F077A">
            <w:pPr>
              <w:pStyle w:val="VMaterialslist"/>
            </w:pPr>
            <w:r>
              <w:t>filter paper</w:t>
            </w:r>
          </w:p>
        </w:tc>
      </w:tr>
      <w:tr w:rsidR="00B30984">
        <w:tblPrEx>
          <w:tblCellMar>
            <w:top w:w="0" w:type="dxa"/>
            <w:bottom w:w="0" w:type="dxa"/>
          </w:tblCellMar>
        </w:tblPrEx>
        <w:tc>
          <w:tcPr>
            <w:tcW w:w="4140" w:type="dxa"/>
          </w:tcPr>
          <w:p w:rsidR="00B30984" w:rsidRDefault="00B30984" w:rsidP="001F077A">
            <w:pPr>
              <w:pStyle w:val="VMaterialslist"/>
            </w:pPr>
            <w:r>
              <w:t>two 250 mL beakers</w:t>
            </w:r>
          </w:p>
        </w:tc>
        <w:tc>
          <w:tcPr>
            <w:tcW w:w="4680" w:type="dxa"/>
          </w:tcPr>
          <w:p w:rsidR="00B30984" w:rsidRDefault="00B30984" w:rsidP="001F077A">
            <w:pPr>
              <w:pStyle w:val="VMaterialslist"/>
            </w:pPr>
            <w:r>
              <w:t>filter funnel</w:t>
            </w:r>
          </w:p>
        </w:tc>
      </w:tr>
      <w:tr w:rsidR="00B30984">
        <w:tblPrEx>
          <w:tblCellMar>
            <w:top w:w="0" w:type="dxa"/>
            <w:bottom w:w="0" w:type="dxa"/>
          </w:tblCellMar>
        </w:tblPrEx>
        <w:tc>
          <w:tcPr>
            <w:tcW w:w="4140" w:type="dxa"/>
          </w:tcPr>
          <w:p w:rsidR="00B30984" w:rsidRDefault="00B30984" w:rsidP="001F077A">
            <w:pPr>
              <w:pStyle w:val="VMaterialslist"/>
            </w:pPr>
            <w:r>
              <w:t>two 50 mL graduated cylinders</w:t>
            </w:r>
          </w:p>
        </w:tc>
        <w:tc>
          <w:tcPr>
            <w:tcW w:w="4680" w:type="dxa"/>
          </w:tcPr>
          <w:p w:rsidR="00B30984" w:rsidRDefault="00B30984" w:rsidP="001F077A">
            <w:pPr>
              <w:pStyle w:val="VMaterialslist"/>
            </w:pPr>
            <w:r>
              <w:t>magnetic stirrer and stirring bar</w:t>
            </w:r>
          </w:p>
        </w:tc>
      </w:tr>
      <w:tr w:rsidR="00B30984">
        <w:tblPrEx>
          <w:tblCellMar>
            <w:top w:w="0" w:type="dxa"/>
            <w:bottom w:w="0" w:type="dxa"/>
          </w:tblCellMar>
        </w:tblPrEx>
        <w:tc>
          <w:tcPr>
            <w:tcW w:w="4140" w:type="dxa"/>
          </w:tcPr>
          <w:p w:rsidR="00B30984" w:rsidRDefault="00B30984" w:rsidP="001F077A">
            <w:pPr>
              <w:pStyle w:val="VMaterialslist"/>
            </w:pPr>
            <w:r>
              <w:t xml:space="preserve">50 mL </w:t>
            </w:r>
            <w:proofErr w:type="spellStart"/>
            <w:r>
              <w:t>buret</w:t>
            </w:r>
            <w:proofErr w:type="spellEnd"/>
          </w:p>
        </w:tc>
        <w:tc>
          <w:tcPr>
            <w:tcW w:w="4680" w:type="dxa"/>
          </w:tcPr>
          <w:p w:rsidR="00B30984" w:rsidRDefault="00B30984" w:rsidP="001F077A">
            <w:pPr>
              <w:pStyle w:val="VMaterialslist"/>
            </w:pPr>
          </w:p>
        </w:tc>
      </w:tr>
    </w:tbl>
    <w:p w:rsidR="00B30984" w:rsidRPr="00B30984" w:rsidRDefault="00B30984" w:rsidP="00B30984">
      <w:pPr>
        <w:pStyle w:val="VHeading"/>
        <w:spacing w:before="480"/>
        <w:rPr>
          <w:rFonts w:ascii="Times New Roman" w:hAnsi="Times New Roman" w:cs="Times New Roman"/>
        </w:rPr>
      </w:pPr>
      <w:r w:rsidRPr="00B30984">
        <w:rPr>
          <w:rFonts w:ascii="Times New Roman" w:hAnsi="Times New Roman" w:cs="Times New Roman"/>
        </w:rPr>
        <w:t>PROCEDURE</w:t>
      </w:r>
    </w:p>
    <w:p w:rsidR="00B30984" w:rsidRDefault="00B30984" w:rsidP="00B30984">
      <w:pPr>
        <w:pStyle w:val="VSteps"/>
      </w:pPr>
      <w:r>
        <w:tab/>
        <w:t>1.</w:t>
      </w:r>
      <w:r>
        <w:tab/>
        <w:t>Obtain and wear goggles.</w:t>
      </w:r>
    </w:p>
    <w:p w:rsidR="00B30984" w:rsidRDefault="00B30984" w:rsidP="00B30984">
      <w:pPr>
        <w:pStyle w:val="VSteps"/>
      </w:pPr>
      <w:r>
        <w:tab/>
        <w:t>2.</w:t>
      </w:r>
      <w:r>
        <w:tab/>
        <w:t>Obtain about 70 mL of a saturated calcium hydroxide solution.</w:t>
      </w:r>
      <w:r>
        <w:rPr>
          <w:b/>
        </w:rPr>
        <w:t xml:space="preserve"> CAUTION:</w:t>
      </w:r>
      <w:r>
        <w:t xml:space="preserve"> </w:t>
      </w:r>
      <w:r>
        <w:rPr>
          <w:i/>
        </w:rPr>
        <w:t>Calcium hydroxide solution is caustic. Avoid spilling it on your skin or clothing</w:t>
      </w:r>
      <w:r>
        <w:t>.</w:t>
      </w:r>
    </w:p>
    <w:p w:rsidR="00B30984" w:rsidRDefault="00B30984" w:rsidP="00B30984">
      <w:pPr>
        <w:pStyle w:val="VSteps"/>
      </w:pPr>
      <w:r>
        <w:tab/>
        <w:t>3.</w:t>
      </w:r>
      <w:r>
        <w:tab/>
        <w:t xml:space="preserve">Set up a ring stand, ring, filter funnel, and filter paper. Filter your sample of </w:t>
      </w:r>
      <w:proofErr w:type="gramStart"/>
      <w:r>
        <w:t>Ca(</w:t>
      </w:r>
      <w:proofErr w:type="gramEnd"/>
      <w:r>
        <w:t>OH)</w:t>
      </w:r>
      <w:r>
        <w:rPr>
          <w:vertAlign w:val="subscript"/>
        </w:rPr>
        <w:t>2</w:t>
      </w:r>
      <w:r>
        <w:t xml:space="preserve"> solution into a clean beaker. Measure out about 15 mL of the filtered solution into a 250 mL beaker. Record the precise volume of </w:t>
      </w:r>
      <w:proofErr w:type="gramStart"/>
      <w:r>
        <w:t>Ca(</w:t>
      </w:r>
      <w:proofErr w:type="gramEnd"/>
      <w:r>
        <w:t>OH)</w:t>
      </w:r>
      <w:r>
        <w:rPr>
          <w:vertAlign w:val="subscript"/>
        </w:rPr>
        <w:t>2</w:t>
      </w:r>
      <w:r>
        <w:t xml:space="preserve"> solution that you are using.</w:t>
      </w:r>
    </w:p>
    <w:p w:rsidR="00B30984" w:rsidRDefault="00B30984" w:rsidP="00B30984">
      <w:pPr>
        <w:pStyle w:val="VSteps"/>
      </w:pPr>
      <w:r>
        <w:tab/>
        <w:t>4.</w:t>
      </w:r>
      <w:r>
        <w:tab/>
        <w:t xml:space="preserve">Obtain about 200 mL of 0.0500 M HCl solution. </w:t>
      </w:r>
      <w:r>
        <w:rPr>
          <w:b/>
        </w:rPr>
        <w:t>CAUTION:</w:t>
      </w:r>
      <w:r>
        <w:t xml:space="preserve"> </w:t>
      </w:r>
      <w:r>
        <w:rPr>
          <w:i/>
        </w:rPr>
        <w:t>Handle the hydrochloric acid with care. It can cause painful burns if it comes in contact with the skin</w:t>
      </w:r>
      <w:r>
        <w:t>.</w:t>
      </w:r>
    </w:p>
    <w:p w:rsidR="00B30984" w:rsidRDefault="00B30984" w:rsidP="00B30984">
      <w:pPr>
        <w:pStyle w:val="VSteps"/>
      </w:pPr>
      <w:r>
        <w:tab/>
        <w:t>5.</w:t>
      </w:r>
      <w:r>
        <w:tab/>
        <w:t>Connect a pH Sensor to Channel 1 of the Vernier computer interface. Connect the interface to the computer using the proper interface cable.</w:t>
      </w:r>
    </w:p>
    <w:p w:rsidR="00B30984" w:rsidRDefault="00B30984" w:rsidP="00B30984">
      <w:pPr>
        <w:pStyle w:val="VSteps"/>
      </w:pPr>
      <w:r>
        <w:tab/>
        <w:t>6.</w:t>
      </w:r>
      <w:r>
        <w:tab/>
        <w:t xml:space="preserve">Set up the beaker of </w:t>
      </w:r>
      <w:proofErr w:type="gramStart"/>
      <w:r>
        <w:t>Ca(</w:t>
      </w:r>
      <w:proofErr w:type="gramEnd"/>
      <w:r>
        <w:t>OH)</w:t>
      </w:r>
      <w:r>
        <w:rPr>
          <w:vertAlign w:val="subscript"/>
        </w:rPr>
        <w:t>2</w:t>
      </w:r>
      <w:r>
        <w:t xml:space="preserve"> solution on a magnetic stirrer. If you are not using a magnetic stirrer, use a glass stirring rod to stir the solution throughout the titration.</w:t>
      </w:r>
    </w:p>
    <w:p w:rsidR="00B30984" w:rsidRDefault="00B30984" w:rsidP="00B30984">
      <w:pPr>
        <w:pStyle w:val="VSteps"/>
      </w:pPr>
      <w:r>
        <w:tab/>
        <w:t>7.</w:t>
      </w:r>
      <w:r>
        <w:tab/>
        <w:t xml:space="preserve">Use a utility clamp to suspend the pH Sensor on a ring stand as shown in Figure 1. Position the pH Sensor in the </w:t>
      </w:r>
      <w:proofErr w:type="gramStart"/>
      <w:r>
        <w:t>Ca(</w:t>
      </w:r>
      <w:proofErr w:type="gramEnd"/>
      <w:r>
        <w:t>OH)</w:t>
      </w:r>
      <w:r>
        <w:rPr>
          <w:vertAlign w:val="subscript"/>
        </w:rPr>
        <w:t>2</w:t>
      </w:r>
      <w:r>
        <w:t xml:space="preserve"> solution, and adjust its position so that the sensor is not struck by the magnetic stirring bar.</w:t>
      </w:r>
    </w:p>
    <w:p w:rsidR="00B30984" w:rsidRDefault="00B30984" w:rsidP="00B30984">
      <w:pPr>
        <w:pStyle w:val="VSteps"/>
      </w:pPr>
      <w:r>
        <w:tab/>
        <w:t>8.</w:t>
      </w:r>
      <w:r>
        <w:tab/>
        <w:t xml:space="preserve">Connect a </w:t>
      </w:r>
      <w:proofErr w:type="spellStart"/>
      <w:r>
        <w:t>buret</w:t>
      </w:r>
      <w:proofErr w:type="spellEnd"/>
      <w:r>
        <w:t xml:space="preserve"> to the ring stand. Rinse and fill the </w:t>
      </w:r>
      <w:proofErr w:type="spellStart"/>
      <w:r>
        <w:t>buret</w:t>
      </w:r>
      <w:proofErr w:type="spellEnd"/>
      <w:r>
        <w:t xml:space="preserve"> with the 0.0500 M HCl solution. </w:t>
      </w:r>
    </w:p>
    <w:p w:rsidR="00B30984" w:rsidRDefault="00B30984" w:rsidP="00B30984">
      <w:pPr>
        <w:pStyle w:val="VSteps"/>
      </w:pPr>
      <w:r>
        <w:tab/>
        <w:t>9.</w:t>
      </w:r>
      <w:r>
        <w:tab/>
        <w:t xml:space="preserve">Start the Logger </w:t>
      </w:r>
      <w:r>
        <w:rPr>
          <w:i/>
        </w:rPr>
        <w:t>Pro</w:t>
      </w:r>
      <w:r>
        <w:t xml:space="preserve"> program on your computer. Open the file “23 </w:t>
      </w:r>
      <w:proofErr w:type="spellStart"/>
      <w:r>
        <w:t>Ksp</w:t>
      </w:r>
      <w:proofErr w:type="spellEnd"/>
      <w:r>
        <w:t xml:space="preserve">” from the </w:t>
      </w:r>
      <w:r>
        <w:rPr>
          <w:i/>
        </w:rPr>
        <w:t>Advanced Chemistry with Vernier</w:t>
      </w:r>
      <w:r>
        <w:t xml:space="preserve"> folder.</w:t>
      </w:r>
    </w:p>
    <w:p w:rsidR="00B30984" w:rsidRDefault="00B30984" w:rsidP="00B30984">
      <w:pPr>
        <w:pStyle w:val="VStepswBullet"/>
      </w:pPr>
      <w:r>
        <w:lastRenderedPageBreak/>
        <w:tab/>
        <w:t>10.</w:t>
      </w:r>
      <w:r>
        <w:tab/>
        <w:t>Conduct the titration carefully. The guidelines below are general suggestions; use your judgment in conducting the titrations to get the best results.</w:t>
      </w:r>
    </w:p>
    <w:p w:rsidR="00B30984" w:rsidRDefault="00B30984" w:rsidP="00B30984">
      <w:pPr>
        <w:pStyle w:val="VBulletsabc"/>
      </w:pPr>
      <w:r>
        <w:t xml:space="preserve">Before you have added any of the HCl titrant, click </w:t>
      </w:r>
      <w:r w:rsidR="00AF33E1">
        <w:rPr>
          <w:rFonts w:ascii="Times" w:hAnsi="Times"/>
          <w:noProof/>
          <w:position w:val="-4"/>
        </w:rPr>
        <w:drawing>
          <wp:inline distT="0" distB="0" distL="0" distR="0">
            <wp:extent cx="457200" cy="139700"/>
            <wp:effectExtent l="0" t="0" r="0" b="0"/>
            <wp:docPr id="2" name="Picture 2" descr="Collec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lect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139700"/>
                    </a:xfrm>
                    <a:prstGeom prst="rect">
                      <a:avLst/>
                    </a:prstGeom>
                    <a:noFill/>
                    <a:ln>
                      <a:noFill/>
                    </a:ln>
                  </pic:spPr>
                </pic:pic>
              </a:graphicData>
            </a:graphic>
          </wp:inline>
        </w:drawing>
      </w:r>
      <w:r>
        <w:t xml:space="preserve"> and monitor pH for 5-10 seconds. Once the displayed pH reading has stabilized, click </w:t>
      </w:r>
      <w:r w:rsidR="00AF33E1">
        <w:rPr>
          <w:rFonts w:ascii="Times" w:hAnsi="Times"/>
          <w:noProof/>
          <w:position w:val="-4"/>
        </w:rPr>
        <w:drawing>
          <wp:inline distT="0" distB="0" distL="0" distR="0">
            <wp:extent cx="450850" cy="139700"/>
            <wp:effectExtent l="0" t="0" r="0" b="0"/>
            <wp:docPr id="3" name="Picture 3" descr="Kee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ep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0850" cy="139700"/>
                    </a:xfrm>
                    <a:prstGeom prst="rect">
                      <a:avLst/>
                    </a:prstGeom>
                    <a:noFill/>
                    <a:ln>
                      <a:noFill/>
                    </a:ln>
                  </pic:spPr>
                </pic:pic>
              </a:graphicData>
            </a:graphic>
          </wp:inline>
        </w:drawing>
      </w:r>
      <w:r>
        <w:t xml:space="preserve">. In the edit box, type “0” (for 0 mL added). Press the </w:t>
      </w:r>
      <w:r>
        <w:rPr>
          <w:sz w:val="20"/>
        </w:rPr>
        <w:t>ENTER</w:t>
      </w:r>
      <w:r>
        <w:t xml:space="preserve"> key to store the first data pair.</w:t>
      </w:r>
    </w:p>
    <w:p w:rsidR="00B30984" w:rsidRDefault="00B30984" w:rsidP="00B30984">
      <w:pPr>
        <w:pStyle w:val="VBulletsabc"/>
      </w:pPr>
      <w:r>
        <w:t xml:space="preserve">Add a small amount of the titrant, up to 0.50 </w:t>
      </w:r>
      <w:proofErr w:type="spellStart"/>
      <w:r>
        <w:t>mL.</w:t>
      </w:r>
      <w:proofErr w:type="spellEnd"/>
      <w:r>
        <w:t xml:space="preserve"> When the pH stabilizes click </w:t>
      </w:r>
      <w:r w:rsidR="00AF33E1">
        <w:rPr>
          <w:rFonts w:ascii="Times" w:hAnsi="Times"/>
          <w:noProof/>
          <w:position w:val="-4"/>
        </w:rPr>
        <w:drawing>
          <wp:inline distT="0" distB="0" distL="0" distR="0">
            <wp:extent cx="450850" cy="139700"/>
            <wp:effectExtent l="0" t="0" r="0" b="0"/>
            <wp:docPr id="4" name="Picture 4" descr="Kee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ep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0850" cy="139700"/>
                    </a:xfrm>
                    <a:prstGeom prst="rect">
                      <a:avLst/>
                    </a:prstGeom>
                    <a:noFill/>
                    <a:ln>
                      <a:noFill/>
                    </a:ln>
                  </pic:spPr>
                </pic:pic>
              </a:graphicData>
            </a:graphic>
          </wp:inline>
        </w:drawing>
      </w:r>
      <w:r>
        <w:t xml:space="preserve">. Enter the current </w:t>
      </w:r>
      <w:proofErr w:type="spellStart"/>
      <w:r>
        <w:t>buret</w:t>
      </w:r>
      <w:proofErr w:type="spellEnd"/>
      <w:r>
        <w:t xml:space="preserve"> reading and press </w:t>
      </w:r>
      <w:r>
        <w:rPr>
          <w:sz w:val="20"/>
        </w:rPr>
        <w:t>ENTER</w:t>
      </w:r>
      <w:r>
        <w:t xml:space="preserve"> to save the second data pair.</w:t>
      </w:r>
    </w:p>
    <w:p w:rsidR="00B30984" w:rsidRDefault="00B30984" w:rsidP="00B30984">
      <w:pPr>
        <w:pStyle w:val="VBulletsabc"/>
      </w:pPr>
      <w:r>
        <w:t xml:space="preserve">Continue adding the HCl solution in increments that lower the pH consistently, and enter the </w:t>
      </w:r>
      <w:proofErr w:type="spellStart"/>
      <w:r>
        <w:t>buret</w:t>
      </w:r>
      <w:proofErr w:type="spellEnd"/>
      <w:r>
        <w:t xml:space="preserve"> reading after each increment.</w:t>
      </w:r>
    </w:p>
    <w:p w:rsidR="00B30984" w:rsidRDefault="00B30984" w:rsidP="00B30984">
      <w:pPr>
        <w:pStyle w:val="VBulletsabcfinal"/>
        <w:keepNext w:val="0"/>
      </w:pPr>
      <w:r>
        <w:t>When you reach the equivalence point, continue adding the HCl solution until the pH value remains constant.</w:t>
      </w:r>
    </w:p>
    <w:p w:rsidR="00B30984" w:rsidRDefault="00B30984" w:rsidP="00B30984">
      <w:pPr>
        <w:pStyle w:val="VSteps"/>
      </w:pPr>
      <w:r>
        <w:tab/>
        <w:t>11.</w:t>
      </w:r>
      <w:r>
        <w:tab/>
        <w:t xml:space="preserve">When you have finished collecting data, click </w:t>
      </w:r>
      <w:r w:rsidR="00AF33E1">
        <w:rPr>
          <w:rFonts w:ascii="Times" w:hAnsi="Times"/>
          <w:noProof/>
          <w:position w:val="-4"/>
        </w:rPr>
        <w:drawing>
          <wp:inline distT="0" distB="0" distL="0" distR="0">
            <wp:extent cx="419100" cy="139700"/>
            <wp:effectExtent l="0" t="0" r="0" b="0"/>
            <wp:docPr id="5" name="Picture 5" descr="Sto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op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9100" cy="139700"/>
                    </a:xfrm>
                    <a:prstGeom prst="rect">
                      <a:avLst/>
                    </a:prstGeom>
                    <a:noFill/>
                    <a:ln>
                      <a:noFill/>
                    </a:ln>
                  </pic:spPr>
                </pic:pic>
              </a:graphicData>
            </a:graphic>
          </wp:inline>
        </w:drawing>
      </w:r>
      <w:r>
        <w:t>. Choose Store Latest Run from the Experiment menu to save the results of the first trial.</w:t>
      </w:r>
    </w:p>
    <w:p w:rsidR="00B30984" w:rsidRDefault="00B30984" w:rsidP="00B30984">
      <w:pPr>
        <w:pStyle w:val="VStepswBullet"/>
      </w:pPr>
      <w:r>
        <w:tab/>
        <w:t>12.</w:t>
      </w:r>
      <w:r>
        <w:tab/>
        <w:t xml:space="preserve">Follow the steps below to find the </w:t>
      </w:r>
      <w:r>
        <w:rPr>
          <w:i/>
        </w:rPr>
        <w:t>equivalence point</w:t>
      </w:r>
      <w:r>
        <w:t xml:space="preserve">, which is the largest increase in pH upon the addition of a very small amount of </w:t>
      </w:r>
      <w:r w:rsidR="00403E99">
        <w:t xml:space="preserve">HC1 </w:t>
      </w:r>
      <w:r>
        <w:t xml:space="preserve">solution. A good method of determining the precise equivalence point of the titration is to take the second derivative of the pH-volume data, a plot of </w:t>
      </w:r>
      <w:r>
        <w:sym w:font="Symbol" w:char="F044"/>
      </w:r>
      <w:r>
        <w:rPr>
          <w:vertAlign w:val="superscript"/>
        </w:rPr>
        <w:t>2</w:t>
      </w:r>
      <w:r>
        <w:t>pH/</w:t>
      </w:r>
      <w:r>
        <w:sym w:font="Symbol" w:char="F044"/>
      </w:r>
      <w:r>
        <w:t>vol</w:t>
      </w:r>
      <w:r>
        <w:rPr>
          <w:vertAlign w:val="superscript"/>
        </w:rPr>
        <w:t>2</w:t>
      </w:r>
      <w:r>
        <w:t>.</w:t>
      </w:r>
    </w:p>
    <w:p w:rsidR="00B30984" w:rsidRDefault="00B30984" w:rsidP="00B30984">
      <w:pPr>
        <w:pStyle w:val="VBulletsabc"/>
        <w:numPr>
          <w:ilvl w:val="0"/>
          <w:numId w:val="5"/>
        </w:numPr>
      </w:pPr>
      <w:r>
        <w:t>Open Page 3 by clicking on the Page window on the menu bar.</w:t>
      </w:r>
    </w:p>
    <w:p w:rsidR="00B30984" w:rsidRDefault="00B30984" w:rsidP="00B30984">
      <w:pPr>
        <w:pStyle w:val="VBulletsabc"/>
        <w:spacing w:after="160"/>
      </w:pPr>
      <w:r>
        <w:t>Analyze the second derivative p</w:t>
      </w:r>
      <w:r w:rsidR="00403E99">
        <w:t xml:space="preserve">lot and record the volume of </w:t>
      </w:r>
      <w:r>
        <w:t>H</w:t>
      </w:r>
      <w:r w:rsidR="00403E99">
        <w:t>C1</w:t>
      </w:r>
      <w:r>
        <w:t xml:space="preserve"> at the equivalence point.</w:t>
      </w:r>
    </w:p>
    <w:p w:rsidR="00B30984" w:rsidRDefault="00B30984" w:rsidP="00B30984">
      <w:pPr>
        <w:pStyle w:val="VSteps"/>
      </w:pPr>
      <w:r>
        <w:tab/>
        <w:t>13.</w:t>
      </w:r>
      <w:r>
        <w:tab/>
        <w:t>Dispose of the reaction mixture as directed. Rinse the pH Sensor with distilled water in preparation for the second titration.</w:t>
      </w:r>
    </w:p>
    <w:p w:rsidR="00B30984" w:rsidRDefault="00B30984" w:rsidP="00B30984">
      <w:pPr>
        <w:pStyle w:val="VSteps"/>
      </w:pPr>
      <w:r>
        <w:tab/>
        <w:t>14.</w:t>
      </w:r>
      <w:r>
        <w:tab/>
        <w:t xml:space="preserve">Repeat the necessary steps to titrate a second sample of the filtered </w:t>
      </w:r>
      <w:proofErr w:type="gramStart"/>
      <w:r>
        <w:t>Ca(</w:t>
      </w:r>
      <w:proofErr w:type="gramEnd"/>
      <w:r>
        <w:t>OH)</w:t>
      </w:r>
      <w:r>
        <w:rPr>
          <w:vertAlign w:val="subscript"/>
        </w:rPr>
        <w:t>2</w:t>
      </w:r>
      <w:r>
        <w:t xml:space="preserve"> solution. Conduct a third trial if directed by your instructor. Print a copy of the graph (or graphs) that you will use in your data analysis.</w:t>
      </w:r>
    </w:p>
    <w:p w:rsidR="00B30984" w:rsidRPr="00B30984" w:rsidRDefault="00B30984" w:rsidP="00B30984">
      <w:pPr>
        <w:pStyle w:val="VHeading"/>
        <w:rPr>
          <w:rFonts w:ascii="Times New Roman" w:hAnsi="Times New Roman" w:cs="Times New Roman"/>
        </w:rPr>
      </w:pPr>
      <w:r w:rsidRPr="00B30984">
        <w:rPr>
          <w:rFonts w:ascii="Times New Roman" w:hAnsi="Times New Roman" w:cs="Times New Roman"/>
        </w:rPr>
        <w:t>DATA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2304"/>
      </w:tblGrid>
      <w:tr w:rsidR="00B30984" w:rsidRPr="00B30984">
        <w:trPr>
          <w:jc w:val="center"/>
        </w:trPr>
        <w:tc>
          <w:tcPr>
            <w:tcW w:w="1152" w:type="dxa"/>
            <w:vAlign w:val="center"/>
          </w:tcPr>
          <w:p w:rsidR="00B30984" w:rsidRPr="00B30984" w:rsidRDefault="00B30984" w:rsidP="001F077A">
            <w:pPr>
              <w:spacing w:before="120" w:after="120"/>
              <w:jc w:val="center"/>
            </w:pPr>
            <w:r w:rsidRPr="00B30984">
              <w:t>Trial</w:t>
            </w:r>
          </w:p>
        </w:tc>
        <w:tc>
          <w:tcPr>
            <w:tcW w:w="2304" w:type="dxa"/>
            <w:vAlign w:val="center"/>
          </w:tcPr>
          <w:p w:rsidR="00B30984" w:rsidRPr="00B30984" w:rsidRDefault="00B30984" w:rsidP="001F077A">
            <w:pPr>
              <w:spacing w:before="120" w:after="120"/>
              <w:jc w:val="center"/>
            </w:pPr>
            <w:r w:rsidRPr="00B30984">
              <w:t xml:space="preserve">Equivalence point </w:t>
            </w:r>
            <w:r w:rsidRPr="00B30984">
              <w:br/>
              <w:t>(mL)</w:t>
            </w:r>
          </w:p>
        </w:tc>
      </w:tr>
      <w:tr w:rsidR="00B30984" w:rsidRPr="00B30984">
        <w:trPr>
          <w:jc w:val="center"/>
        </w:trPr>
        <w:tc>
          <w:tcPr>
            <w:tcW w:w="1152" w:type="dxa"/>
          </w:tcPr>
          <w:p w:rsidR="00B30984" w:rsidRPr="00B30984" w:rsidRDefault="00B30984" w:rsidP="001F077A">
            <w:pPr>
              <w:spacing w:before="160" w:after="160"/>
              <w:jc w:val="center"/>
            </w:pPr>
            <w:r w:rsidRPr="00B30984">
              <w:t>1</w:t>
            </w:r>
          </w:p>
        </w:tc>
        <w:tc>
          <w:tcPr>
            <w:tcW w:w="2304" w:type="dxa"/>
          </w:tcPr>
          <w:p w:rsidR="00B30984" w:rsidRPr="00B30984" w:rsidRDefault="00B30984" w:rsidP="001F077A">
            <w:pPr>
              <w:spacing w:before="160" w:after="160"/>
            </w:pPr>
          </w:p>
        </w:tc>
      </w:tr>
      <w:tr w:rsidR="00B30984" w:rsidRPr="00B30984">
        <w:trPr>
          <w:jc w:val="center"/>
        </w:trPr>
        <w:tc>
          <w:tcPr>
            <w:tcW w:w="1152" w:type="dxa"/>
          </w:tcPr>
          <w:p w:rsidR="00B30984" w:rsidRPr="00B30984" w:rsidRDefault="00B30984" w:rsidP="001F077A">
            <w:pPr>
              <w:spacing w:before="160" w:after="160"/>
              <w:jc w:val="center"/>
            </w:pPr>
            <w:r w:rsidRPr="00B30984">
              <w:t>2</w:t>
            </w:r>
          </w:p>
        </w:tc>
        <w:tc>
          <w:tcPr>
            <w:tcW w:w="2304" w:type="dxa"/>
          </w:tcPr>
          <w:p w:rsidR="00B30984" w:rsidRPr="00B30984" w:rsidRDefault="00B30984" w:rsidP="001F077A">
            <w:pPr>
              <w:spacing w:before="160" w:after="160"/>
            </w:pPr>
          </w:p>
        </w:tc>
      </w:tr>
    </w:tbl>
    <w:p w:rsidR="00B30984" w:rsidRPr="00B30984" w:rsidRDefault="00B30984" w:rsidP="00B30984">
      <w:pPr>
        <w:pStyle w:val="VHeading"/>
        <w:spacing w:before="480"/>
        <w:rPr>
          <w:rFonts w:ascii="Times New Roman" w:hAnsi="Times New Roman" w:cs="Times New Roman"/>
        </w:rPr>
      </w:pPr>
      <w:r w:rsidRPr="00B30984">
        <w:rPr>
          <w:rFonts w:ascii="Times New Roman" w:hAnsi="Times New Roman" w:cs="Times New Roman"/>
        </w:rPr>
        <w:t>DATA ANALYSIS</w:t>
      </w:r>
    </w:p>
    <w:p w:rsidR="00B30984" w:rsidRDefault="00B30984" w:rsidP="00B30984">
      <w:pPr>
        <w:pStyle w:val="VStepwroom"/>
      </w:pPr>
      <w:r>
        <w:tab/>
        <w:t>1.</w:t>
      </w:r>
      <w:r>
        <w:tab/>
        <w:t>Calculate the [</w:t>
      </w:r>
      <w:smartTag w:uri="urn:schemas-microsoft-com:office:smarttags" w:element="place">
        <w:smartTag w:uri="urn:schemas-microsoft-com:office:smarttags" w:element="State">
          <w:r>
            <w:t>OH</w:t>
          </w:r>
          <w:r>
            <w:rPr>
              <w:vertAlign w:val="superscript"/>
            </w:rPr>
            <w:t>–</w:t>
          </w:r>
        </w:smartTag>
      </w:smartTag>
      <w:r>
        <w:t>] from the results of your titrations. Explain your calculations.</w:t>
      </w:r>
    </w:p>
    <w:p w:rsidR="00B30984" w:rsidRDefault="00B30984" w:rsidP="00B30984">
      <w:pPr>
        <w:pStyle w:val="VStepwroom"/>
      </w:pPr>
    </w:p>
    <w:p w:rsidR="00B30984" w:rsidRDefault="00B30984" w:rsidP="00B30984">
      <w:pPr>
        <w:pStyle w:val="VStepwroom"/>
      </w:pPr>
      <w:r>
        <w:lastRenderedPageBreak/>
        <w:tab/>
        <w:t>2.</w:t>
      </w:r>
      <w:r>
        <w:tab/>
        <w:t>Calculate the [Ca</w:t>
      </w:r>
      <w:r>
        <w:rPr>
          <w:vertAlign w:val="superscript"/>
        </w:rPr>
        <w:t>2+</w:t>
      </w:r>
      <w:r>
        <w:t>]. Explain your calculations.</w:t>
      </w:r>
    </w:p>
    <w:p w:rsidR="00B30984" w:rsidRDefault="00B30984" w:rsidP="00B30984">
      <w:pPr>
        <w:pStyle w:val="VStepwroom"/>
      </w:pPr>
      <w:r>
        <w:tab/>
        <w:t>3.</w:t>
      </w:r>
      <w:r>
        <w:tab/>
        <w:t xml:space="preserve">Calculate the </w:t>
      </w:r>
      <w:proofErr w:type="spellStart"/>
      <w:r>
        <w:rPr>
          <w:i/>
        </w:rPr>
        <w:t>K</w:t>
      </w:r>
      <w:r>
        <w:rPr>
          <w:i/>
          <w:vertAlign w:val="subscript"/>
        </w:rPr>
        <w:t>sp</w:t>
      </w:r>
      <w:proofErr w:type="spellEnd"/>
      <w:r>
        <w:t xml:space="preserve"> for calcium hydroxide. Explain your calculations.</w:t>
      </w:r>
    </w:p>
    <w:p w:rsidR="00B30984" w:rsidRDefault="00B30984" w:rsidP="00B30984">
      <w:pPr>
        <w:pStyle w:val="VStepwroom"/>
      </w:pPr>
      <w:r>
        <w:tab/>
        <w:t>4.</w:t>
      </w:r>
      <w:r>
        <w:tab/>
        <w:t xml:space="preserve">Find the accepted value of the </w:t>
      </w:r>
      <w:proofErr w:type="spellStart"/>
      <w:r>
        <w:rPr>
          <w:i/>
        </w:rPr>
        <w:t>K</w:t>
      </w:r>
      <w:r>
        <w:rPr>
          <w:i/>
          <w:vertAlign w:val="subscript"/>
        </w:rPr>
        <w:t>sp</w:t>
      </w:r>
      <w:proofErr w:type="spellEnd"/>
      <w:r>
        <w:t xml:space="preserve"> for calcium hydroxide and compare it with your value. Discuss the discrepancy and suggest possible sources of experimental error.</w:t>
      </w:r>
    </w:p>
    <w:p w:rsidR="00B30984" w:rsidRDefault="00B30984" w:rsidP="00B30984">
      <w:pPr>
        <w:pStyle w:val="VStepwroom"/>
      </w:pPr>
    </w:p>
    <w:p w:rsidR="00B30984" w:rsidRPr="00B30984" w:rsidRDefault="00B30984" w:rsidP="00B30984"/>
    <w:sectPr w:rsidR="00B30984" w:rsidRPr="00B30984" w:rsidSect="00B30984">
      <w:headerReference w:type="default" r:id="rId11"/>
      <w:footerReference w:type="default" r:id="rId12"/>
      <w:footerReference w:type="first" r:id="rId13"/>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D57" w:rsidRDefault="00781D57">
      <w:r>
        <w:separator/>
      </w:r>
    </w:p>
  </w:endnote>
  <w:endnote w:type="continuationSeparator" w:id="0">
    <w:p w:rsidR="00781D57" w:rsidRDefault="00781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984" w:rsidRDefault="00B30984" w:rsidP="00B30984">
    <w:pPr>
      <w:pStyle w:val="Footer"/>
    </w:pPr>
    <w:r>
      <w:rPr>
        <w:u w:val="single"/>
      </w:rPr>
      <w:tab/>
    </w:r>
    <w:r>
      <w:rPr>
        <w:u w:val="single"/>
      </w:rPr>
      <w:tab/>
    </w:r>
  </w:p>
  <w:p w:rsidR="00B30984" w:rsidRDefault="00B30984" w:rsidP="00B30984">
    <w:pPr>
      <w:pStyle w:val="Footer"/>
    </w:pPr>
    <w:smartTag w:uri="urn:schemas-microsoft-com:office:smarttags" w:element="City">
      <w:smartTag w:uri="urn:schemas-microsoft-com:office:smarttags" w:element="place">
        <w:r>
          <w:t>Westminster</w:t>
        </w:r>
      </w:smartTag>
    </w:smartTag>
    <w:r>
      <w:t xml:space="preserve"> College SIM</w:t>
    </w:r>
    <w:r>
      <w:tab/>
    </w:r>
    <w:r>
      <w:tab/>
      <w:t>ADV COMP 23-</w:t>
    </w:r>
    <w:r>
      <w:rPr>
        <w:rStyle w:val="PageNumber"/>
      </w:rPr>
      <w:fldChar w:fldCharType="begin"/>
    </w:r>
    <w:r>
      <w:rPr>
        <w:rStyle w:val="PageNumber"/>
      </w:rPr>
      <w:instrText xml:space="preserve"> PAGE </w:instrText>
    </w:r>
    <w:r>
      <w:rPr>
        <w:rStyle w:val="PageNumber"/>
      </w:rPr>
      <w:fldChar w:fldCharType="separate"/>
    </w:r>
    <w:r w:rsidR="00403E99">
      <w:rPr>
        <w:rStyle w:val="PageNumber"/>
        <w:noProof/>
      </w:rPr>
      <w:t>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984" w:rsidRDefault="00B30984">
    <w:pPr>
      <w:pStyle w:val="Footer"/>
    </w:pPr>
    <w:r>
      <w:rPr>
        <w:u w:val="single"/>
      </w:rPr>
      <w:tab/>
    </w:r>
    <w:r>
      <w:rPr>
        <w:u w:val="single"/>
      </w:rPr>
      <w:tab/>
    </w:r>
  </w:p>
  <w:p w:rsidR="00B30984" w:rsidRPr="00B30984" w:rsidRDefault="00B30984">
    <w:pPr>
      <w:pStyle w:val="Footer"/>
    </w:pPr>
    <w:smartTag w:uri="urn:schemas-microsoft-com:office:smarttags" w:element="City">
      <w:smartTag w:uri="urn:schemas-microsoft-com:office:smarttags" w:element="place">
        <w:r>
          <w:t>Westminster</w:t>
        </w:r>
      </w:smartTag>
    </w:smartTag>
    <w:r>
      <w:t xml:space="preserve"> College SIM</w:t>
    </w:r>
    <w:r>
      <w:tab/>
    </w:r>
    <w:r>
      <w:tab/>
      <w:t>ADV COMP 23-</w:t>
    </w:r>
    <w:r>
      <w:rPr>
        <w:rStyle w:val="PageNumber"/>
      </w:rPr>
      <w:fldChar w:fldCharType="begin"/>
    </w:r>
    <w:r>
      <w:rPr>
        <w:rStyle w:val="PageNumber"/>
      </w:rPr>
      <w:instrText xml:space="preserve"> PAGE </w:instrText>
    </w:r>
    <w:r>
      <w:rPr>
        <w:rStyle w:val="PageNumber"/>
      </w:rPr>
      <w:fldChar w:fldCharType="separate"/>
    </w:r>
    <w:r w:rsidR="00403E99">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D57" w:rsidRDefault="00781D57">
      <w:r>
        <w:separator/>
      </w:r>
    </w:p>
  </w:footnote>
  <w:footnote w:type="continuationSeparator" w:id="0">
    <w:p w:rsidR="00781D57" w:rsidRDefault="00781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984" w:rsidRPr="00B30984" w:rsidRDefault="00B30984">
    <w:pPr>
      <w:pStyle w:val="Header"/>
      <w:rPr>
        <w:b/>
        <w:i/>
        <w:u w:val="single"/>
      </w:rPr>
    </w:pPr>
    <w:r>
      <w:rPr>
        <w:u w:val="single"/>
      </w:rPr>
      <w:tab/>
    </w:r>
    <w:r>
      <w:rPr>
        <w:u w:val="single"/>
      </w:rPr>
      <w:tab/>
    </w:r>
    <w:r>
      <w:rPr>
        <w:b/>
        <w:i/>
        <w:u w:val="single"/>
      </w:rPr>
      <w:t xml:space="preserve">Determination of </w:t>
    </w:r>
    <w:proofErr w:type="spellStart"/>
    <w:r>
      <w:rPr>
        <w:b/>
        <w:i/>
        <w:u w:val="single"/>
      </w:rPr>
      <w:t>K</w:t>
    </w:r>
    <w:r>
      <w:rPr>
        <w:b/>
        <w:i/>
        <w:u w:val="single"/>
        <w:vertAlign w:val="subscript"/>
      </w:rPr>
      <w:t>SP</w:t>
    </w:r>
    <w:r>
      <w:rPr>
        <w:b/>
        <w:i/>
        <w:u w:val="single"/>
      </w:rPr>
      <w:t>of</w:t>
    </w:r>
    <w:proofErr w:type="spellEnd"/>
    <w:r>
      <w:rPr>
        <w:b/>
        <w:i/>
        <w:u w:val="single"/>
      </w:rPr>
      <w:t xml:space="preserve"> Calcium Hydroxide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73E17"/>
    <w:multiLevelType w:val="hybridMultilevel"/>
    <w:tmpl w:val="9E2EBA9C"/>
    <w:lvl w:ilvl="0" w:tplc="FFFFFFFF">
      <w:start w:val="1"/>
      <w:numFmt w:val="bullet"/>
      <w:pStyle w:val="VBullets"/>
      <w:lvlText w:val=""/>
      <w:lvlJc w:val="left"/>
      <w:pPr>
        <w:tabs>
          <w:tab w:val="num" w:pos="0"/>
        </w:tabs>
        <w:ind w:left="547" w:hanging="187"/>
      </w:pPr>
      <w:rPr>
        <w:rFonts w:ascii="Symbol" w:hAnsi="Symbol" w:hint="default"/>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982575"/>
    <w:multiLevelType w:val="hybridMultilevel"/>
    <w:tmpl w:val="B4D020DE"/>
    <w:lvl w:ilvl="0" w:tplc="FFFFFFFF">
      <w:start w:val="1"/>
      <w:numFmt w:val="lowerLetter"/>
      <w:pStyle w:val="VBulletsabc"/>
      <w:lvlText w:val="%1."/>
      <w:lvlJc w:val="left"/>
      <w:pPr>
        <w:tabs>
          <w:tab w:val="num" w:pos="0"/>
        </w:tabs>
        <w:ind w:left="648" w:hanging="288"/>
      </w:pPr>
      <w:rPr>
        <w:rFonts w:ascii="Times New Roman" w:hAnsi="Times New Roman" w:hint="default"/>
        <w:sz w:val="24"/>
        <w:szCs w:val="24"/>
      </w:rPr>
    </w:lvl>
    <w:lvl w:ilvl="1" w:tplc="0409000D">
      <w:start w:val="1"/>
      <w:numFmt w:val="bullet"/>
      <w:lvlText w:val=""/>
      <w:lvlJc w:val="left"/>
      <w:pPr>
        <w:tabs>
          <w:tab w:val="num" w:pos="1440"/>
        </w:tabs>
        <w:ind w:left="1440" w:hanging="360"/>
      </w:pPr>
      <w:rPr>
        <w:rFonts w:ascii="Wingdings" w:hAnsi="Wingding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3E4F1ECF"/>
    <w:multiLevelType w:val="hybridMultilevel"/>
    <w:tmpl w:val="2382A15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1"/>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984"/>
    <w:rsid w:val="001F077A"/>
    <w:rsid w:val="00271DBE"/>
    <w:rsid w:val="00403E99"/>
    <w:rsid w:val="00781D57"/>
    <w:rsid w:val="00A759D9"/>
    <w:rsid w:val="00AF33E1"/>
    <w:rsid w:val="00B30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5:chartTrackingRefBased/>
  <w15:docId w15:val="{2AAF2BE8-F78D-4DDD-A96D-5487F98DD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30984"/>
    <w:pPr>
      <w:tabs>
        <w:tab w:val="center" w:pos="4320"/>
        <w:tab w:val="right" w:pos="8640"/>
      </w:tabs>
    </w:pPr>
  </w:style>
  <w:style w:type="paragraph" w:styleId="Footer">
    <w:name w:val="footer"/>
    <w:basedOn w:val="Normal"/>
    <w:rsid w:val="00B30984"/>
    <w:pPr>
      <w:tabs>
        <w:tab w:val="center" w:pos="4320"/>
        <w:tab w:val="right" w:pos="8640"/>
      </w:tabs>
    </w:pPr>
  </w:style>
  <w:style w:type="character" w:styleId="PageNumber">
    <w:name w:val="page number"/>
    <w:basedOn w:val="DefaultParagraphFont"/>
    <w:rsid w:val="00B30984"/>
  </w:style>
  <w:style w:type="paragraph" w:customStyle="1" w:styleId="VTitle">
    <w:name w:val="V Title"/>
    <w:basedOn w:val="Normal"/>
    <w:rsid w:val="00B30984"/>
    <w:pPr>
      <w:spacing w:after="480" w:line="480" w:lineRule="exact"/>
      <w:jc w:val="center"/>
    </w:pPr>
    <w:rPr>
      <w:rFonts w:ascii="Arial" w:hAnsi="Arial" w:cs="Arial"/>
      <w:b/>
      <w:sz w:val="48"/>
      <w:szCs w:val="48"/>
    </w:rPr>
  </w:style>
  <w:style w:type="paragraph" w:customStyle="1" w:styleId="VParaText">
    <w:name w:val="V Para Text"/>
    <w:basedOn w:val="Normal"/>
    <w:rsid w:val="00B30984"/>
    <w:pPr>
      <w:keepNext/>
      <w:spacing w:after="240" w:line="250" w:lineRule="exact"/>
    </w:pPr>
    <w:rPr>
      <w:kern w:val="28"/>
    </w:rPr>
  </w:style>
  <w:style w:type="paragraph" w:customStyle="1" w:styleId="VGraphicEquation">
    <w:name w:val="V Graphic/Equation"/>
    <w:basedOn w:val="Normal"/>
    <w:rsid w:val="00B30984"/>
    <w:pPr>
      <w:spacing w:after="140" w:line="240" w:lineRule="atLeast"/>
      <w:jc w:val="center"/>
    </w:pPr>
  </w:style>
  <w:style w:type="paragraph" w:customStyle="1" w:styleId="VHeading">
    <w:name w:val="V Heading"/>
    <w:basedOn w:val="VTitle"/>
    <w:rsid w:val="00B30984"/>
    <w:pPr>
      <w:keepNext/>
      <w:spacing w:before="240" w:after="160" w:line="280" w:lineRule="exact"/>
      <w:jc w:val="left"/>
    </w:pPr>
    <w:rPr>
      <w:kern w:val="28"/>
      <w:sz w:val="28"/>
      <w:szCs w:val="28"/>
    </w:rPr>
  </w:style>
  <w:style w:type="paragraph" w:customStyle="1" w:styleId="VParawBullets">
    <w:name w:val="V Para w/ Bullets"/>
    <w:basedOn w:val="VHeading"/>
    <w:rsid w:val="00B30984"/>
    <w:pPr>
      <w:spacing w:before="0" w:after="140" w:line="250" w:lineRule="exact"/>
    </w:pPr>
    <w:rPr>
      <w:rFonts w:ascii="Times New Roman" w:hAnsi="Times New Roman" w:cs="Times New Roman"/>
      <w:b w:val="0"/>
      <w:sz w:val="24"/>
      <w:szCs w:val="24"/>
    </w:rPr>
  </w:style>
  <w:style w:type="paragraph" w:customStyle="1" w:styleId="VBullets">
    <w:name w:val="V Bullets"/>
    <w:basedOn w:val="VParawBullets"/>
    <w:rsid w:val="00B30984"/>
    <w:pPr>
      <w:numPr>
        <w:numId w:val="1"/>
      </w:numPr>
      <w:spacing w:after="0" w:line="240" w:lineRule="exact"/>
    </w:pPr>
  </w:style>
  <w:style w:type="paragraph" w:customStyle="1" w:styleId="VBulletfinal">
    <w:name w:val="V Bullet final"/>
    <w:basedOn w:val="VBullets"/>
    <w:rsid w:val="00B30984"/>
    <w:pPr>
      <w:spacing w:after="160"/>
    </w:pPr>
  </w:style>
  <w:style w:type="paragraph" w:customStyle="1" w:styleId="VGraphicLabel">
    <w:name w:val="V Graphic Label"/>
    <w:basedOn w:val="VGraphicEquation"/>
    <w:rsid w:val="00B30984"/>
    <w:pPr>
      <w:spacing w:after="240"/>
    </w:pPr>
    <w:rPr>
      <w:i/>
    </w:rPr>
  </w:style>
  <w:style w:type="paragraph" w:customStyle="1" w:styleId="VSteps">
    <w:name w:val="V Steps"/>
    <w:basedOn w:val="Normal"/>
    <w:rsid w:val="00B30984"/>
    <w:pPr>
      <w:tabs>
        <w:tab w:val="right" w:pos="187"/>
      </w:tabs>
      <w:spacing w:after="240" w:line="240" w:lineRule="exact"/>
      <w:ind w:left="360" w:hanging="720"/>
    </w:pPr>
  </w:style>
  <w:style w:type="paragraph" w:customStyle="1" w:styleId="VBulletsabc">
    <w:name w:val="V Bullets abc"/>
    <w:basedOn w:val="VBullets"/>
    <w:rsid w:val="00B30984"/>
    <w:pPr>
      <w:numPr>
        <w:numId w:val="4"/>
      </w:numPr>
      <w:spacing w:after="60"/>
    </w:pPr>
  </w:style>
  <w:style w:type="paragraph" w:customStyle="1" w:styleId="VStepswBullet">
    <w:name w:val="V Steps w/ Bullet"/>
    <w:basedOn w:val="VSteps"/>
    <w:next w:val="VBulletsabc"/>
    <w:rsid w:val="00B30984"/>
    <w:pPr>
      <w:keepNext/>
      <w:spacing w:after="140"/>
    </w:pPr>
  </w:style>
  <w:style w:type="paragraph" w:customStyle="1" w:styleId="VMaterialslist">
    <w:name w:val="V Materials list"/>
    <w:basedOn w:val="Normal"/>
    <w:rsid w:val="00B30984"/>
    <w:pPr>
      <w:spacing w:line="250" w:lineRule="exact"/>
    </w:pPr>
  </w:style>
  <w:style w:type="paragraph" w:customStyle="1" w:styleId="VBulletsabcfinal">
    <w:name w:val="V Bullets abc final"/>
    <w:basedOn w:val="VBulletsabc"/>
    <w:rsid w:val="00B30984"/>
    <w:pPr>
      <w:spacing w:after="160"/>
    </w:pPr>
  </w:style>
  <w:style w:type="paragraph" w:customStyle="1" w:styleId="VHeadingTop">
    <w:name w:val="V Heading Top"/>
    <w:basedOn w:val="VHeading"/>
    <w:rsid w:val="00B30984"/>
    <w:pPr>
      <w:spacing w:before="0"/>
    </w:pPr>
  </w:style>
  <w:style w:type="paragraph" w:customStyle="1" w:styleId="VStepwroom">
    <w:name w:val="V Step w/ room"/>
    <w:basedOn w:val="Normal"/>
    <w:rsid w:val="00B30984"/>
    <w:pPr>
      <w:tabs>
        <w:tab w:val="right" w:pos="187"/>
      </w:tabs>
      <w:spacing w:after="1200" w:line="240" w:lineRule="exact"/>
      <w:ind w:left="36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921</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DETERMINING THE KSP OF CALCIUM HYDROXIDE</vt:lpstr>
    </vt:vector>
  </TitlesOfParts>
  <Company>Westminster College</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DETERMINING THE KSP OF CALCIUM HYDROXIDE</dc:title>
  <dc:subject/>
  <dc:creator>User</dc:creator>
  <cp:keywords/>
  <dc:description/>
  <cp:lastModifiedBy>Lori S. Martin</cp:lastModifiedBy>
  <cp:revision>2</cp:revision>
  <dcterms:created xsi:type="dcterms:W3CDTF">2020-01-30T18:27:00Z</dcterms:created>
  <dcterms:modified xsi:type="dcterms:W3CDTF">2020-01-30T18:27:00Z</dcterms:modified>
</cp:coreProperties>
</file>