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35" w:rsidRDefault="002E2D35"/>
    <w:p w:rsidR="002E2D35" w:rsidRDefault="002E2D35"/>
    <w:p w:rsidR="002E2D35" w:rsidRDefault="002E2D35">
      <w:pPr>
        <w:rPr>
          <w:b/>
          <w:sz w:val="32"/>
          <w:szCs w:val="32"/>
        </w:rPr>
      </w:pPr>
      <w:r>
        <w:rPr>
          <w:b/>
          <w:sz w:val="32"/>
          <w:szCs w:val="32"/>
        </w:rPr>
        <w:t>SPECTROPHOTOMETRIC ANALYSIS OF ASPIRIN</w:t>
      </w:r>
    </w:p>
    <w:p w:rsidR="002E2D35" w:rsidRDefault="002E2D35">
      <w:pPr>
        <w:rPr>
          <w:b/>
          <w:sz w:val="32"/>
          <w:szCs w:val="32"/>
        </w:rPr>
      </w:pPr>
    </w:p>
    <w:p w:rsidR="002E2D35" w:rsidRDefault="002E2D35" w:rsidP="002E2D35">
      <w:pPr>
        <w:rPr>
          <w:b/>
        </w:rPr>
      </w:pPr>
      <w:r>
        <w:rPr>
          <w:b/>
        </w:rPr>
        <w:t xml:space="preserve">LAB </w:t>
      </w:r>
      <w:smartTag w:uri="urn:schemas-microsoft-com:office:smarttags" w:element="place">
        <w:r>
          <w:rPr>
            <w:b/>
          </w:rPr>
          <w:t>VIS</w:t>
        </w:r>
      </w:smartTag>
      <w:r>
        <w:rPr>
          <w:b/>
        </w:rPr>
        <w:t xml:space="preserve"> 4</w:t>
      </w:r>
    </w:p>
    <w:p w:rsidR="002E2D35" w:rsidRDefault="002E2D35" w:rsidP="002E2D35">
      <w:r>
        <w:t xml:space="preserve">From </w:t>
      </w:r>
      <w:smartTag w:uri="urn:schemas-microsoft-com:office:smarttags" w:element="place">
        <w:r>
          <w:t>Juniata</w:t>
        </w:r>
      </w:smartTag>
      <w:r>
        <w:t xml:space="preserve"> College SIM</w:t>
      </w:r>
    </w:p>
    <w:p w:rsidR="002E2D35" w:rsidRDefault="002E2D35" w:rsidP="002E2D35"/>
    <w:p w:rsidR="002E2D35" w:rsidRDefault="002E2D35" w:rsidP="002E2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:rsidR="002E2D35" w:rsidRDefault="002E2D35" w:rsidP="002E2D35">
      <w:pPr>
        <w:rPr>
          <w:b/>
          <w:sz w:val="28"/>
          <w:szCs w:val="28"/>
        </w:rPr>
      </w:pPr>
    </w:p>
    <w:p w:rsidR="002E2D35" w:rsidRDefault="002E2D35" w:rsidP="002E2D35">
      <w:pPr>
        <w:tabs>
          <w:tab w:val="left" w:pos="450"/>
        </w:tabs>
        <w:spacing w:line="360" w:lineRule="atLeast"/>
        <w:jc w:val="both"/>
        <w:rPr>
          <w:i/>
        </w:rPr>
      </w:pPr>
      <w:r>
        <w:t xml:space="preserve">     A colored complex is formed between aspirin and the iron (III) ion.  The intensity of the color is directly related to the concentration of aspirin </w:t>
      </w:r>
      <w:proofErr w:type="gramStart"/>
      <w:r>
        <w:t>present,</w:t>
      </w:r>
      <w:proofErr w:type="gramEnd"/>
      <w:r>
        <w:t xml:space="preserve"> therefore, spectrophotometric analysis can be used.  A series of solutions with different aspirin concentrati</w:t>
      </w:r>
      <w:r w:rsidR="00B32A54">
        <w:t>ons will be prepared and complet</w:t>
      </w:r>
      <w:r>
        <w:t>ed.  The absorbance of each solution will be measured and a calibration curve will be constructed.  Using the standard curve, the amount of aspirin in a commercial aspirin product can be determined.</w:t>
      </w:r>
    </w:p>
    <w:p w:rsidR="002E2D35" w:rsidRDefault="002E2D35" w:rsidP="002E2D3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1170" w:hanging="1170"/>
        <w:rPr>
          <w:sz w:val="18"/>
        </w:rPr>
      </w:pPr>
      <w:r>
        <w:rPr>
          <w:sz w:val="18"/>
        </w:rPr>
        <w:t xml:space="preserve">    The complex is formed by reacting the aspirin with sodium hydroxide to form the salicylate dianion.</w:t>
      </w:r>
      <w:r>
        <w:rPr>
          <w:sz w:val="18"/>
        </w:rPr>
        <w:tab/>
      </w:r>
    </w:p>
    <w:p w:rsidR="002E2D35" w:rsidRDefault="00440D95" w:rsidP="002E2D3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450"/>
        </w:tabs>
        <w:spacing w:before="120" w:after="240" w:line="360" w:lineRule="atLeast"/>
        <w:jc w:val="center"/>
      </w:pPr>
      <w:r>
        <w:object w:dxaOrig="9464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The complex is formed by reacting the aspirin with sodium hydroxide to form the salicylate dianion." style="width:426pt;height:79.5pt" o:ole="" fillcolor="window">
            <v:imagedata r:id="rId7" o:title=""/>
          </v:shape>
          <o:OLEObject Type="Embed" ProgID="MSDraw" ShapeID="_x0000_i1025" DrawAspect="Content" ObjectID="_1642411452" r:id="rId8">
            <o:FieldCodes>\* mergeformat</o:FieldCodes>
          </o:OLEObject>
        </w:object>
      </w:r>
    </w:p>
    <w:p w:rsidR="002E2D35" w:rsidRDefault="002E2D35" w:rsidP="002E2D35">
      <w:pPr>
        <w:spacing w:line="360" w:lineRule="atLeast"/>
        <w:ind w:left="1170" w:hanging="1170"/>
        <w:rPr>
          <w:i/>
          <w:sz w:val="18"/>
        </w:rPr>
      </w:pPr>
    </w:p>
    <w:p w:rsidR="002E2D35" w:rsidRDefault="002E2D35" w:rsidP="002E2D3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1166" w:hanging="1166"/>
        <w:rPr>
          <w:sz w:val="18"/>
        </w:rPr>
      </w:pPr>
      <w:r>
        <w:rPr>
          <w:sz w:val="18"/>
        </w:rPr>
        <w:t xml:space="preserve">    The addition of acidified iron (III) ion produces the violet </w:t>
      </w:r>
      <w:proofErr w:type="spellStart"/>
      <w:r>
        <w:rPr>
          <w:sz w:val="18"/>
        </w:rPr>
        <w:t>tetraaquosalicylatroiron</w:t>
      </w:r>
      <w:proofErr w:type="spellEnd"/>
      <w:r>
        <w:rPr>
          <w:sz w:val="18"/>
        </w:rPr>
        <w:t xml:space="preserve"> (III) complex.</w:t>
      </w:r>
    </w:p>
    <w:bookmarkStart w:id="0" w:name="_GoBack"/>
    <w:bookmarkEnd w:id="0"/>
    <w:p w:rsidR="002E2D35" w:rsidRDefault="00440D95" w:rsidP="002E2D3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before="120" w:line="360" w:lineRule="atLeast"/>
        <w:ind w:left="1166" w:hanging="1166"/>
        <w:jc w:val="center"/>
        <w:rPr>
          <w:b/>
          <w:sz w:val="18"/>
        </w:rPr>
      </w:pPr>
      <w:r>
        <w:rPr>
          <w:b/>
          <w:sz w:val="18"/>
        </w:rPr>
        <w:object w:dxaOrig="8071" w:dyaOrig="1883">
          <v:shape id="_x0000_i1026" type="#_x0000_t75" alt="    The addition of acidified iron (III) ion produces the violet tetraaquosalicylatroiron (III) complex." style="width:403.5pt;height:94pt" o:ole="" fillcolor="window">
            <v:imagedata r:id="rId9" o:title=""/>
          </v:shape>
          <o:OLEObject Type="Embed" ProgID="MSDraw" ShapeID="_x0000_i1026" DrawAspect="Content" ObjectID="_1642411453" r:id="rId10">
            <o:FieldCodes>\* mergeformat</o:FieldCodes>
          </o:OLEObject>
        </w:object>
      </w:r>
    </w:p>
    <w:p w:rsidR="002E2D35" w:rsidRPr="00574FAB" w:rsidRDefault="002E2D35" w:rsidP="002E2D35">
      <w:pPr>
        <w:tabs>
          <w:tab w:val="left" w:pos="450"/>
        </w:tabs>
        <w:spacing w:line="360" w:lineRule="atLeast"/>
        <w:rPr>
          <w:b/>
          <w:caps/>
          <w:sz w:val="28"/>
          <w:szCs w:val="28"/>
        </w:rPr>
      </w:pPr>
      <w:r w:rsidRPr="00574FAB">
        <w:rPr>
          <w:b/>
          <w:caps/>
          <w:sz w:val="28"/>
          <w:szCs w:val="28"/>
        </w:rPr>
        <w:t>Purpose</w:t>
      </w:r>
    </w:p>
    <w:p w:rsidR="002E2D35" w:rsidRDefault="002E2D35" w:rsidP="002E2D35">
      <w:pPr>
        <w:tabs>
          <w:tab w:val="left" w:pos="450"/>
        </w:tabs>
        <w:spacing w:line="360" w:lineRule="atLeast"/>
      </w:pPr>
      <w:r>
        <w:rPr>
          <w:b/>
        </w:rPr>
        <w:tab/>
      </w:r>
      <w:r>
        <w:t>To determine the amount of aspirin in a commercial aspirin product.</w:t>
      </w:r>
    </w:p>
    <w:p w:rsidR="002E2D35" w:rsidRDefault="002E2D35" w:rsidP="002E2D35">
      <w:pPr>
        <w:tabs>
          <w:tab w:val="left" w:pos="450"/>
        </w:tabs>
        <w:spacing w:line="360" w:lineRule="atLeast"/>
      </w:pPr>
    </w:p>
    <w:p w:rsidR="002E2D35" w:rsidRDefault="002E2D35" w:rsidP="002E2D35">
      <w:pPr>
        <w:tabs>
          <w:tab w:val="left" w:pos="450"/>
        </w:tabs>
        <w:spacing w:line="360" w:lineRule="atLeast"/>
      </w:pPr>
    </w:p>
    <w:p w:rsidR="002E2D35" w:rsidRDefault="002E2D35" w:rsidP="002E2D35">
      <w:pPr>
        <w:tabs>
          <w:tab w:val="left" w:pos="450"/>
        </w:tabs>
        <w:spacing w:line="360" w:lineRule="atLeast"/>
      </w:pPr>
    </w:p>
    <w:p w:rsidR="002E2D35" w:rsidRDefault="002E2D35" w:rsidP="002E2D35"/>
    <w:p w:rsidR="002E2D35" w:rsidRDefault="002E2D35" w:rsidP="002E2D35"/>
    <w:p w:rsidR="002E2D35" w:rsidRDefault="002E2D35" w:rsidP="002E2D3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D35" w:rsidRDefault="002E2D35" w:rsidP="002E2D35">
      <w:smartTag w:uri="urn:schemas-microsoft-com:office:smarttags" w:element="place">
        <w:smartTag w:uri="urn:schemas-microsoft-com:office:smarttags" w:element="PlaceName">
          <w:r>
            <w:t>Westminster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VIS.4-1</w:t>
      </w:r>
    </w:p>
    <w:p w:rsidR="002E2D35" w:rsidRDefault="002E2D35" w:rsidP="002E2D35">
      <w:pPr>
        <w:rPr>
          <w:b/>
          <w:i/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  <w:i/>
          <w:u w:val="single"/>
        </w:rPr>
        <w:t>Spectrophotometric Analysis of Aspirin</w:t>
      </w:r>
    </w:p>
    <w:p w:rsidR="002E2D35" w:rsidRDefault="002E2D35" w:rsidP="002E2D35">
      <w:pPr>
        <w:rPr>
          <w:b/>
          <w:i/>
          <w:u w:val="single"/>
        </w:rPr>
      </w:pPr>
    </w:p>
    <w:p w:rsidR="002E2D35" w:rsidRPr="00574FAB" w:rsidRDefault="002E2D35" w:rsidP="002E2D35">
      <w:pPr>
        <w:tabs>
          <w:tab w:val="left" w:pos="450"/>
        </w:tabs>
        <w:spacing w:line="360" w:lineRule="atLeast"/>
        <w:rPr>
          <w:b/>
          <w:caps/>
          <w:sz w:val="28"/>
          <w:szCs w:val="28"/>
        </w:rPr>
      </w:pPr>
      <w:r w:rsidRPr="00574FAB">
        <w:rPr>
          <w:b/>
          <w:caps/>
          <w:sz w:val="28"/>
          <w:szCs w:val="28"/>
        </w:rPr>
        <w:t>Equipment / Materials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 xml:space="preserve">1- 125 mL </w:t>
            </w:r>
            <w:proofErr w:type="spellStart"/>
            <w:r>
              <w:t>erlenmeyer</w:t>
            </w:r>
            <w:proofErr w:type="spellEnd"/>
            <w:r>
              <w:t xml:space="preserve"> </w:t>
            </w:r>
            <w:proofErr w:type="gramStart"/>
            <w:r>
              <w:t>flask( 6</w:t>
            </w:r>
            <w:proofErr w:type="gramEnd"/>
            <w:r>
              <w:t xml:space="preserve"> if preparing</w:t>
            </w:r>
          </w:p>
          <w:p w:rsidR="002E2D35" w:rsidRDefault="005D0967" w:rsidP="00572F89">
            <w:pPr>
              <w:tabs>
                <w:tab w:val="left" w:pos="450"/>
              </w:tabs>
              <w:spacing w:line="360" w:lineRule="atLeast"/>
            </w:pPr>
            <w:r>
              <w:t xml:space="preserve">    </w:t>
            </w:r>
            <w:r w:rsidR="002E2D35">
              <w:t xml:space="preserve"> standards</w:t>
            </w:r>
          </w:p>
        </w:tc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commercial aspirin product</w:t>
            </w: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10 mL graduated cylinder</w:t>
            </w:r>
          </w:p>
        </w:tc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 xml:space="preserve">acetylsalicylic acid </w:t>
            </w:r>
            <w:proofErr w:type="gramStart"/>
            <w:r>
              <w:t>( if</w:t>
            </w:r>
            <w:proofErr w:type="gramEnd"/>
            <w:r>
              <w:t xml:space="preserve"> preparing standards)</w:t>
            </w: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250 mL volumetric flask</w:t>
            </w:r>
          </w:p>
        </w:tc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1 M NaOH</w:t>
            </w: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Hot Hands or Crucible Tongs</w:t>
            </w:r>
          </w:p>
        </w:tc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0.02 M iron (III) buffer</w:t>
            </w: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5 mL pipet and filling bulb</w:t>
            </w:r>
          </w:p>
        </w:tc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Spectrophotometer</w:t>
            </w: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  <w:r>
              <w:t>Mortar and pestle</w:t>
            </w:r>
          </w:p>
        </w:tc>
        <w:tc>
          <w:tcPr>
            <w:tcW w:w="4428" w:type="dxa"/>
          </w:tcPr>
          <w:p w:rsidR="002E2D35" w:rsidRDefault="002E2D35" w:rsidP="00572F89">
            <w:pPr>
              <w:tabs>
                <w:tab w:val="left" w:pos="450"/>
              </w:tabs>
              <w:spacing w:line="360" w:lineRule="atLeast"/>
            </w:pPr>
          </w:p>
        </w:tc>
      </w:tr>
    </w:tbl>
    <w:p w:rsidR="002E2D35" w:rsidRDefault="002E2D35" w:rsidP="002E2D35">
      <w:pPr>
        <w:tabs>
          <w:tab w:val="left" w:pos="450"/>
        </w:tabs>
        <w:spacing w:line="360" w:lineRule="atLeast"/>
        <w:rPr>
          <w:b/>
          <w:caps/>
        </w:rPr>
      </w:pPr>
    </w:p>
    <w:p w:rsidR="002E2D35" w:rsidRDefault="002E2D35" w:rsidP="002E2D35">
      <w:pPr>
        <w:tabs>
          <w:tab w:val="left" w:pos="450"/>
        </w:tabs>
        <w:spacing w:line="360" w:lineRule="atLeast"/>
        <w:rPr>
          <w:b/>
          <w:caps/>
        </w:rPr>
      </w:pPr>
      <w:r>
        <w:rPr>
          <w:b/>
          <w:caps/>
        </w:rPr>
        <w:t>Safety:</w:t>
      </w:r>
      <w:r>
        <w:rPr>
          <w:b/>
          <w:caps/>
        </w:rPr>
        <w:tab/>
      </w:r>
      <w:r>
        <w:rPr>
          <w:b/>
          <w:caps/>
        </w:rPr>
        <w:tab/>
      </w:r>
    </w:p>
    <w:p w:rsidR="002E2D35" w:rsidRDefault="002E2D35" w:rsidP="002E2D35">
      <w:pPr>
        <w:tabs>
          <w:tab w:val="left" w:pos="450"/>
        </w:tabs>
        <w:spacing w:before="120" w:line="240" w:lineRule="atLeast"/>
        <w:ind w:left="450" w:hanging="450"/>
      </w:pPr>
      <w:r>
        <w:fldChar w:fldCharType="begin"/>
      </w:r>
      <w:r>
        <w:instrText>symbol 183 \f "Symbol" \s 10 \h</w:instrText>
      </w:r>
      <w:r>
        <w:fldChar w:fldCharType="separate"/>
      </w:r>
      <w:r>
        <w:fldChar w:fldCharType="end"/>
      </w:r>
      <w:r>
        <w:tab/>
        <w:t>Always wear goggles and an apron in the lab.</w:t>
      </w:r>
    </w:p>
    <w:p w:rsidR="002E2D35" w:rsidRDefault="002E2D35" w:rsidP="002E2D35">
      <w:pPr>
        <w:pStyle w:val="BodyTextIndent"/>
      </w:pPr>
      <w:r>
        <w:fldChar w:fldCharType="begin"/>
      </w:r>
      <w:r>
        <w:instrText>symbol 183 \f "Symbol" \s 10 \h</w:instrText>
      </w:r>
      <w:r>
        <w:fldChar w:fldCharType="separate"/>
      </w:r>
      <w:r>
        <w:fldChar w:fldCharType="end"/>
      </w:r>
      <w:r>
        <w:tab/>
        <w:t>Be careful while boiling the sodium hydroxide solution.  NaOH solutions are dangerous, especially when hot.</w:t>
      </w:r>
    </w:p>
    <w:p w:rsidR="002E2D35" w:rsidRDefault="002E2D35" w:rsidP="002E2D35">
      <w:pPr>
        <w:tabs>
          <w:tab w:val="left" w:pos="450"/>
        </w:tabs>
        <w:spacing w:line="360" w:lineRule="atLeast"/>
        <w:rPr>
          <w:b/>
          <w:u w:val="single"/>
        </w:rPr>
      </w:pPr>
    </w:p>
    <w:p w:rsidR="002E2D35" w:rsidRDefault="002E2D35" w:rsidP="002E2D35">
      <w:pPr>
        <w:tabs>
          <w:tab w:val="left" w:pos="450"/>
        </w:tabs>
        <w:spacing w:line="360" w:lineRule="atLeast"/>
        <w:rPr>
          <w:b/>
          <w:caps/>
        </w:rPr>
      </w:pPr>
      <w:r>
        <w:rPr>
          <w:b/>
          <w:caps/>
        </w:rPr>
        <w:t>Procedure</w:t>
      </w:r>
    </w:p>
    <w:p w:rsidR="002E2D35" w:rsidRDefault="002E2D35" w:rsidP="002E2D35">
      <w:r>
        <w:t>Preparing the Standards (if not provided)</w:t>
      </w:r>
      <w:r>
        <w:tab/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</w:pPr>
      <w:r>
        <w:t>Mass 400 mg of acetylsalicylic acid in a 125 mL Erlenmeyer flask.  Add 10 mL of a 1 M NaOH solution to the flask and heat to boiling.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</w:pPr>
      <w:r>
        <w:t>Quantitatively transfer the solution to a 250 mL volumetric flask and dilute with distilled water to the mark.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</w:pPr>
      <w:r>
        <w:t>Pipet a 5.0 mL sample of this aspirin standard solution to a 100 mL volumetric flask.  Dilute to the mark with the 0.02 M iron (III) buffer solution.  Label this solution "</w:t>
      </w:r>
      <w:r>
        <w:rPr>
          <w:b/>
          <w:bCs/>
        </w:rPr>
        <w:t>A</w:t>
      </w:r>
      <w:r>
        <w:t>".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</w:pPr>
      <w:r>
        <w:t>Prepare similar solutions with 4.0, 3.0, and 2.0mL portions of the aspirin standard. Label these "</w:t>
      </w:r>
      <w:r>
        <w:rPr>
          <w:b/>
          <w:bCs/>
        </w:rPr>
        <w:t>B</w:t>
      </w:r>
      <w:r>
        <w:t xml:space="preserve">, </w:t>
      </w:r>
      <w:r>
        <w:rPr>
          <w:b/>
          <w:bCs/>
        </w:rPr>
        <w:t>C</w:t>
      </w:r>
      <w:r>
        <w:t xml:space="preserve">, and </w:t>
      </w:r>
      <w:r>
        <w:rPr>
          <w:b/>
          <w:bCs/>
        </w:rPr>
        <w:t>D</w:t>
      </w:r>
      <w:r>
        <w:t>."</w:t>
      </w:r>
    </w:p>
    <w:p w:rsidR="002E2D35" w:rsidRDefault="002E2D35" w:rsidP="002E2D35">
      <w:pPr>
        <w:tabs>
          <w:tab w:val="left" w:pos="450"/>
        </w:tabs>
        <w:spacing w:before="100" w:beforeAutospacing="1"/>
      </w:pPr>
      <w:r>
        <w:t>Unknown and Blank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</w:pPr>
      <w:r>
        <w:t>Using a commercial aspirin product, follow steps 1 through 3.  Label the final solution by brand.  This is the “</w:t>
      </w:r>
      <w:r>
        <w:rPr>
          <w:b/>
          <w:bCs/>
        </w:rPr>
        <w:t>unknown solution</w:t>
      </w:r>
      <w:r>
        <w:t xml:space="preserve">”.  </w:t>
      </w:r>
    </w:p>
    <w:p w:rsidR="002E2D35" w:rsidRDefault="002E2D35" w:rsidP="002E2D35">
      <w:pPr>
        <w:numPr>
          <w:ilvl w:val="0"/>
          <w:numId w:val="1"/>
        </w:numPr>
        <w:tabs>
          <w:tab w:val="left" w:pos="0"/>
          <w:tab w:val="left" w:pos="450"/>
        </w:tabs>
        <w:spacing w:before="100" w:beforeAutospacing="1"/>
        <w:ind w:right="-806"/>
      </w:pPr>
      <w:r>
        <w:t>Fill the one of the cuvettes about 3/4 full with 0.02 M iron (III) buffer.  This is the "</w:t>
      </w:r>
      <w:r>
        <w:rPr>
          <w:b/>
          <w:bCs/>
        </w:rPr>
        <w:t>blank cuvette</w:t>
      </w:r>
      <w:r>
        <w:t xml:space="preserve">".    </w:t>
      </w:r>
    </w:p>
    <w:p w:rsidR="002E2D35" w:rsidRDefault="002E2D35" w:rsidP="002E2D35">
      <w:pPr>
        <w:numPr>
          <w:ilvl w:val="0"/>
          <w:numId w:val="1"/>
        </w:numPr>
        <w:tabs>
          <w:tab w:val="left" w:pos="0"/>
          <w:tab w:val="left" w:pos="450"/>
        </w:tabs>
        <w:spacing w:before="100" w:beforeAutospacing="1"/>
        <w:ind w:right="-806"/>
      </w:pPr>
      <w:r>
        <w:t xml:space="preserve">Fill one of the other cuvettes about 3/4 full with solution </w:t>
      </w:r>
      <w:r>
        <w:rPr>
          <w:b/>
          <w:bCs/>
        </w:rPr>
        <w:t>A</w:t>
      </w:r>
      <w:r>
        <w:t xml:space="preserve">. 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>Set the spectrophotometer to 530 nm.</w:t>
      </w:r>
    </w:p>
    <w:p w:rsidR="002E2D35" w:rsidRDefault="002E2D35" w:rsidP="002E2D35">
      <w:pPr>
        <w:tabs>
          <w:tab w:val="left" w:pos="450"/>
        </w:tabs>
        <w:spacing w:before="100" w:beforeAutospacing="1"/>
        <w:ind w:right="-806"/>
      </w:pPr>
    </w:p>
    <w:p w:rsidR="002E2D35" w:rsidRDefault="002E2D35" w:rsidP="002E2D35">
      <w:pPr>
        <w:tabs>
          <w:tab w:val="left" w:pos="450"/>
        </w:tabs>
        <w:spacing w:before="100" w:beforeAutospacing="1"/>
        <w:ind w:right="-80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D35" w:rsidRDefault="002E2D35" w:rsidP="002E2D35">
      <w:smartTag w:uri="urn:schemas-microsoft-com:office:smarttags" w:element="place">
        <w:smartTag w:uri="urn:schemas-microsoft-com:office:smarttags" w:element="PlaceName">
          <w:r>
            <w:t>Westminster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VIS.4-2</w:t>
      </w:r>
    </w:p>
    <w:p w:rsidR="002E2D35" w:rsidRDefault="002E2D35" w:rsidP="002E2D35"/>
    <w:p w:rsidR="002E2D35" w:rsidRPr="002E2D35" w:rsidRDefault="002E2D35" w:rsidP="002E2D35">
      <w:pPr>
        <w:rPr>
          <w:b/>
          <w:i/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  <w:i/>
          <w:u w:val="single"/>
        </w:rPr>
        <w:t>Spectrophotometric Analysis of Aspirin</w:t>
      </w:r>
    </w:p>
    <w:p w:rsidR="002E2D35" w:rsidRDefault="002E2D35" w:rsidP="002E2D35">
      <w:pPr>
        <w:numPr>
          <w:ilvl w:val="0"/>
          <w:numId w:val="1"/>
        </w:numPr>
        <w:spacing w:before="100" w:beforeAutospacing="1"/>
      </w:pPr>
      <w:r>
        <w:t xml:space="preserve">Place the blank cuvette into the sample compartment of the spectrophotometer.  </w:t>
      </w:r>
    </w:p>
    <w:p w:rsidR="002E2D35" w:rsidRDefault="002E2D35" w:rsidP="002E2D35">
      <w:pPr>
        <w:spacing w:before="100" w:beforeAutospacing="1"/>
        <w:ind w:left="1440"/>
      </w:pPr>
      <w:r>
        <w:rPr>
          <w:b/>
        </w:rPr>
        <w:t>Note:</w:t>
      </w:r>
      <w:r>
        <w:t xml:space="preserve">  Before inserting a cuvette into the spectrophotometer, wipe it clean and dry with a </w:t>
      </w:r>
      <w:proofErr w:type="spellStart"/>
      <w:r>
        <w:t>kimwipe</w:t>
      </w:r>
      <w:proofErr w:type="spellEnd"/>
      <w:r>
        <w:t xml:space="preserve">, and make sure that the solution is free of bubbles.  Do not touch the clear sides of the cuvette.  Ensure that the </w:t>
      </w:r>
      <w:proofErr w:type="spellStart"/>
      <w:r>
        <w:t>curvette</w:t>
      </w:r>
      <w:proofErr w:type="spellEnd"/>
      <w:r>
        <w:t xml:space="preserve"> is always </w:t>
      </w:r>
      <w:proofErr w:type="spellStart"/>
      <w:r>
        <w:t>insesrted</w:t>
      </w:r>
      <w:proofErr w:type="spellEnd"/>
      <w:r>
        <w:t xml:space="preserve"> into the holder so that the light path passes through the same part of the </w:t>
      </w:r>
      <w:proofErr w:type="spellStart"/>
      <w:r>
        <w:t>curvette</w:t>
      </w:r>
      <w:proofErr w:type="spellEnd"/>
      <w:r>
        <w:t xml:space="preserve"> every time.</w:t>
      </w:r>
    </w:p>
    <w:p w:rsidR="002E2D35" w:rsidRDefault="002E2D35" w:rsidP="002E2D35">
      <w:pPr>
        <w:numPr>
          <w:ilvl w:val="0"/>
          <w:numId w:val="1"/>
        </w:numPr>
        <w:spacing w:before="100" w:beforeAutospacing="1"/>
      </w:pPr>
      <w:proofErr w:type="gramStart"/>
      <w:r>
        <w:t xml:space="preserve">Press  </w:t>
      </w:r>
      <w:r>
        <w:rPr>
          <w:bdr w:val="single" w:sz="4" w:space="0" w:color="auto"/>
        </w:rPr>
        <w:t>0</w:t>
      </w:r>
      <w:proofErr w:type="gramEnd"/>
      <w:r>
        <w:rPr>
          <w:bdr w:val="single" w:sz="4" w:space="0" w:color="auto"/>
        </w:rPr>
        <w:t xml:space="preserve"> ABS 100%T</w:t>
      </w:r>
      <w:r>
        <w:t xml:space="preserve">.  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>Remove the blank cuvette from the instrument.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 xml:space="preserve">Place the cuvette containing solution </w:t>
      </w:r>
      <w:r>
        <w:rPr>
          <w:b/>
          <w:bCs/>
        </w:rPr>
        <w:t>A</w:t>
      </w:r>
      <w:r>
        <w:t xml:space="preserve"> into the spectrophotometer.  Make sure that the triangle on the cuvette is facing the front of the instrument.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 xml:space="preserve">Record the absorbance of solution </w:t>
      </w:r>
      <w:r>
        <w:rPr>
          <w:b/>
          <w:bCs/>
        </w:rPr>
        <w:t>A</w:t>
      </w:r>
      <w:r>
        <w:t xml:space="preserve"> in the Data Table.  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 xml:space="preserve">Remove the cuvette containing solution </w:t>
      </w:r>
      <w:r>
        <w:rPr>
          <w:b/>
          <w:bCs/>
        </w:rPr>
        <w:t>A</w:t>
      </w:r>
      <w:r>
        <w:t xml:space="preserve"> from the instrument.  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 xml:space="preserve">Repeat steps 12 – 14 for solutions </w:t>
      </w:r>
      <w:r>
        <w:rPr>
          <w:b/>
          <w:bCs/>
        </w:rPr>
        <w:t>B</w:t>
      </w:r>
      <w:r>
        <w:t xml:space="preserve">, </w:t>
      </w:r>
      <w:proofErr w:type="gramStart"/>
      <w:r>
        <w:rPr>
          <w:b/>
          <w:bCs/>
        </w:rPr>
        <w:t>C</w:t>
      </w:r>
      <w:r>
        <w:t>,  and</w:t>
      </w:r>
      <w:proofErr w:type="gramEnd"/>
      <w:r>
        <w:t xml:space="preserve"> </w:t>
      </w:r>
      <w:r>
        <w:rPr>
          <w:b/>
        </w:rPr>
        <w:t xml:space="preserve">D, </w:t>
      </w:r>
      <w:r>
        <w:t xml:space="preserve">and the </w:t>
      </w:r>
      <w:r>
        <w:rPr>
          <w:b/>
          <w:bCs/>
        </w:rPr>
        <w:t>unknown solution</w:t>
      </w:r>
      <w:r>
        <w:t xml:space="preserve">.  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>Plot the graph of absorbance of the standards versus the concentration.</w:t>
      </w:r>
    </w:p>
    <w:p w:rsidR="002E2D35" w:rsidRDefault="002E2D35" w:rsidP="002E2D35">
      <w:pPr>
        <w:numPr>
          <w:ilvl w:val="0"/>
          <w:numId w:val="1"/>
        </w:numPr>
        <w:tabs>
          <w:tab w:val="left" w:pos="450"/>
        </w:tabs>
        <w:spacing w:before="100" w:beforeAutospacing="1"/>
        <w:ind w:right="-806"/>
      </w:pPr>
      <w:r>
        <w:t xml:space="preserve">Determine the concentration of the unknown from the graph using the absorbance measured. </w:t>
      </w:r>
    </w:p>
    <w:p w:rsidR="002E2D35" w:rsidRDefault="002E2D35" w:rsidP="002E2D35">
      <w:pPr>
        <w:tabs>
          <w:tab w:val="left" w:pos="450"/>
        </w:tabs>
        <w:spacing w:line="360" w:lineRule="atLeast"/>
      </w:pPr>
      <w:r>
        <w:rPr>
          <w:b/>
          <w:caps/>
        </w:rPr>
        <w:t>Data TABLE</w:t>
      </w:r>
    </w:p>
    <w:p w:rsidR="002E2D35" w:rsidRDefault="002E2D35" w:rsidP="002E2D35">
      <w:pPr>
        <w:tabs>
          <w:tab w:val="left" w:pos="450"/>
        </w:tabs>
        <w:spacing w:line="240" w:lineRule="atLeast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610"/>
      </w:tblGrid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rPr>
                <w:b/>
              </w:rPr>
              <w:t>Solution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rPr>
                <w:b/>
              </w:rPr>
              <w:t>Concentration (mg/L)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rPr>
                <w:b/>
              </w:rPr>
              <w:t>Absorbance</w:t>
            </w: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t>A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t>B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t>C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  <w:r>
              <w:t>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</w:pPr>
          </w:p>
        </w:tc>
      </w:tr>
      <w:tr w:rsidR="002E2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  <w:rPr>
                <w:i/>
              </w:rPr>
            </w:pPr>
            <w:r>
              <w:rPr>
                <w:i/>
              </w:rPr>
              <w:t>unknown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  <w:rPr>
                <w:i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D35" w:rsidRDefault="002E2D35" w:rsidP="00572F89">
            <w:pPr>
              <w:tabs>
                <w:tab w:val="left" w:pos="450"/>
              </w:tabs>
              <w:spacing w:before="120" w:after="120" w:line="240" w:lineRule="atLeast"/>
              <w:jc w:val="center"/>
              <w:rPr>
                <w:i/>
              </w:rPr>
            </w:pPr>
          </w:p>
        </w:tc>
      </w:tr>
    </w:tbl>
    <w:p w:rsidR="002E2D35" w:rsidRDefault="002E2D35" w:rsidP="002E2D35">
      <w:pPr>
        <w:tabs>
          <w:tab w:val="left" w:pos="450"/>
        </w:tabs>
        <w:spacing w:line="240" w:lineRule="atLeast"/>
        <w:jc w:val="center"/>
      </w:pPr>
    </w:p>
    <w:p w:rsidR="002E2D35" w:rsidRDefault="002E2D35" w:rsidP="002E2D35">
      <w:pPr>
        <w:tabs>
          <w:tab w:val="left" w:pos="450"/>
        </w:tabs>
        <w:spacing w:line="240" w:lineRule="atLeast"/>
        <w:ind w:left="720"/>
      </w:pPr>
    </w:p>
    <w:p w:rsidR="002E2D35" w:rsidRDefault="002E2D35" w:rsidP="002E2D35">
      <w:pPr>
        <w:tabs>
          <w:tab w:val="left" w:pos="450"/>
        </w:tabs>
        <w:spacing w:line="240" w:lineRule="atLeast"/>
        <w:ind w:left="720"/>
      </w:pPr>
    </w:p>
    <w:p w:rsidR="002E2D35" w:rsidRDefault="002E2D35" w:rsidP="002E2D35">
      <w:pPr>
        <w:tabs>
          <w:tab w:val="left" w:pos="450"/>
        </w:tabs>
        <w:spacing w:line="240" w:lineRule="atLeast"/>
        <w:ind w:left="720"/>
      </w:pPr>
    </w:p>
    <w:p w:rsidR="002E2D35" w:rsidRDefault="002E2D35" w:rsidP="002E2D35">
      <w:pPr>
        <w:tabs>
          <w:tab w:val="left" w:pos="450"/>
        </w:tabs>
        <w:spacing w:line="240" w:lineRule="atLeast"/>
        <w:ind w:left="720"/>
        <w:rPr>
          <w:b/>
          <w:u w:val="single"/>
        </w:rPr>
      </w:pPr>
      <w:r>
        <w:rPr>
          <w:b/>
        </w:rPr>
        <w:t xml:space="preserve">amount of aspirin in unknown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  <w:t xml:space="preserve"> </w:t>
      </w:r>
      <w:r>
        <w:rPr>
          <w:b/>
        </w:rPr>
        <w:t xml:space="preserve"> mg</w:t>
      </w:r>
      <w:proofErr w:type="gramEnd"/>
    </w:p>
    <w:p w:rsidR="002E2D35" w:rsidRDefault="002E2D35" w:rsidP="002E2D35">
      <w:pPr>
        <w:tabs>
          <w:tab w:val="left" w:pos="450"/>
        </w:tabs>
        <w:spacing w:line="240" w:lineRule="atLeast"/>
        <w:ind w:left="720"/>
        <w:rPr>
          <w:b/>
        </w:rPr>
      </w:pPr>
    </w:p>
    <w:p w:rsidR="002E2D35" w:rsidRDefault="002E2D35" w:rsidP="002E2D35">
      <w:pPr>
        <w:tabs>
          <w:tab w:val="left" w:pos="450"/>
        </w:tabs>
        <w:spacing w:line="240" w:lineRule="atLeast"/>
        <w:ind w:left="720"/>
        <w:rPr>
          <w:b/>
        </w:rPr>
      </w:pPr>
      <w:r>
        <w:rPr>
          <w:b/>
        </w:rPr>
        <w:t>accepted value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  <w:t xml:space="preserve"> </w:t>
      </w:r>
      <w:r>
        <w:rPr>
          <w:b/>
        </w:rPr>
        <w:t xml:space="preserve"> mg</w:t>
      </w:r>
      <w:proofErr w:type="gramEnd"/>
    </w:p>
    <w:p w:rsidR="002E2D35" w:rsidRDefault="002E2D35" w:rsidP="002E2D35">
      <w:pPr>
        <w:tabs>
          <w:tab w:val="left" w:pos="450"/>
        </w:tabs>
        <w:spacing w:line="240" w:lineRule="atLeast"/>
        <w:rPr>
          <w:b/>
        </w:rPr>
      </w:pPr>
    </w:p>
    <w:p w:rsidR="002E2D35" w:rsidRDefault="002E2D35" w:rsidP="002E2D35">
      <w:pPr>
        <w:tabs>
          <w:tab w:val="left" w:pos="450"/>
        </w:tabs>
        <w:spacing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percent error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___________________%</w:t>
      </w:r>
    </w:p>
    <w:p w:rsidR="002E2D35" w:rsidRDefault="002E2D35" w:rsidP="002E2D35">
      <w:pPr>
        <w:rPr>
          <w:b/>
          <w:u w:val="single"/>
        </w:rPr>
      </w:pPr>
    </w:p>
    <w:p w:rsidR="002E2D35" w:rsidRDefault="002E2D35" w:rsidP="002E2D35">
      <w:pPr>
        <w:rPr>
          <w:b/>
          <w:u w:val="single"/>
        </w:rPr>
      </w:pPr>
    </w:p>
    <w:p w:rsidR="002E2D35" w:rsidRDefault="002E2D35" w:rsidP="002E2D35"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  <w:r w:rsidRPr="002E2D35">
        <w:rPr>
          <w:u w:val="single"/>
        </w:rPr>
        <w:tab/>
      </w:r>
    </w:p>
    <w:p w:rsidR="002E2D35" w:rsidRDefault="002E2D35" w:rsidP="002E2D35">
      <w:smartTag w:uri="urn:schemas-microsoft-com:office:smarttags" w:element="place">
        <w:smartTag w:uri="urn:schemas-microsoft-com:office:smarttags" w:element="PlaceName">
          <w:r>
            <w:t>Westminster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VIS.4-3</w:t>
      </w:r>
    </w:p>
    <w:p w:rsidR="002E2D35" w:rsidRDefault="002E2D35" w:rsidP="002E2D35">
      <w:pPr>
        <w:rPr>
          <w:b/>
          <w:i/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  <w:i/>
          <w:u w:val="single"/>
        </w:rPr>
        <w:t>Spectrophotometric Analysis of Aspirin</w:t>
      </w:r>
    </w:p>
    <w:p w:rsidR="002E2D35" w:rsidRDefault="002E2D35" w:rsidP="002E2D35">
      <w:pPr>
        <w:rPr>
          <w:b/>
          <w:i/>
          <w:u w:val="single"/>
        </w:rPr>
      </w:pPr>
    </w:p>
    <w:p w:rsidR="005D0967" w:rsidRDefault="005D0967" w:rsidP="005D0967">
      <w:pPr>
        <w:tabs>
          <w:tab w:val="left" w:pos="450"/>
        </w:tabs>
        <w:spacing w:line="240" w:lineRule="atLeast"/>
        <w:rPr>
          <w:b/>
          <w:caps/>
        </w:rPr>
      </w:pPr>
      <w:r>
        <w:rPr>
          <w:b/>
          <w:caps/>
        </w:rPr>
        <w:t>Questions</w:t>
      </w:r>
    </w:p>
    <w:p w:rsidR="005D0967" w:rsidRDefault="005D0967" w:rsidP="005D0967">
      <w:pPr>
        <w:tabs>
          <w:tab w:val="left" w:pos="450"/>
        </w:tabs>
        <w:spacing w:line="240" w:lineRule="atLeast"/>
        <w:rPr>
          <w:b/>
        </w:rPr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  <w:r>
        <w:t>1.</w:t>
      </w:r>
      <w:r>
        <w:tab/>
        <w:t>Explain why the wavelength of 530 nm was used.</w:t>
      </w: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  <w:r>
        <w:t>2.</w:t>
      </w:r>
      <w:r>
        <w:tab/>
        <w:t>How did the concentration of your aspirin solution compare to the accepted value?</w:t>
      </w: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</w:pPr>
    </w:p>
    <w:p w:rsidR="005D0967" w:rsidRDefault="005D0967" w:rsidP="005D0967">
      <w:pPr>
        <w:tabs>
          <w:tab w:val="left" w:pos="450"/>
        </w:tabs>
        <w:spacing w:line="240" w:lineRule="atLeast"/>
        <w:ind w:left="504" w:hanging="504"/>
        <w:rPr>
          <w:b/>
        </w:rPr>
      </w:pPr>
      <w:r>
        <w:t xml:space="preserve">3. </w:t>
      </w:r>
      <w:r>
        <w:tab/>
        <w:t>Is it better to buy generic or brand name aspirin?   Support your conclusion.</w:t>
      </w:r>
    </w:p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5D0967" w:rsidRDefault="005D0967" w:rsidP="002E2D35"/>
    <w:p w:rsidR="00CB5305" w:rsidRDefault="00CB5305" w:rsidP="002E2D35"/>
    <w:p w:rsidR="005D0967" w:rsidRDefault="005D0967" w:rsidP="002E2D35"/>
    <w:p w:rsidR="005D0967" w:rsidRDefault="005D0967" w:rsidP="002E2D3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D35" w:rsidRPr="002E2D35" w:rsidRDefault="005D0967" w:rsidP="002E2D35">
      <w:smartTag w:uri="urn:schemas-microsoft-com:office:smarttags" w:element="place">
        <w:smartTag w:uri="urn:schemas-microsoft-com:office:smarttags" w:element="PlaceName">
          <w:r>
            <w:t>Westminster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VIS.4-4</w:t>
      </w:r>
    </w:p>
    <w:sectPr w:rsidR="002E2D35" w:rsidRPr="002E2D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65" w:rsidRDefault="00AC7D65">
      <w:r>
        <w:separator/>
      </w:r>
    </w:p>
  </w:endnote>
  <w:endnote w:type="continuationSeparator" w:id="0">
    <w:p w:rsidR="00AC7D65" w:rsidRDefault="00AC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65" w:rsidRDefault="00AC7D65">
      <w:r>
        <w:separator/>
      </w:r>
    </w:p>
  </w:footnote>
  <w:footnote w:type="continuationSeparator" w:id="0">
    <w:p w:rsidR="00AC7D65" w:rsidRDefault="00AC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BC"/>
    <w:multiLevelType w:val="hybridMultilevel"/>
    <w:tmpl w:val="D6840948"/>
    <w:lvl w:ilvl="0" w:tplc="F834AAF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5"/>
    <w:rsid w:val="002E2D35"/>
    <w:rsid w:val="00440D95"/>
    <w:rsid w:val="00572F89"/>
    <w:rsid w:val="005D0967"/>
    <w:rsid w:val="00AC7D65"/>
    <w:rsid w:val="00B32A54"/>
    <w:rsid w:val="00CB5305"/>
    <w:rsid w:val="00D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  <w15:chartTrackingRefBased/>
  <w15:docId w15:val="{6EEC1FE5-B589-4AFE-A8D3-266AA6F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E2D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D3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E2D35"/>
    <w:pPr>
      <w:ind w:left="720"/>
    </w:pPr>
    <w:rPr>
      <w:i/>
      <w:szCs w:val="20"/>
    </w:rPr>
  </w:style>
  <w:style w:type="paragraph" w:styleId="DocumentMap">
    <w:name w:val="Document Map"/>
    <w:basedOn w:val="Normal"/>
    <w:semiHidden/>
    <w:rsid w:val="005D09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SPECTROPHOTOMETRIC ANALYSIS OF ASPIRIN</vt:lpstr>
    </vt:vector>
  </TitlesOfParts>
  <Company>Westminster College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SPECTROPHOTOMETRIC ANALYSIS OF ASPIRIN</dc:title>
  <dc:subject/>
  <dc:creator>User</dc:creator>
  <cp:keywords/>
  <dc:description/>
  <cp:lastModifiedBy>Lori S. Martin</cp:lastModifiedBy>
  <cp:revision>2</cp:revision>
  <cp:lastPrinted>2005-06-13T17:59:00Z</cp:lastPrinted>
  <dcterms:created xsi:type="dcterms:W3CDTF">2020-02-05T17:38:00Z</dcterms:created>
  <dcterms:modified xsi:type="dcterms:W3CDTF">2020-02-05T17:38:00Z</dcterms:modified>
</cp:coreProperties>
</file>