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706B" w14:textId="1FF7EA97" w:rsidR="00F20D5E" w:rsidRPr="00783C18" w:rsidRDefault="00103AD2" w:rsidP="00103AD2">
      <w:pPr>
        <w:jc w:val="center"/>
        <w:rPr>
          <w:sz w:val="24"/>
          <w:szCs w:val="24"/>
        </w:rPr>
      </w:pPr>
      <w:r>
        <w:rPr>
          <w:noProof/>
        </w:rPr>
        <w:drawing>
          <wp:inline distT="0" distB="0" distL="0" distR="0" wp14:anchorId="04EF5F54" wp14:editId="6E28BD07">
            <wp:extent cx="5810250" cy="1409700"/>
            <wp:effectExtent l="0" t="0" r="0" b="0"/>
            <wp:docPr id="1" name="image2.gif" descr="cid:76F90BF9-9262-4E7D-9B32-A9D07B5352B8@hsd1.ca.comcast.net."/>
            <wp:cNvGraphicFramePr/>
            <a:graphic xmlns:a="http://schemas.openxmlformats.org/drawingml/2006/main">
              <a:graphicData uri="http://schemas.openxmlformats.org/drawingml/2006/picture">
                <pic:pic xmlns:pic="http://schemas.openxmlformats.org/drawingml/2006/picture">
                  <pic:nvPicPr>
                    <pic:cNvPr id="1" name="image2.gif" descr="cid:76F90BF9-9262-4E7D-9B32-A9D07B5352B8@hsd1.ca.comcast.ne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0" cy="1409700"/>
                    </a:xfrm>
                    <a:prstGeom prst="rect">
                      <a:avLst/>
                    </a:prstGeom>
                    <a:noFill/>
                    <a:ln>
                      <a:noFill/>
                    </a:ln>
                  </pic:spPr>
                </pic:pic>
              </a:graphicData>
            </a:graphic>
          </wp:inline>
        </w:drawing>
      </w:r>
    </w:p>
    <w:p w14:paraId="2095BCC0" w14:textId="77777777" w:rsidR="00103AD2" w:rsidRDefault="00103AD2" w:rsidP="00B56EF3">
      <w:pPr>
        <w:spacing w:after="0" w:line="240" w:lineRule="auto"/>
        <w:rPr>
          <w:sz w:val="24"/>
          <w:szCs w:val="24"/>
        </w:rPr>
      </w:pPr>
    </w:p>
    <w:p w14:paraId="6B85ACA6" w14:textId="7CFA121C" w:rsidR="00F20D5E" w:rsidRPr="00783C18" w:rsidRDefault="00BD3BC6" w:rsidP="00B56EF3">
      <w:pPr>
        <w:spacing w:after="0" w:line="240" w:lineRule="auto"/>
        <w:rPr>
          <w:sz w:val="24"/>
          <w:szCs w:val="24"/>
        </w:rPr>
      </w:pPr>
      <w:r w:rsidRPr="00783C18">
        <w:rPr>
          <w:sz w:val="24"/>
          <w:szCs w:val="24"/>
        </w:rPr>
        <w:t>TO:</w:t>
      </w:r>
      <w:r w:rsidRPr="00783C18">
        <w:rPr>
          <w:sz w:val="24"/>
          <w:szCs w:val="24"/>
        </w:rPr>
        <w:tab/>
        <w:t>Permit Sonoma   Attention:  Wil Lyons</w:t>
      </w:r>
    </w:p>
    <w:p w14:paraId="6ABB664D" w14:textId="724902FD" w:rsidR="00EA30F6" w:rsidRPr="00783C18" w:rsidRDefault="00EA30F6" w:rsidP="00B56EF3">
      <w:pPr>
        <w:spacing w:after="0" w:line="240" w:lineRule="auto"/>
        <w:rPr>
          <w:sz w:val="24"/>
          <w:szCs w:val="24"/>
        </w:rPr>
      </w:pPr>
      <w:r w:rsidRPr="00783C18">
        <w:rPr>
          <w:sz w:val="24"/>
          <w:szCs w:val="24"/>
        </w:rPr>
        <w:tab/>
      </w:r>
      <w:hyperlink r:id="rId9" w:history="1">
        <w:r w:rsidR="001964E6" w:rsidRPr="00C87B1E">
          <w:rPr>
            <w:rStyle w:val="Hyperlink"/>
            <w:sz w:val="24"/>
            <w:szCs w:val="24"/>
          </w:rPr>
          <w:t>SDC@sonomacounty.gov</w:t>
        </w:r>
      </w:hyperlink>
      <w:r w:rsidR="001964E6">
        <w:rPr>
          <w:sz w:val="24"/>
          <w:szCs w:val="24"/>
        </w:rPr>
        <w:t xml:space="preserve"> </w:t>
      </w:r>
    </w:p>
    <w:p w14:paraId="0723F833" w14:textId="77777777" w:rsidR="00F20D5E" w:rsidRPr="00783C18" w:rsidRDefault="00F20D5E" w:rsidP="00B56EF3">
      <w:pPr>
        <w:spacing w:after="0" w:line="240" w:lineRule="auto"/>
        <w:rPr>
          <w:sz w:val="24"/>
          <w:szCs w:val="24"/>
        </w:rPr>
      </w:pPr>
    </w:p>
    <w:p w14:paraId="4EFC3EF3" w14:textId="520F7FDB" w:rsidR="00AB3D45" w:rsidRPr="00783C18" w:rsidRDefault="00B56EF3" w:rsidP="00B56EF3">
      <w:pPr>
        <w:spacing w:after="0" w:line="240" w:lineRule="auto"/>
        <w:rPr>
          <w:sz w:val="24"/>
          <w:szCs w:val="24"/>
        </w:rPr>
      </w:pPr>
      <w:r w:rsidRPr="00783C18">
        <w:rPr>
          <w:sz w:val="24"/>
          <w:szCs w:val="24"/>
        </w:rPr>
        <w:t>RE:</w:t>
      </w:r>
      <w:r w:rsidRPr="00783C18">
        <w:rPr>
          <w:sz w:val="24"/>
          <w:szCs w:val="24"/>
        </w:rPr>
        <w:tab/>
      </w:r>
      <w:r w:rsidR="000A3B5F" w:rsidRPr="00783C18">
        <w:rPr>
          <w:sz w:val="24"/>
          <w:szCs w:val="24"/>
        </w:rPr>
        <w:t>Comments for Sonoma Developmental Center NOP</w:t>
      </w:r>
    </w:p>
    <w:p w14:paraId="6552EA93" w14:textId="454BE80E" w:rsidR="00B56EF3" w:rsidRPr="00783C18" w:rsidRDefault="00B56EF3" w:rsidP="00B56EF3">
      <w:pPr>
        <w:spacing w:after="0" w:line="240" w:lineRule="auto"/>
        <w:rPr>
          <w:sz w:val="24"/>
          <w:szCs w:val="24"/>
        </w:rPr>
      </w:pPr>
      <w:r w:rsidRPr="00783C18">
        <w:rPr>
          <w:sz w:val="24"/>
          <w:szCs w:val="24"/>
        </w:rPr>
        <w:tab/>
        <w:t>SDC Campus Specific Plan and PLP24-0005</w:t>
      </w:r>
    </w:p>
    <w:p w14:paraId="335FBCC7" w14:textId="77777777" w:rsidR="00B56EF3" w:rsidRPr="00783C18" w:rsidRDefault="00B56EF3">
      <w:pPr>
        <w:rPr>
          <w:sz w:val="24"/>
          <w:szCs w:val="24"/>
        </w:rPr>
      </w:pPr>
    </w:p>
    <w:p w14:paraId="05DC62AE" w14:textId="3010CC46" w:rsidR="00B56EF3" w:rsidRPr="00783C18" w:rsidRDefault="00B56EF3">
      <w:pPr>
        <w:rPr>
          <w:sz w:val="24"/>
          <w:szCs w:val="24"/>
        </w:rPr>
      </w:pPr>
      <w:r w:rsidRPr="00783C18">
        <w:rPr>
          <w:sz w:val="24"/>
          <w:szCs w:val="24"/>
        </w:rPr>
        <w:t xml:space="preserve">DATE:  </w:t>
      </w:r>
      <w:r w:rsidR="00EC5A5D" w:rsidRPr="00783C18">
        <w:rPr>
          <w:sz w:val="24"/>
          <w:szCs w:val="24"/>
        </w:rPr>
        <w:t xml:space="preserve"> September</w:t>
      </w:r>
      <w:r w:rsidR="00B40637" w:rsidRPr="00783C18">
        <w:rPr>
          <w:sz w:val="24"/>
          <w:szCs w:val="24"/>
        </w:rPr>
        <w:t xml:space="preserve"> </w:t>
      </w:r>
      <w:r w:rsidR="00E029E5">
        <w:rPr>
          <w:sz w:val="24"/>
          <w:szCs w:val="24"/>
        </w:rPr>
        <w:t>26</w:t>
      </w:r>
      <w:r w:rsidR="00EC5A5D" w:rsidRPr="00783C18">
        <w:rPr>
          <w:sz w:val="24"/>
          <w:szCs w:val="24"/>
        </w:rPr>
        <w:t xml:space="preserve"> , 2025</w:t>
      </w:r>
    </w:p>
    <w:p w14:paraId="4EE2BF9D" w14:textId="77777777" w:rsidR="00EC5A5D" w:rsidRDefault="00EC5A5D">
      <w:pPr>
        <w:rPr>
          <w:sz w:val="24"/>
          <w:szCs w:val="24"/>
          <w:u w:val="single"/>
        </w:rPr>
      </w:pPr>
    </w:p>
    <w:p w14:paraId="772DAE65" w14:textId="77777777" w:rsidR="00F924A3" w:rsidRDefault="006659ED" w:rsidP="00657A50">
      <w:pPr>
        <w:jc w:val="both"/>
        <w:rPr>
          <w:sz w:val="24"/>
          <w:szCs w:val="24"/>
        </w:rPr>
      </w:pPr>
      <w:r w:rsidRPr="00B62EC5">
        <w:rPr>
          <w:sz w:val="24"/>
          <w:szCs w:val="24"/>
        </w:rPr>
        <w:tab/>
        <w:t>Attached please find</w:t>
      </w:r>
      <w:r w:rsidR="00B62EC5">
        <w:rPr>
          <w:sz w:val="24"/>
          <w:szCs w:val="24"/>
        </w:rPr>
        <w:t xml:space="preserve"> comments from the Valley of the Moon Alliance (VOTMA)</w:t>
      </w:r>
      <w:r w:rsidR="00296466" w:rsidRPr="00151D84">
        <w:rPr>
          <w:sz w:val="24"/>
          <w:szCs w:val="24"/>
        </w:rPr>
        <w:t xml:space="preserve"> for the SDC NOP and SDC Specific Plan development. </w:t>
      </w:r>
      <w:r w:rsidR="00125FB4">
        <w:rPr>
          <w:sz w:val="24"/>
          <w:szCs w:val="24"/>
        </w:rPr>
        <w:t xml:space="preserve">  </w:t>
      </w:r>
    </w:p>
    <w:p w14:paraId="703DE273" w14:textId="5E6686A3" w:rsidR="0098698F" w:rsidRDefault="00125FB4" w:rsidP="00657A50">
      <w:pPr>
        <w:spacing w:after="0" w:line="240" w:lineRule="auto"/>
        <w:ind w:firstLine="360"/>
        <w:jc w:val="both"/>
        <w:rPr>
          <w:sz w:val="24"/>
          <w:szCs w:val="24"/>
        </w:rPr>
      </w:pPr>
      <w:r w:rsidRPr="006C01AB">
        <w:rPr>
          <w:sz w:val="24"/>
          <w:szCs w:val="24"/>
        </w:rPr>
        <w:t xml:space="preserve">Also attached is </w:t>
      </w:r>
      <w:r w:rsidR="00E402F9" w:rsidRPr="006C01AB">
        <w:rPr>
          <w:sz w:val="24"/>
          <w:szCs w:val="24"/>
        </w:rPr>
        <w:t>the Provide, Protect and Preserve Alternative</w:t>
      </w:r>
      <w:r w:rsidR="003B725A" w:rsidRPr="006C01AB">
        <w:rPr>
          <w:sz w:val="24"/>
          <w:szCs w:val="24"/>
        </w:rPr>
        <w:t xml:space="preserve"> </w:t>
      </w:r>
      <w:r w:rsidR="00DB6A49" w:rsidRPr="006C01AB">
        <w:rPr>
          <w:sz w:val="24"/>
          <w:szCs w:val="24"/>
        </w:rPr>
        <w:t xml:space="preserve">plan </w:t>
      </w:r>
      <w:r w:rsidR="003B725A" w:rsidRPr="006C01AB">
        <w:rPr>
          <w:sz w:val="24"/>
          <w:szCs w:val="24"/>
        </w:rPr>
        <w:t xml:space="preserve">which VOTMA supports.  </w:t>
      </w:r>
      <w:r w:rsidR="00DB6A49" w:rsidRPr="006C01AB">
        <w:rPr>
          <w:sz w:val="24"/>
          <w:szCs w:val="24"/>
        </w:rPr>
        <w:t xml:space="preserve">We note that this </w:t>
      </w:r>
      <w:r w:rsidR="00D80819" w:rsidRPr="006C01AB">
        <w:rPr>
          <w:sz w:val="24"/>
          <w:szCs w:val="24"/>
        </w:rPr>
        <w:t xml:space="preserve">reasonable and feasible </w:t>
      </w:r>
      <w:r w:rsidR="006508A3">
        <w:rPr>
          <w:sz w:val="24"/>
          <w:szCs w:val="24"/>
        </w:rPr>
        <w:t>a</w:t>
      </w:r>
      <w:r w:rsidR="00DB6A49" w:rsidRPr="006C01AB">
        <w:rPr>
          <w:sz w:val="24"/>
          <w:szCs w:val="24"/>
        </w:rPr>
        <w:t xml:space="preserve">lternative fulfills the SDC Enabling legislation mandate to make </w:t>
      </w:r>
      <w:r w:rsidR="00D23914" w:rsidRPr="006C01AB">
        <w:rPr>
          <w:sz w:val="24"/>
          <w:szCs w:val="24"/>
        </w:rPr>
        <w:t>housing a priority</w:t>
      </w:r>
      <w:r w:rsidR="00BC3C88" w:rsidRPr="006C01AB">
        <w:rPr>
          <w:sz w:val="24"/>
          <w:szCs w:val="24"/>
        </w:rPr>
        <w:t>.  The 470 residences propos</w:t>
      </w:r>
      <w:r w:rsidR="0098698F">
        <w:rPr>
          <w:sz w:val="24"/>
          <w:szCs w:val="24"/>
        </w:rPr>
        <w:t>al</w:t>
      </w:r>
      <w:r w:rsidR="00BC3C88" w:rsidRPr="006C01AB">
        <w:rPr>
          <w:sz w:val="24"/>
          <w:szCs w:val="24"/>
        </w:rPr>
        <w:t xml:space="preserve"> in this alternative focus on providing affordable housing and would create </w:t>
      </w:r>
      <w:r w:rsidR="00F44F56" w:rsidRPr="006C01AB">
        <w:rPr>
          <w:sz w:val="24"/>
          <w:szCs w:val="24"/>
        </w:rPr>
        <w:t>an estimated 1,156 new residents</w:t>
      </w:r>
      <w:r w:rsidR="00B11429">
        <w:rPr>
          <w:rStyle w:val="FootnoteReference"/>
          <w:sz w:val="24"/>
          <w:szCs w:val="24"/>
        </w:rPr>
        <w:footnoteReference w:id="1"/>
      </w:r>
      <w:r w:rsidR="00F44F56" w:rsidRPr="006C01AB">
        <w:rPr>
          <w:sz w:val="24"/>
          <w:szCs w:val="24"/>
        </w:rPr>
        <w:t xml:space="preserve"> on the property</w:t>
      </w:r>
      <w:r w:rsidR="00F7078B" w:rsidRPr="006C01AB">
        <w:rPr>
          <w:sz w:val="24"/>
          <w:szCs w:val="24"/>
        </w:rPr>
        <w:t>.  T</w:t>
      </w:r>
      <w:r w:rsidR="00665CD7" w:rsidRPr="006C01AB">
        <w:rPr>
          <w:sz w:val="24"/>
          <w:szCs w:val="24"/>
        </w:rPr>
        <w:t xml:space="preserve">hat would more than double the current Glen Ellen population.  </w:t>
      </w:r>
    </w:p>
    <w:p w14:paraId="5C164155" w14:textId="77777777" w:rsidR="0098698F" w:rsidRDefault="0098698F" w:rsidP="00657A50">
      <w:pPr>
        <w:spacing w:after="0" w:line="240" w:lineRule="auto"/>
        <w:ind w:firstLine="360"/>
        <w:jc w:val="both"/>
        <w:rPr>
          <w:sz w:val="24"/>
          <w:szCs w:val="24"/>
        </w:rPr>
      </w:pPr>
    </w:p>
    <w:p w14:paraId="13B91BFB" w14:textId="6DB29C65" w:rsidR="00ED557B" w:rsidRDefault="006A65DB" w:rsidP="00657A50">
      <w:pPr>
        <w:spacing w:after="0" w:line="240" w:lineRule="auto"/>
        <w:ind w:firstLine="360"/>
        <w:jc w:val="both"/>
        <w:rPr>
          <w:sz w:val="24"/>
          <w:szCs w:val="24"/>
        </w:rPr>
      </w:pPr>
      <w:r w:rsidRPr="006C01AB">
        <w:rPr>
          <w:sz w:val="24"/>
          <w:szCs w:val="24"/>
        </w:rPr>
        <w:t>The Alternative is</w:t>
      </w:r>
      <w:r w:rsidR="00ED557B" w:rsidRPr="006C01AB">
        <w:rPr>
          <w:sz w:val="24"/>
          <w:szCs w:val="24"/>
        </w:rPr>
        <w:t xml:space="preserve"> </w:t>
      </w:r>
      <w:r w:rsidRPr="006C01AB">
        <w:rPr>
          <w:sz w:val="24"/>
          <w:szCs w:val="24"/>
        </w:rPr>
        <w:t xml:space="preserve">environmentally superior </w:t>
      </w:r>
      <w:r w:rsidR="0013696F">
        <w:rPr>
          <w:sz w:val="24"/>
          <w:szCs w:val="24"/>
        </w:rPr>
        <w:t>to the Edridge R</w:t>
      </w:r>
      <w:r w:rsidR="00181947">
        <w:rPr>
          <w:sz w:val="24"/>
          <w:szCs w:val="24"/>
        </w:rPr>
        <w:t>e</w:t>
      </w:r>
      <w:r w:rsidR="0013696F">
        <w:rPr>
          <w:sz w:val="24"/>
          <w:szCs w:val="24"/>
        </w:rPr>
        <w:t>newal</w:t>
      </w:r>
      <w:r w:rsidR="00181947">
        <w:rPr>
          <w:sz w:val="24"/>
          <w:szCs w:val="24"/>
        </w:rPr>
        <w:t xml:space="preserve"> proposal </w:t>
      </w:r>
      <w:r w:rsidRPr="006C01AB">
        <w:rPr>
          <w:sz w:val="24"/>
          <w:szCs w:val="24"/>
        </w:rPr>
        <w:t>as it</w:t>
      </w:r>
      <w:r w:rsidR="00D465BB" w:rsidRPr="006C01AB">
        <w:rPr>
          <w:sz w:val="24"/>
          <w:szCs w:val="24"/>
        </w:rPr>
        <w:t xml:space="preserve"> would</w:t>
      </w:r>
      <w:r w:rsidR="00A268D8" w:rsidRPr="006C01AB">
        <w:rPr>
          <w:sz w:val="24"/>
          <w:szCs w:val="24"/>
        </w:rPr>
        <w:t>, in</w:t>
      </w:r>
      <w:r w:rsidR="00BC6A53" w:rsidRPr="006C01AB">
        <w:rPr>
          <w:sz w:val="24"/>
          <w:szCs w:val="24"/>
        </w:rPr>
        <w:t>t</w:t>
      </w:r>
      <w:r w:rsidR="00A268D8" w:rsidRPr="006C01AB">
        <w:rPr>
          <w:sz w:val="24"/>
          <w:szCs w:val="24"/>
        </w:rPr>
        <w:t>er alia,</w:t>
      </w:r>
      <w:r w:rsidR="00D465BB" w:rsidRPr="006C01AB">
        <w:rPr>
          <w:sz w:val="24"/>
          <w:szCs w:val="24"/>
        </w:rPr>
        <w:t xml:space="preserve"> </w:t>
      </w:r>
      <w:r w:rsidR="00C931FF" w:rsidRPr="006C01AB">
        <w:rPr>
          <w:sz w:val="24"/>
          <w:szCs w:val="24"/>
        </w:rPr>
        <w:t>produce less</w:t>
      </w:r>
      <w:r w:rsidR="00D465BB" w:rsidRPr="006C01AB">
        <w:rPr>
          <w:sz w:val="24"/>
          <w:szCs w:val="24"/>
        </w:rPr>
        <w:t xml:space="preserve"> air pollution</w:t>
      </w:r>
      <w:r w:rsidR="006C01AB">
        <w:rPr>
          <w:sz w:val="24"/>
          <w:szCs w:val="24"/>
        </w:rPr>
        <w:t xml:space="preserve"> (including from the proposed demolition</w:t>
      </w:r>
      <w:r w:rsidR="00BD6D45">
        <w:rPr>
          <w:sz w:val="24"/>
          <w:szCs w:val="24"/>
        </w:rPr>
        <w:t xml:space="preserve"> and disposal</w:t>
      </w:r>
      <w:r w:rsidR="0011647F">
        <w:rPr>
          <w:sz w:val="24"/>
          <w:szCs w:val="24"/>
        </w:rPr>
        <w:t>)</w:t>
      </w:r>
      <w:r w:rsidR="00EF651E" w:rsidRPr="006C01AB">
        <w:rPr>
          <w:sz w:val="24"/>
          <w:szCs w:val="24"/>
        </w:rPr>
        <w:t>, require less water supplies, produce less additional wastewater and stormwater</w:t>
      </w:r>
      <w:r w:rsidR="00C931FF" w:rsidRPr="006C01AB">
        <w:rPr>
          <w:sz w:val="24"/>
          <w:szCs w:val="24"/>
        </w:rPr>
        <w:t xml:space="preserve">, </w:t>
      </w:r>
      <w:r w:rsidR="008E2E77" w:rsidRPr="006C01AB">
        <w:rPr>
          <w:sz w:val="24"/>
          <w:szCs w:val="24"/>
        </w:rPr>
        <w:t>and have less impact on the wildlife corridor</w:t>
      </w:r>
      <w:r w:rsidR="00ED557B" w:rsidRPr="006C01AB">
        <w:rPr>
          <w:sz w:val="24"/>
          <w:szCs w:val="24"/>
        </w:rPr>
        <w:t>.</w:t>
      </w:r>
      <w:r w:rsidR="00F9291E" w:rsidRPr="006C01AB">
        <w:rPr>
          <w:sz w:val="24"/>
          <w:szCs w:val="24"/>
        </w:rPr>
        <w:t xml:space="preserve">  </w:t>
      </w:r>
      <w:r w:rsidR="00ED557B" w:rsidRPr="006C01AB">
        <w:rPr>
          <w:sz w:val="24"/>
          <w:szCs w:val="24"/>
        </w:rPr>
        <w:t>The Alternative</w:t>
      </w:r>
      <w:r w:rsidR="00C76BFF" w:rsidRPr="006C01AB">
        <w:rPr>
          <w:sz w:val="24"/>
          <w:szCs w:val="24"/>
        </w:rPr>
        <w:t xml:space="preserve">’s lesser </w:t>
      </w:r>
      <w:r w:rsidR="00D95305" w:rsidRPr="006C01AB">
        <w:rPr>
          <w:sz w:val="24"/>
          <w:szCs w:val="24"/>
        </w:rPr>
        <w:t>density</w:t>
      </w:r>
      <w:r w:rsidR="00C76BFF" w:rsidRPr="006C01AB">
        <w:rPr>
          <w:sz w:val="24"/>
          <w:szCs w:val="24"/>
        </w:rPr>
        <w:t xml:space="preserve"> would also </w:t>
      </w:r>
      <w:r w:rsidR="00D95305" w:rsidRPr="006C01AB">
        <w:rPr>
          <w:sz w:val="24"/>
          <w:szCs w:val="24"/>
        </w:rPr>
        <w:t>be better from a fire risk reduction and fire evacuation perspective</w:t>
      </w:r>
      <w:r w:rsidR="00003E68" w:rsidRPr="006C01AB">
        <w:rPr>
          <w:sz w:val="24"/>
          <w:szCs w:val="24"/>
        </w:rPr>
        <w:t xml:space="preserve">, as well as less additional stress on County infrastructure.  </w:t>
      </w:r>
    </w:p>
    <w:p w14:paraId="34FC96E6" w14:textId="1AB60650" w:rsidR="006C01AB" w:rsidRPr="006C01AB" w:rsidRDefault="006C01AB" w:rsidP="006C01AB">
      <w:pPr>
        <w:spacing w:after="0" w:line="240" w:lineRule="auto"/>
        <w:rPr>
          <w:sz w:val="24"/>
          <w:szCs w:val="24"/>
        </w:rPr>
      </w:pPr>
      <w:bookmarkStart w:id="0" w:name="_Hlk209686261"/>
    </w:p>
    <w:bookmarkEnd w:id="0"/>
    <w:p w14:paraId="13C083B9" w14:textId="6D34C37F" w:rsidR="00A268D8" w:rsidRDefault="00AB4696" w:rsidP="00484DB7">
      <w:pPr>
        <w:ind w:firstLine="720"/>
        <w:jc w:val="both"/>
        <w:rPr>
          <w:sz w:val="24"/>
          <w:szCs w:val="24"/>
        </w:rPr>
      </w:pPr>
      <w:r w:rsidRPr="00151D84">
        <w:rPr>
          <w:sz w:val="24"/>
          <w:szCs w:val="24"/>
        </w:rPr>
        <w:t>Respectfully submitted,</w:t>
      </w:r>
    </w:p>
    <w:p w14:paraId="5A6207A6" w14:textId="77777777" w:rsidR="00484DB7" w:rsidRDefault="00484DB7" w:rsidP="00A268D8">
      <w:pPr>
        <w:spacing w:after="0" w:line="240" w:lineRule="auto"/>
        <w:ind w:firstLine="720"/>
        <w:jc w:val="both"/>
        <w:rPr>
          <w:sz w:val="24"/>
          <w:szCs w:val="24"/>
        </w:rPr>
      </w:pPr>
    </w:p>
    <w:p w14:paraId="7050C8DE" w14:textId="77777777" w:rsidR="00484DB7" w:rsidRDefault="00484DB7" w:rsidP="00A268D8">
      <w:pPr>
        <w:spacing w:after="0" w:line="240" w:lineRule="auto"/>
        <w:ind w:firstLine="720"/>
        <w:jc w:val="both"/>
        <w:rPr>
          <w:sz w:val="24"/>
          <w:szCs w:val="24"/>
        </w:rPr>
      </w:pPr>
    </w:p>
    <w:p w14:paraId="761B6066" w14:textId="77777777" w:rsidR="00484DB7" w:rsidRDefault="00484DB7" w:rsidP="002D4EFA">
      <w:pPr>
        <w:spacing w:after="0" w:line="240" w:lineRule="auto"/>
        <w:jc w:val="both"/>
        <w:rPr>
          <w:sz w:val="24"/>
          <w:szCs w:val="24"/>
        </w:rPr>
      </w:pPr>
    </w:p>
    <w:p w14:paraId="53916682" w14:textId="77777777" w:rsidR="00484DB7" w:rsidRDefault="00484DB7" w:rsidP="00484DB7">
      <w:pPr>
        <w:spacing w:after="0" w:line="240" w:lineRule="auto"/>
        <w:ind w:firstLine="720"/>
        <w:jc w:val="both"/>
        <w:rPr>
          <w:sz w:val="24"/>
          <w:szCs w:val="24"/>
        </w:rPr>
      </w:pPr>
      <w:r>
        <w:rPr>
          <w:sz w:val="24"/>
          <w:szCs w:val="24"/>
        </w:rPr>
        <w:t>Kathy Pons, President</w:t>
      </w:r>
    </w:p>
    <w:p w14:paraId="61CEC1B3" w14:textId="23917EF9" w:rsidR="00AB4696" w:rsidRPr="002D4EFA" w:rsidRDefault="00AB4696" w:rsidP="002D4EFA">
      <w:pPr>
        <w:spacing w:after="0" w:line="240" w:lineRule="auto"/>
        <w:ind w:firstLine="720"/>
        <w:jc w:val="both"/>
        <w:rPr>
          <w:sz w:val="24"/>
          <w:szCs w:val="24"/>
        </w:rPr>
      </w:pPr>
      <w:r w:rsidRPr="00151D84">
        <w:rPr>
          <w:sz w:val="24"/>
          <w:szCs w:val="24"/>
        </w:rPr>
        <w:t>The Valley of the Moon Alliance</w:t>
      </w:r>
      <w:r w:rsidRPr="00151D84">
        <w:rPr>
          <w:b/>
          <w:bCs/>
          <w:sz w:val="24"/>
          <w:szCs w:val="24"/>
          <w:u w:val="single"/>
        </w:rPr>
        <w:t xml:space="preserve"> </w:t>
      </w:r>
    </w:p>
    <w:p w14:paraId="51420383" w14:textId="39BD790C" w:rsidR="00AB4696" w:rsidRDefault="00FE7CA3" w:rsidP="00FE7CA3">
      <w:pPr>
        <w:ind w:firstLine="720"/>
        <w:jc w:val="center"/>
        <w:rPr>
          <w:sz w:val="24"/>
          <w:szCs w:val="24"/>
        </w:rPr>
      </w:pPr>
      <w:r>
        <w:rPr>
          <w:noProof/>
        </w:rPr>
        <w:lastRenderedPageBreak/>
        <w:drawing>
          <wp:inline distT="0" distB="0" distL="0" distR="0" wp14:anchorId="34D9A517" wp14:editId="1C9F3421">
            <wp:extent cx="5810250" cy="1409700"/>
            <wp:effectExtent l="0" t="0" r="0" b="0"/>
            <wp:docPr id="1297176840" name="image2.gif" descr="cid:76F90BF9-9262-4E7D-9B32-A9D07B5352B8@hsd1.ca.comcast.net."/>
            <wp:cNvGraphicFramePr/>
            <a:graphic xmlns:a="http://schemas.openxmlformats.org/drawingml/2006/main">
              <a:graphicData uri="http://schemas.openxmlformats.org/drawingml/2006/picture">
                <pic:pic xmlns:pic="http://schemas.openxmlformats.org/drawingml/2006/picture">
                  <pic:nvPicPr>
                    <pic:cNvPr id="1" name="image2.gif" descr="cid:76F90BF9-9262-4E7D-9B32-A9D07B5352B8@hsd1.ca.comcast.ne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0" cy="1409700"/>
                    </a:xfrm>
                    <a:prstGeom prst="rect">
                      <a:avLst/>
                    </a:prstGeom>
                    <a:noFill/>
                    <a:ln>
                      <a:noFill/>
                    </a:ln>
                  </pic:spPr>
                </pic:pic>
              </a:graphicData>
            </a:graphic>
          </wp:inline>
        </w:drawing>
      </w:r>
    </w:p>
    <w:p w14:paraId="14941C80" w14:textId="77777777" w:rsidR="00FE7CA3" w:rsidRDefault="00FE7CA3" w:rsidP="00FE7CA3">
      <w:pPr>
        <w:spacing w:after="0" w:line="240" w:lineRule="auto"/>
        <w:jc w:val="center"/>
        <w:rPr>
          <w:b/>
          <w:bCs/>
          <w:sz w:val="24"/>
          <w:szCs w:val="24"/>
        </w:rPr>
      </w:pPr>
    </w:p>
    <w:p w14:paraId="59AD4531" w14:textId="33FD3983" w:rsidR="00FE7CA3" w:rsidRPr="00FE7CA3" w:rsidRDefault="00FE7CA3" w:rsidP="00FE7CA3">
      <w:pPr>
        <w:spacing w:after="0" w:line="240" w:lineRule="auto"/>
        <w:jc w:val="center"/>
        <w:rPr>
          <w:b/>
          <w:bCs/>
          <w:sz w:val="24"/>
          <w:szCs w:val="24"/>
        </w:rPr>
      </w:pPr>
      <w:r w:rsidRPr="00FE7CA3">
        <w:rPr>
          <w:b/>
          <w:bCs/>
          <w:sz w:val="24"/>
          <w:szCs w:val="24"/>
        </w:rPr>
        <w:t>Comments for Sonoma Developmental Center NOP</w:t>
      </w:r>
    </w:p>
    <w:p w14:paraId="674441E3" w14:textId="2A16490D" w:rsidR="00FE7CA3" w:rsidRPr="00FE7CA3" w:rsidRDefault="00FE7CA3" w:rsidP="00FE7CA3">
      <w:pPr>
        <w:spacing w:after="0" w:line="240" w:lineRule="auto"/>
        <w:jc w:val="center"/>
        <w:rPr>
          <w:b/>
          <w:bCs/>
          <w:sz w:val="24"/>
          <w:szCs w:val="24"/>
        </w:rPr>
      </w:pPr>
      <w:r w:rsidRPr="00FE7CA3">
        <w:rPr>
          <w:b/>
          <w:bCs/>
          <w:sz w:val="24"/>
          <w:szCs w:val="24"/>
        </w:rPr>
        <w:t>SDC Campus Specific Plan and PLP24-0005</w:t>
      </w:r>
    </w:p>
    <w:p w14:paraId="0D71008F" w14:textId="77777777" w:rsidR="00AB4696" w:rsidRPr="00151D84" w:rsidRDefault="00AB4696" w:rsidP="00F9291E">
      <w:pPr>
        <w:ind w:firstLine="720"/>
        <w:jc w:val="both"/>
        <w:rPr>
          <w:sz w:val="24"/>
          <w:szCs w:val="24"/>
        </w:rPr>
      </w:pPr>
    </w:p>
    <w:p w14:paraId="4703A1C2" w14:textId="6DB18907" w:rsidR="000A3B5F" w:rsidRPr="00151D84" w:rsidRDefault="002F3349">
      <w:pPr>
        <w:rPr>
          <w:sz w:val="24"/>
          <w:szCs w:val="24"/>
          <w:u w:val="single"/>
        </w:rPr>
      </w:pPr>
      <w:r w:rsidRPr="00151D84">
        <w:rPr>
          <w:sz w:val="24"/>
          <w:szCs w:val="24"/>
          <w:u w:val="single"/>
        </w:rPr>
        <w:t>Water Supplies and Waste Water Treatment</w:t>
      </w:r>
    </w:p>
    <w:p w14:paraId="02ACACE9" w14:textId="556D25B2" w:rsidR="00DC2561" w:rsidRPr="00151D84" w:rsidRDefault="000A3B5F" w:rsidP="000B5954">
      <w:pPr>
        <w:ind w:firstLine="720"/>
        <w:jc w:val="both"/>
        <w:rPr>
          <w:sz w:val="24"/>
          <w:szCs w:val="24"/>
        </w:rPr>
      </w:pPr>
      <w:r w:rsidRPr="00151D84">
        <w:rPr>
          <w:sz w:val="24"/>
          <w:szCs w:val="24"/>
        </w:rPr>
        <w:t>The EIR analysis of the developer’s proposal</w:t>
      </w:r>
      <w:r w:rsidR="004E23BE" w:rsidRPr="00151D84">
        <w:rPr>
          <w:sz w:val="24"/>
          <w:szCs w:val="24"/>
        </w:rPr>
        <w:t>, the Specific Plan,</w:t>
      </w:r>
      <w:r w:rsidRPr="00151D84">
        <w:rPr>
          <w:sz w:val="24"/>
          <w:szCs w:val="24"/>
        </w:rPr>
        <w:t xml:space="preserve"> and </w:t>
      </w:r>
      <w:r w:rsidR="004E23BE" w:rsidRPr="00151D84">
        <w:rPr>
          <w:sz w:val="24"/>
          <w:szCs w:val="24"/>
        </w:rPr>
        <w:t>alternatives</w:t>
      </w:r>
      <w:r w:rsidR="00F146CF" w:rsidRPr="00151D84">
        <w:rPr>
          <w:sz w:val="24"/>
          <w:szCs w:val="24"/>
        </w:rPr>
        <w:t xml:space="preserve"> </w:t>
      </w:r>
      <w:r w:rsidRPr="00151D84">
        <w:rPr>
          <w:sz w:val="24"/>
          <w:szCs w:val="24"/>
        </w:rPr>
        <w:t xml:space="preserve">needs to address the </w:t>
      </w:r>
      <w:r w:rsidR="00C80609" w:rsidRPr="00151D84">
        <w:rPr>
          <w:sz w:val="24"/>
          <w:szCs w:val="24"/>
        </w:rPr>
        <w:t>source(s) and</w:t>
      </w:r>
      <w:r w:rsidRPr="00151D84">
        <w:rPr>
          <w:sz w:val="24"/>
          <w:szCs w:val="24"/>
        </w:rPr>
        <w:t xml:space="preserve"> the </w:t>
      </w:r>
      <w:r w:rsidR="00B56616" w:rsidRPr="00151D84">
        <w:rPr>
          <w:sz w:val="24"/>
          <w:szCs w:val="24"/>
        </w:rPr>
        <w:t xml:space="preserve">quantitative </w:t>
      </w:r>
      <w:r w:rsidRPr="00151D84">
        <w:rPr>
          <w:sz w:val="24"/>
          <w:szCs w:val="24"/>
        </w:rPr>
        <w:t>adequacy of water supplies</w:t>
      </w:r>
      <w:r w:rsidR="00F15B6C" w:rsidRPr="00151D84">
        <w:rPr>
          <w:sz w:val="24"/>
          <w:szCs w:val="24"/>
        </w:rPr>
        <w:t xml:space="preserve"> to meet th</w:t>
      </w:r>
      <w:r w:rsidR="00BD61A9" w:rsidRPr="00151D84">
        <w:rPr>
          <w:sz w:val="24"/>
          <w:szCs w:val="24"/>
        </w:rPr>
        <w:t>e</w:t>
      </w:r>
      <w:r w:rsidR="00F15B6C" w:rsidRPr="00151D84">
        <w:rPr>
          <w:sz w:val="24"/>
          <w:szCs w:val="24"/>
        </w:rPr>
        <w:t xml:space="preserve"> respective needs</w:t>
      </w:r>
      <w:r w:rsidR="00BD61A9" w:rsidRPr="00151D84">
        <w:rPr>
          <w:sz w:val="24"/>
          <w:szCs w:val="24"/>
        </w:rPr>
        <w:t xml:space="preserve"> of those proposals</w:t>
      </w:r>
      <w:r w:rsidR="00C80609" w:rsidRPr="00151D84">
        <w:rPr>
          <w:sz w:val="24"/>
          <w:szCs w:val="24"/>
        </w:rPr>
        <w:t>,</w:t>
      </w:r>
      <w:r w:rsidRPr="00151D84">
        <w:rPr>
          <w:sz w:val="24"/>
          <w:szCs w:val="24"/>
        </w:rPr>
        <w:t xml:space="preserve"> the </w:t>
      </w:r>
      <w:r w:rsidR="00C80609" w:rsidRPr="00151D84">
        <w:rPr>
          <w:sz w:val="24"/>
          <w:szCs w:val="24"/>
        </w:rPr>
        <w:t xml:space="preserve">legal </w:t>
      </w:r>
      <w:r w:rsidRPr="00151D84">
        <w:rPr>
          <w:sz w:val="24"/>
          <w:szCs w:val="24"/>
        </w:rPr>
        <w:t>right</w:t>
      </w:r>
      <w:r w:rsidR="00C80609" w:rsidRPr="00151D84">
        <w:rPr>
          <w:sz w:val="24"/>
          <w:szCs w:val="24"/>
        </w:rPr>
        <w:t>s</w:t>
      </w:r>
      <w:r w:rsidRPr="00151D84">
        <w:rPr>
          <w:sz w:val="24"/>
          <w:szCs w:val="24"/>
        </w:rPr>
        <w:t xml:space="preserve"> to use that water, </w:t>
      </w:r>
      <w:r w:rsidR="00C80609" w:rsidRPr="00151D84">
        <w:rPr>
          <w:sz w:val="24"/>
          <w:szCs w:val="24"/>
        </w:rPr>
        <w:t xml:space="preserve">whether groundwater is to be extracted </w:t>
      </w:r>
      <w:r w:rsidR="00C522B0" w:rsidRPr="00151D84">
        <w:rPr>
          <w:sz w:val="24"/>
          <w:szCs w:val="24"/>
        </w:rPr>
        <w:t xml:space="preserve">to supply the project </w:t>
      </w:r>
      <w:r w:rsidR="00C05387" w:rsidRPr="00151D84">
        <w:rPr>
          <w:sz w:val="24"/>
          <w:szCs w:val="24"/>
        </w:rPr>
        <w:t xml:space="preserve">or its alternative </w:t>
      </w:r>
      <w:r w:rsidR="00C80609" w:rsidRPr="00151D84">
        <w:rPr>
          <w:sz w:val="24"/>
          <w:szCs w:val="24"/>
        </w:rPr>
        <w:t>and</w:t>
      </w:r>
      <w:r w:rsidR="00C522B0" w:rsidRPr="00151D84">
        <w:rPr>
          <w:sz w:val="24"/>
          <w:szCs w:val="24"/>
        </w:rPr>
        <w:t>,</w:t>
      </w:r>
      <w:r w:rsidR="00C80609" w:rsidRPr="00151D84">
        <w:rPr>
          <w:sz w:val="24"/>
          <w:szCs w:val="24"/>
        </w:rPr>
        <w:t xml:space="preserve"> if so</w:t>
      </w:r>
      <w:r w:rsidR="00C522B0" w:rsidRPr="00151D84">
        <w:rPr>
          <w:sz w:val="24"/>
          <w:szCs w:val="24"/>
        </w:rPr>
        <w:t>,</w:t>
      </w:r>
      <w:r w:rsidR="00C80609" w:rsidRPr="00151D84">
        <w:rPr>
          <w:sz w:val="24"/>
          <w:szCs w:val="24"/>
        </w:rPr>
        <w:t xml:space="preserve"> how much and the effect of such wells</w:t>
      </w:r>
      <w:r w:rsidR="00FF2555" w:rsidRPr="00151D84">
        <w:rPr>
          <w:sz w:val="24"/>
          <w:szCs w:val="24"/>
        </w:rPr>
        <w:t>’ groundwater extraction</w:t>
      </w:r>
      <w:r w:rsidR="00C80609" w:rsidRPr="00151D84">
        <w:rPr>
          <w:sz w:val="24"/>
          <w:szCs w:val="24"/>
        </w:rPr>
        <w:t xml:space="preserve"> on the Valley aquifers</w:t>
      </w:r>
      <w:r w:rsidR="00F15B6C" w:rsidRPr="00151D84">
        <w:rPr>
          <w:sz w:val="24"/>
          <w:szCs w:val="24"/>
        </w:rPr>
        <w:t xml:space="preserve">.  </w:t>
      </w:r>
      <w:r w:rsidR="005D02AA">
        <w:rPr>
          <w:rFonts w:eastAsia="Times New Roman"/>
          <w:color w:val="000000"/>
          <w:sz w:val="24"/>
          <w:szCs w:val="24"/>
        </w:rPr>
        <w:t xml:space="preserve">If </w:t>
      </w:r>
      <w:r w:rsidR="008343A6">
        <w:rPr>
          <w:rFonts w:eastAsia="Times New Roman"/>
          <w:color w:val="000000"/>
          <w:sz w:val="24"/>
          <w:szCs w:val="24"/>
        </w:rPr>
        <w:t>groundwater extraction is to occur, t</w:t>
      </w:r>
      <w:r w:rsidR="002800B8" w:rsidRPr="00151D84">
        <w:rPr>
          <w:rFonts w:eastAsia="Times New Roman"/>
          <w:color w:val="000000"/>
          <w:sz w:val="24"/>
          <w:szCs w:val="24"/>
        </w:rPr>
        <w:t>he analysis should also include an assessment of groundwater extraction on streamflow amounts and duration and on any associated impact on riparian habitat.</w:t>
      </w:r>
    </w:p>
    <w:p w14:paraId="7A8EA464" w14:textId="4A773DB8" w:rsidR="00B20697" w:rsidRPr="00151D84" w:rsidRDefault="00C216D4" w:rsidP="0019371E">
      <w:pPr>
        <w:ind w:firstLine="720"/>
        <w:jc w:val="both"/>
        <w:rPr>
          <w:sz w:val="24"/>
          <w:szCs w:val="24"/>
        </w:rPr>
      </w:pPr>
      <w:r w:rsidRPr="00151D84">
        <w:rPr>
          <w:sz w:val="24"/>
          <w:szCs w:val="24"/>
        </w:rPr>
        <w:t>Th</w:t>
      </w:r>
      <w:r w:rsidR="00CD2620" w:rsidRPr="00151D84">
        <w:rPr>
          <w:sz w:val="24"/>
          <w:szCs w:val="24"/>
        </w:rPr>
        <w:t>e water supply</w:t>
      </w:r>
      <w:r w:rsidRPr="00151D84">
        <w:rPr>
          <w:sz w:val="24"/>
          <w:szCs w:val="24"/>
        </w:rPr>
        <w:t xml:space="preserve"> analysis needs to include the water </w:t>
      </w:r>
      <w:r w:rsidR="00057F69" w:rsidRPr="00151D84">
        <w:rPr>
          <w:sz w:val="24"/>
          <w:szCs w:val="24"/>
        </w:rPr>
        <w:t xml:space="preserve">rights and </w:t>
      </w:r>
      <w:r w:rsidRPr="00151D84">
        <w:rPr>
          <w:sz w:val="24"/>
          <w:szCs w:val="24"/>
        </w:rPr>
        <w:t xml:space="preserve">needs of the </w:t>
      </w:r>
      <w:r w:rsidR="00057F69" w:rsidRPr="00151D84">
        <w:rPr>
          <w:sz w:val="24"/>
          <w:szCs w:val="24"/>
        </w:rPr>
        <w:t>roughly 700 acres being transferred to California State Parks</w:t>
      </w:r>
      <w:r w:rsidR="00B81E3A" w:rsidRPr="00151D84">
        <w:rPr>
          <w:sz w:val="24"/>
          <w:szCs w:val="24"/>
        </w:rPr>
        <w:t xml:space="preserve"> </w:t>
      </w:r>
      <w:r w:rsidR="00057F69" w:rsidRPr="00151D84">
        <w:rPr>
          <w:sz w:val="24"/>
          <w:szCs w:val="24"/>
        </w:rPr>
        <w:t xml:space="preserve">and the roughly 50 acres being transferred to the </w:t>
      </w:r>
      <w:r w:rsidR="006042A5" w:rsidRPr="00151D84">
        <w:rPr>
          <w:sz w:val="24"/>
          <w:szCs w:val="24"/>
        </w:rPr>
        <w:t xml:space="preserve">new CalFire campus to be developed on former SDC property.  </w:t>
      </w:r>
      <w:r w:rsidR="00C34608">
        <w:rPr>
          <w:sz w:val="24"/>
          <w:szCs w:val="24"/>
        </w:rPr>
        <w:t>If the State</w:t>
      </w:r>
      <w:r w:rsidR="000C232E">
        <w:rPr>
          <w:sz w:val="24"/>
          <w:szCs w:val="24"/>
        </w:rPr>
        <w:t xml:space="preserve"> is transferring its water rights from the State Parks land</w:t>
      </w:r>
      <w:r w:rsidR="000E15FC">
        <w:rPr>
          <w:sz w:val="24"/>
          <w:szCs w:val="24"/>
        </w:rPr>
        <w:t>, the terms of such transfer need to be explained</w:t>
      </w:r>
      <w:r w:rsidR="00351CD2">
        <w:rPr>
          <w:sz w:val="24"/>
          <w:szCs w:val="24"/>
        </w:rPr>
        <w:t>, and</w:t>
      </w:r>
      <w:r w:rsidR="0074132F">
        <w:rPr>
          <w:sz w:val="24"/>
          <w:szCs w:val="24"/>
        </w:rPr>
        <w:t xml:space="preserve"> the EIR should assess the magnitude and environmental effect of transferring the water from State park land to the SDC development.</w:t>
      </w:r>
    </w:p>
    <w:p w14:paraId="348B9688" w14:textId="7EC81170" w:rsidR="00CC06DE" w:rsidRPr="00151D84" w:rsidRDefault="0019371E" w:rsidP="0019371E">
      <w:pPr>
        <w:ind w:firstLine="720"/>
        <w:jc w:val="both"/>
        <w:rPr>
          <w:sz w:val="24"/>
          <w:szCs w:val="24"/>
        </w:rPr>
      </w:pPr>
      <w:r w:rsidRPr="00151D84">
        <w:rPr>
          <w:sz w:val="24"/>
          <w:szCs w:val="24"/>
        </w:rPr>
        <w:t xml:space="preserve">A  </w:t>
      </w:r>
      <w:r w:rsidR="00CC06DE" w:rsidRPr="00151D84">
        <w:rPr>
          <w:sz w:val="24"/>
          <w:szCs w:val="24"/>
        </w:rPr>
        <w:t>comparable analysis is required for ensuring that adequate wastewater collection and treatment facilities are available</w:t>
      </w:r>
      <w:r w:rsidR="00862099">
        <w:rPr>
          <w:sz w:val="24"/>
          <w:szCs w:val="24"/>
        </w:rPr>
        <w:t xml:space="preserve"> </w:t>
      </w:r>
      <w:r w:rsidR="00CC06DE" w:rsidRPr="00151D84">
        <w:rPr>
          <w:sz w:val="24"/>
          <w:szCs w:val="24"/>
        </w:rPr>
        <w:t xml:space="preserve">for the proposals, and if the existing collection and treatment facilities need upgrading to properly handle, identify </w:t>
      </w:r>
      <w:r w:rsidR="00AF6991" w:rsidRPr="00151D84">
        <w:rPr>
          <w:sz w:val="24"/>
          <w:szCs w:val="24"/>
        </w:rPr>
        <w:t xml:space="preserve">that fact and </w:t>
      </w:r>
      <w:r w:rsidR="00CC06DE" w:rsidRPr="00151D84">
        <w:rPr>
          <w:sz w:val="24"/>
          <w:szCs w:val="24"/>
        </w:rPr>
        <w:t>who is responsible for such upgrades</w:t>
      </w:r>
      <w:r w:rsidR="004E23BE" w:rsidRPr="00151D84">
        <w:rPr>
          <w:sz w:val="24"/>
          <w:szCs w:val="24"/>
        </w:rPr>
        <w:t xml:space="preserve"> and what are their impacts</w:t>
      </w:r>
      <w:r w:rsidR="00CC06DE" w:rsidRPr="00151D84">
        <w:rPr>
          <w:sz w:val="24"/>
          <w:szCs w:val="24"/>
        </w:rPr>
        <w:t xml:space="preserve">.  </w:t>
      </w:r>
    </w:p>
    <w:p w14:paraId="30D2BCA4" w14:textId="06B8B24F" w:rsidR="00F146CF" w:rsidRDefault="004E23BE" w:rsidP="0019371E">
      <w:pPr>
        <w:ind w:firstLine="720"/>
        <w:jc w:val="both"/>
        <w:rPr>
          <w:sz w:val="24"/>
          <w:szCs w:val="24"/>
        </w:rPr>
      </w:pPr>
      <w:r w:rsidRPr="00151D84">
        <w:rPr>
          <w:sz w:val="24"/>
          <w:szCs w:val="24"/>
        </w:rPr>
        <w:t>The EIR needs to clearly distinguish t</w:t>
      </w:r>
      <w:r w:rsidR="00F146CF" w:rsidRPr="00151D84">
        <w:rPr>
          <w:sz w:val="24"/>
          <w:szCs w:val="24"/>
        </w:rPr>
        <w:t>he differences</w:t>
      </w:r>
      <w:r w:rsidRPr="00151D84">
        <w:rPr>
          <w:sz w:val="24"/>
          <w:szCs w:val="24"/>
        </w:rPr>
        <w:t xml:space="preserve"> in impacts on water supplies</w:t>
      </w:r>
      <w:r w:rsidR="00F146CF" w:rsidRPr="00151D84">
        <w:rPr>
          <w:sz w:val="24"/>
          <w:szCs w:val="24"/>
        </w:rPr>
        <w:t xml:space="preserve"> </w:t>
      </w:r>
      <w:r w:rsidRPr="00151D84">
        <w:rPr>
          <w:sz w:val="24"/>
          <w:szCs w:val="24"/>
        </w:rPr>
        <w:t xml:space="preserve">between </w:t>
      </w:r>
      <w:r w:rsidR="00F146CF" w:rsidRPr="00151D84">
        <w:rPr>
          <w:sz w:val="24"/>
          <w:szCs w:val="24"/>
        </w:rPr>
        <w:t>the proposed  project and alternative</w:t>
      </w:r>
      <w:r w:rsidRPr="00151D84">
        <w:rPr>
          <w:sz w:val="24"/>
          <w:szCs w:val="24"/>
        </w:rPr>
        <w:t>s</w:t>
      </w:r>
      <w:r w:rsidR="00F146CF" w:rsidRPr="00151D84">
        <w:rPr>
          <w:sz w:val="24"/>
          <w:szCs w:val="24"/>
        </w:rPr>
        <w:t xml:space="preserve">, as well as the respective </w:t>
      </w:r>
      <w:r w:rsidRPr="00151D84">
        <w:rPr>
          <w:sz w:val="24"/>
          <w:szCs w:val="24"/>
        </w:rPr>
        <w:t>impacts on</w:t>
      </w:r>
      <w:r w:rsidR="00F146CF" w:rsidRPr="00151D84">
        <w:rPr>
          <w:sz w:val="24"/>
          <w:szCs w:val="24"/>
        </w:rPr>
        <w:t xml:space="preserve"> wastewater collection and treatment.  </w:t>
      </w:r>
    </w:p>
    <w:p w14:paraId="7517C2E6" w14:textId="73976CE7" w:rsidR="00291BCD" w:rsidRPr="00151D84" w:rsidRDefault="00291BCD" w:rsidP="00291BCD">
      <w:pPr>
        <w:ind w:firstLine="720"/>
        <w:jc w:val="both"/>
        <w:rPr>
          <w:sz w:val="24"/>
          <w:szCs w:val="24"/>
        </w:rPr>
      </w:pPr>
      <w:r>
        <w:rPr>
          <w:sz w:val="24"/>
          <w:szCs w:val="24"/>
        </w:rPr>
        <w:t xml:space="preserve">The relative consequences of </w:t>
      </w:r>
      <w:r w:rsidRPr="00151D84">
        <w:rPr>
          <w:sz w:val="24"/>
          <w:szCs w:val="24"/>
        </w:rPr>
        <w:t>storm water</w:t>
      </w:r>
      <w:r>
        <w:rPr>
          <w:sz w:val="24"/>
          <w:szCs w:val="24"/>
        </w:rPr>
        <w:t xml:space="preserve"> runoff in the proposals should also be analyzed.</w:t>
      </w:r>
    </w:p>
    <w:p w14:paraId="0CDA40B9" w14:textId="253387D8" w:rsidR="00B30F5E" w:rsidRPr="00151D84" w:rsidRDefault="00B30F5E" w:rsidP="0019371E">
      <w:pPr>
        <w:ind w:firstLine="720"/>
        <w:jc w:val="both"/>
        <w:rPr>
          <w:sz w:val="24"/>
          <w:szCs w:val="24"/>
        </w:rPr>
      </w:pPr>
      <w:r w:rsidRPr="00151D84">
        <w:rPr>
          <w:sz w:val="24"/>
          <w:szCs w:val="24"/>
        </w:rPr>
        <w:lastRenderedPageBreak/>
        <w:t xml:space="preserve">The EIR should also </w:t>
      </w:r>
      <w:r w:rsidR="004E23BE" w:rsidRPr="00151D84">
        <w:rPr>
          <w:sz w:val="24"/>
          <w:szCs w:val="24"/>
        </w:rPr>
        <w:t xml:space="preserve">analyze the feasibility of the proposed project, with regard to </w:t>
      </w:r>
      <w:r w:rsidRPr="00151D84">
        <w:rPr>
          <w:sz w:val="24"/>
          <w:szCs w:val="24"/>
        </w:rPr>
        <w:t xml:space="preserve">the financial commitment necessary to ensure that </w:t>
      </w:r>
      <w:r w:rsidR="00AC6B8C" w:rsidRPr="00151D84">
        <w:rPr>
          <w:sz w:val="24"/>
          <w:szCs w:val="24"/>
        </w:rPr>
        <w:t>the necessary water supplies and rights are</w:t>
      </w:r>
      <w:r w:rsidR="008E1280" w:rsidRPr="00151D84">
        <w:rPr>
          <w:sz w:val="24"/>
          <w:szCs w:val="24"/>
        </w:rPr>
        <w:t xml:space="preserve"> available</w:t>
      </w:r>
      <w:r w:rsidR="00B93FD6">
        <w:rPr>
          <w:sz w:val="24"/>
          <w:szCs w:val="24"/>
        </w:rPr>
        <w:t xml:space="preserve"> for that project</w:t>
      </w:r>
      <w:r w:rsidR="004E23BE" w:rsidRPr="00151D84">
        <w:rPr>
          <w:sz w:val="24"/>
          <w:szCs w:val="24"/>
        </w:rPr>
        <w:t>.</w:t>
      </w:r>
      <w:r w:rsidR="00402578">
        <w:rPr>
          <w:sz w:val="24"/>
          <w:szCs w:val="24"/>
        </w:rPr>
        <w:t xml:space="preserve"> </w:t>
      </w:r>
      <w:r w:rsidR="004E23BE" w:rsidRPr="00151D84">
        <w:rPr>
          <w:sz w:val="24"/>
          <w:szCs w:val="24"/>
        </w:rPr>
        <w:t xml:space="preserve"> Further, the EIR should identify</w:t>
      </w:r>
      <w:r w:rsidR="00BB5048" w:rsidRPr="00151D84">
        <w:rPr>
          <w:sz w:val="24"/>
          <w:szCs w:val="24"/>
        </w:rPr>
        <w:t xml:space="preserve"> who </w:t>
      </w:r>
      <w:r w:rsidR="00C964C5" w:rsidRPr="00151D84">
        <w:rPr>
          <w:sz w:val="24"/>
          <w:szCs w:val="24"/>
        </w:rPr>
        <w:t xml:space="preserve">would </w:t>
      </w:r>
      <w:r w:rsidR="00BB5048" w:rsidRPr="00151D84">
        <w:rPr>
          <w:sz w:val="24"/>
          <w:szCs w:val="24"/>
        </w:rPr>
        <w:t>bear those costs</w:t>
      </w:r>
      <w:r w:rsidR="00F146CF" w:rsidRPr="00151D84">
        <w:rPr>
          <w:sz w:val="24"/>
          <w:szCs w:val="24"/>
        </w:rPr>
        <w:t xml:space="preserve"> – the County or the</w:t>
      </w:r>
      <w:r w:rsidR="004E23BE" w:rsidRPr="00151D84">
        <w:rPr>
          <w:sz w:val="24"/>
          <w:szCs w:val="24"/>
        </w:rPr>
        <w:t xml:space="preserve"> project proponent</w:t>
      </w:r>
      <w:r w:rsidR="008E1280" w:rsidRPr="00151D84">
        <w:rPr>
          <w:sz w:val="24"/>
          <w:szCs w:val="24"/>
        </w:rPr>
        <w:t>.</w:t>
      </w:r>
      <w:r w:rsidR="004D0D7E" w:rsidRPr="00151D84">
        <w:rPr>
          <w:rFonts w:eastAsia="Times New Roman"/>
          <w:color w:val="000000"/>
          <w:sz w:val="24"/>
          <w:szCs w:val="24"/>
        </w:rPr>
        <w:t xml:space="preserve"> </w:t>
      </w:r>
    </w:p>
    <w:p w14:paraId="63D04DEB" w14:textId="431E9EFF" w:rsidR="00C80609" w:rsidRPr="00151D84" w:rsidRDefault="00C80609" w:rsidP="0019371E">
      <w:pPr>
        <w:ind w:firstLine="720"/>
        <w:jc w:val="both"/>
        <w:rPr>
          <w:sz w:val="24"/>
          <w:szCs w:val="24"/>
        </w:rPr>
      </w:pPr>
      <w:r w:rsidRPr="00151D84">
        <w:rPr>
          <w:sz w:val="24"/>
          <w:szCs w:val="24"/>
        </w:rPr>
        <w:t xml:space="preserve">This comment incorporates by reference the issues and questions in the February 24, 2025  Valley of the Moon </w:t>
      </w:r>
      <w:r w:rsidR="000B5954" w:rsidRPr="00151D84">
        <w:rPr>
          <w:sz w:val="24"/>
          <w:szCs w:val="24"/>
        </w:rPr>
        <w:t xml:space="preserve">Alliance </w:t>
      </w:r>
      <w:r w:rsidRPr="00151D84">
        <w:rPr>
          <w:sz w:val="24"/>
          <w:szCs w:val="24"/>
        </w:rPr>
        <w:t>submission to Permit Sonoma Re: PLP24-0005 Eldridge Renewal LLC.</w:t>
      </w:r>
      <w:r w:rsidR="0019371E" w:rsidRPr="00151D84">
        <w:rPr>
          <w:sz w:val="24"/>
          <w:szCs w:val="24"/>
        </w:rPr>
        <w:t xml:space="preserve">  </w:t>
      </w:r>
      <w:r w:rsidR="00287E10" w:rsidRPr="00151D84">
        <w:rPr>
          <w:sz w:val="24"/>
          <w:szCs w:val="24"/>
        </w:rPr>
        <w:t>That letter is already in Permit Sonoma’s records</w:t>
      </w:r>
      <w:r w:rsidR="00473AFD" w:rsidRPr="00151D84">
        <w:rPr>
          <w:sz w:val="24"/>
          <w:szCs w:val="24"/>
        </w:rPr>
        <w:t>, so there is no apparent reason to attach it again to this submission</w:t>
      </w:r>
      <w:r w:rsidR="0019371E" w:rsidRPr="00151D84">
        <w:rPr>
          <w:sz w:val="24"/>
          <w:szCs w:val="24"/>
        </w:rPr>
        <w:t>.</w:t>
      </w:r>
    </w:p>
    <w:p w14:paraId="274F4381" w14:textId="2382F751" w:rsidR="00BD13C4" w:rsidRPr="00151D84" w:rsidRDefault="00BD13C4" w:rsidP="0019371E">
      <w:pPr>
        <w:jc w:val="both"/>
        <w:rPr>
          <w:sz w:val="24"/>
          <w:szCs w:val="24"/>
          <w:u w:val="single"/>
        </w:rPr>
      </w:pPr>
      <w:r w:rsidRPr="00151D84">
        <w:rPr>
          <w:sz w:val="24"/>
          <w:szCs w:val="24"/>
          <w:u w:val="single"/>
        </w:rPr>
        <w:t xml:space="preserve">Fire </w:t>
      </w:r>
      <w:r w:rsidR="001A0023" w:rsidRPr="00151D84">
        <w:rPr>
          <w:sz w:val="24"/>
          <w:szCs w:val="24"/>
          <w:u w:val="single"/>
        </w:rPr>
        <w:t xml:space="preserve">Evacuation </w:t>
      </w:r>
      <w:r w:rsidR="00173496" w:rsidRPr="00151D84">
        <w:rPr>
          <w:sz w:val="24"/>
          <w:szCs w:val="24"/>
          <w:u w:val="single"/>
        </w:rPr>
        <w:t>Analysis</w:t>
      </w:r>
    </w:p>
    <w:p w14:paraId="19C6EE6E" w14:textId="288BFD1A" w:rsidR="00BD13C4" w:rsidRPr="00151D84" w:rsidRDefault="00B64C11" w:rsidP="00173496">
      <w:pPr>
        <w:ind w:firstLine="720"/>
        <w:jc w:val="both"/>
        <w:rPr>
          <w:sz w:val="24"/>
          <w:szCs w:val="24"/>
        </w:rPr>
      </w:pPr>
      <w:r w:rsidRPr="00151D84">
        <w:rPr>
          <w:sz w:val="24"/>
          <w:szCs w:val="24"/>
        </w:rPr>
        <w:t xml:space="preserve">Earlier this year, </w:t>
      </w:r>
      <w:r w:rsidR="00BD13C4" w:rsidRPr="00151D84">
        <w:rPr>
          <w:sz w:val="24"/>
          <w:szCs w:val="24"/>
        </w:rPr>
        <w:t xml:space="preserve">VOTMA </w:t>
      </w:r>
      <w:r w:rsidRPr="00151D84">
        <w:rPr>
          <w:sz w:val="24"/>
          <w:szCs w:val="24"/>
        </w:rPr>
        <w:t xml:space="preserve">provided Permit Sonoma and all County Supervisors with </w:t>
      </w:r>
      <w:r w:rsidR="00173496" w:rsidRPr="00151D84">
        <w:rPr>
          <w:sz w:val="24"/>
          <w:szCs w:val="24"/>
        </w:rPr>
        <w:t xml:space="preserve">a </w:t>
      </w:r>
      <w:r w:rsidRPr="00151D84">
        <w:rPr>
          <w:i/>
          <w:iCs/>
          <w:sz w:val="24"/>
          <w:szCs w:val="24"/>
        </w:rPr>
        <w:t>Sonoma Valley, California Wildfire Evacuation Time Estimate Study</w:t>
      </w:r>
      <w:r w:rsidR="00BD13C4" w:rsidRPr="00151D84">
        <w:rPr>
          <w:sz w:val="24"/>
          <w:szCs w:val="24"/>
        </w:rPr>
        <w:t xml:space="preserve">.   The study was conducted by KLD Associates, a nationally recognized firm with expertise in evacuation planning and years of experience working with federal government (including the Federal Highway Administration and the Federal Emergency Management Agency) and numerous city and county government agencies.   </w:t>
      </w:r>
      <w:r w:rsidR="001837B6" w:rsidRPr="00151D84">
        <w:rPr>
          <w:sz w:val="24"/>
          <w:szCs w:val="24"/>
        </w:rPr>
        <w:t>We recognize that the County EIR will undertake a</w:t>
      </w:r>
      <w:r w:rsidR="001747E5" w:rsidRPr="00151D84">
        <w:rPr>
          <w:sz w:val="24"/>
          <w:szCs w:val="24"/>
        </w:rPr>
        <w:t>n</w:t>
      </w:r>
      <w:r w:rsidR="001837B6" w:rsidRPr="00151D84">
        <w:rPr>
          <w:sz w:val="24"/>
          <w:szCs w:val="24"/>
        </w:rPr>
        <w:t xml:space="preserve"> analysis of </w:t>
      </w:r>
      <w:r w:rsidR="00042BA2" w:rsidRPr="00151D84">
        <w:rPr>
          <w:sz w:val="24"/>
          <w:szCs w:val="24"/>
        </w:rPr>
        <w:t>the capacity of the existing Sonoma Valley road infrastructure to handle evacuations</w:t>
      </w:r>
      <w:r w:rsidR="00715CFA" w:rsidRPr="00151D84">
        <w:rPr>
          <w:sz w:val="24"/>
          <w:szCs w:val="24"/>
        </w:rPr>
        <w:t xml:space="preserve">, as well as </w:t>
      </w:r>
      <w:r w:rsidR="001837B6" w:rsidRPr="00151D84">
        <w:rPr>
          <w:sz w:val="24"/>
          <w:szCs w:val="24"/>
        </w:rPr>
        <w:t>fire evacuation need</w:t>
      </w:r>
      <w:r w:rsidR="00042BA2" w:rsidRPr="00151D84">
        <w:rPr>
          <w:sz w:val="24"/>
          <w:szCs w:val="24"/>
        </w:rPr>
        <w:t>s</w:t>
      </w:r>
      <w:r w:rsidR="001837B6" w:rsidRPr="00151D84">
        <w:rPr>
          <w:sz w:val="24"/>
          <w:szCs w:val="24"/>
        </w:rPr>
        <w:t xml:space="preserve"> and consequences of the </w:t>
      </w:r>
      <w:r w:rsidR="005A2036" w:rsidRPr="00151D84">
        <w:rPr>
          <w:sz w:val="24"/>
          <w:szCs w:val="24"/>
        </w:rPr>
        <w:t xml:space="preserve">proposed </w:t>
      </w:r>
      <w:r w:rsidR="00872E7E" w:rsidRPr="00151D84">
        <w:rPr>
          <w:sz w:val="24"/>
          <w:szCs w:val="24"/>
        </w:rPr>
        <w:t xml:space="preserve">alternative </w:t>
      </w:r>
      <w:r w:rsidR="005A2036" w:rsidRPr="00151D84">
        <w:rPr>
          <w:sz w:val="24"/>
          <w:szCs w:val="24"/>
        </w:rPr>
        <w:t xml:space="preserve">uses of the SDC property.  This </w:t>
      </w:r>
      <w:r w:rsidR="00C9459D" w:rsidRPr="00151D84">
        <w:rPr>
          <w:sz w:val="24"/>
          <w:szCs w:val="24"/>
        </w:rPr>
        <w:t xml:space="preserve">set of comments incorporates that </w:t>
      </w:r>
      <w:r w:rsidR="00715CFA" w:rsidRPr="00151D84">
        <w:rPr>
          <w:sz w:val="24"/>
          <w:szCs w:val="24"/>
        </w:rPr>
        <w:t xml:space="preserve">KLD </w:t>
      </w:r>
      <w:r w:rsidR="00C9459D" w:rsidRPr="00151D84">
        <w:rPr>
          <w:sz w:val="24"/>
          <w:szCs w:val="24"/>
        </w:rPr>
        <w:t xml:space="preserve">study by reference, as it is already in Permit Sonoma’s records and there would seem to be no </w:t>
      </w:r>
      <w:r w:rsidR="00296466" w:rsidRPr="00151D84">
        <w:rPr>
          <w:sz w:val="24"/>
          <w:szCs w:val="24"/>
        </w:rPr>
        <w:t>need</w:t>
      </w:r>
      <w:r w:rsidR="00C9459D" w:rsidRPr="00151D84">
        <w:rPr>
          <w:sz w:val="24"/>
          <w:szCs w:val="24"/>
        </w:rPr>
        <w:t xml:space="preserve"> to </w:t>
      </w:r>
      <w:r w:rsidR="001747E5" w:rsidRPr="00151D84">
        <w:rPr>
          <w:sz w:val="24"/>
          <w:szCs w:val="24"/>
        </w:rPr>
        <w:t>attach it to this document again.</w:t>
      </w:r>
    </w:p>
    <w:p w14:paraId="3F9BD433" w14:textId="260FD631" w:rsidR="00715CFA" w:rsidRPr="00151D84" w:rsidRDefault="00944200" w:rsidP="00173496">
      <w:pPr>
        <w:ind w:firstLine="720"/>
        <w:jc w:val="both"/>
        <w:rPr>
          <w:sz w:val="24"/>
          <w:szCs w:val="24"/>
        </w:rPr>
      </w:pPr>
      <w:r w:rsidRPr="00151D84">
        <w:rPr>
          <w:sz w:val="24"/>
          <w:szCs w:val="24"/>
        </w:rPr>
        <w:t xml:space="preserve">As the KLD study was performed by a highly respected and knowledgeable firm with expertise on the subject, and was funded by </w:t>
      </w:r>
      <w:r w:rsidR="0096562B" w:rsidRPr="00151D84">
        <w:rPr>
          <w:sz w:val="24"/>
          <w:szCs w:val="24"/>
        </w:rPr>
        <w:t>hundreds of Valley residents concerned about this issue, the EIR should identify wh</w:t>
      </w:r>
      <w:r w:rsidR="00D8703F" w:rsidRPr="00151D84">
        <w:rPr>
          <w:sz w:val="24"/>
          <w:szCs w:val="24"/>
        </w:rPr>
        <w:t>ere it</w:t>
      </w:r>
      <w:r w:rsidR="008961CE">
        <w:rPr>
          <w:sz w:val="24"/>
          <w:szCs w:val="24"/>
        </w:rPr>
        <w:t>s analysis</w:t>
      </w:r>
      <w:r w:rsidR="00D8703F" w:rsidRPr="00151D84">
        <w:rPr>
          <w:sz w:val="24"/>
          <w:szCs w:val="24"/>
        </w:rPr>
        <w:t xml:space="preserve"> may differ with the KLD study and the reasons for the different views.  </w:t>
      </w:r>
    </w:p>
    <w:p w14:paraId="7C2BEF7C" w14:textId="26DD7B10" w:rsidR="00495735" w:rsidRPr="00151D84" w:rsidRDefault="00495735" w:rsidP="0019371E">
      <w:pPr>
        <w:jc w:val="both"/>
        <w:rPr>
          <w:sz w:val="24"/>
          <w:szCs w:val="24"/>
          <w:u w:val="single"/>
        </w:rPr>
      </w:pPr>
      <w:r w:rsidRPr="00151D84">
        <w:rPr>
          <w:sz w:val="24"/>
          <w:szCs w:val="24"/>
          <w:u w:val="single"/>
        </w:rPr>
        <w:t>Building Density and Fire</w:t>
      </w:r>
      <w:r w:rsidR="00925AB4" w:rsidRPr="00151D84">
        <w:rPr>
          <w:sz w:val="24"/>
          <w:szCs w:val="24"/>
          <w:u w:val="single"/>
        </w:rPr>
        <w:t xml:space="preserve"> Risks</w:t>
      </w:r>
    </w:p>
    <w:p w14:paraId="6599E901" w14:textId="0C5E725F" w:rsidR="003D2DA0" w:rsidRPr="00151D84" w:rsidRDefault="00821D94" w:rsidP="0019371E">
      <w:pPr>
        <w:ind w:firstLine="360"/>
        <w:jc w:val="both"/>
        <w:rPr>
          <w:sz w:val="24"/>
          <w:szCs w:val="24"/>
        </w:rPr>
      </w:pPr>
      <w:r w:rsidRPr="00151D84">
        <w:rPr>
          <w:sz w:val="24"/>
          <w:szCs w:val="24"/>
        </w:rPr>
        <w:t>In analyzing the fire risks of the developer’s proposal and alternative</w:t>
      </w:r>
      <w:r w:rsidR="004E23BE" w:rsidRPr="00151D84">
        <w:rPr>
          <w:sz w:val="24"/>
          <w:szCs w:val="24"/>
        </w:rPr>
        <w:t>s</w:t>
      </w:r>
      <w:r w:rsidRPr="00151D84">
        <w:rPr>
          <w:sz w:val="24"/>
          <w:szCs w:val="24"/>
        </w:rPr>
        <w:t>, the analysis should consider</w:t>
      </w:r>
      <w:r w:rsidR="001C0B05" w:rsidRPr="00151D84">
        <w:rPr>
          <w:sz w:val="24"/>
          <w:szCs w:val="24"/>
        </w:rPr>
        <w:t xml:space="preserve">:  </w:t>
      </w:r>
    </w:p>
    <w:p w14:paraId="5757CF38" w14:textId="04BC9954" w:rsidR="00495735" w:rsidRPr="00151D84" w:rsidRDefault="001C0B05" w:rsidP="0019371E">
      <w:pPr>
        <w:pStyle w:val="ListParagraph"/>
        <w:numPr>
          <w:ilvl w:val="0"/>
          <w:numId w:val="1"/>
        </w:numPr>
        <w:jc w:val="both"/>
        <w:rPr>
          <w:sz w:val="24"/>
          <w:szCs w:val="24"/>
        </w:rPr>
      </w:pPr>
      <w:r w:rsidRPr="00151D84">
        <w:rPr>
          <w:sz w:val="24"/>
          <w:szCs w:val="24"/>
        </w:rPr>
        <w:t xml:space="preserve">the effect of housing density </w:t>
      </w:r>
      <w:r w:rsidR="00131316" w:rsidRPr="00151D84">
        <w:rPr>
          <w:sz w:val="24"/>
          <w:szCs w:val="24"/>
        </w:rPr>
        <w:t xml:space="preserve">and population size </w:t>
      </w:r>
      <w:r w:rsidRPr="00151D84">
        <w:rPr>
          <w:sz w:val="24"/>
          <w:szCs w:val="24"/>
        </w:rPr>
        <w:t>on fire</w:t>
      </w:r>
      <w:r w:rsidR="003D2DA0" w:rsidRPr="00151D84">
        <w:rPr>
          <w:sz w:val="24"/>
          <w:szCs w:val="24"/>
        </w:rPr>
        <w:t xml:space="preserve"> risk and its spread</w:t>
      </w:r>
      <w:r w:rsidR="003757B0" w:rsidRPr="00151D84">
        <w:rPr>
          <w:sz w:val="24"/>
          <w:szCs w:val="24"/>
        </w:rPr>
        <w:t xml:space="preserve"> (including how close together structure</w:t>
      </w:r>
      <w:r w:rsidR="008E02C7" w:rsidRPr="00151D84">
        <w:rPr>
          <w:sz w:val="24"/>
          <w:szCs w:val="24"/>
        </w:rPr>
        <w:t>s are)</w:t>
      </w:r>
      <w:r w:rsidR="004E23BE" w:rsidRPr="00151D84">
        <w:rPr>
          <w:sz w:val="24"/>
          <w:szCs w:val="24"/>
        </w:rPr>
        <w:t>;</w:t>
      </w:r>
    </w:p>
    <w:p w14:paraId="6D7FF06F" w14:textId="178583C1" w:rsidR="003D2DA0" w:rsidRPr="00151D84" w:rsidRDefault="0017022F" w:rsidP="0019371E">
      <w:pPr>
        <w:pStyle w:val="ListParagraph"/>
        <w:numPr>
          <w:ilvl w:val="0"/>
          <w:numId w:val="1"/>
        </w:numPr>
        <w:jc w:val="both"/>
        <w:rPr>
          <w:sz w:val="24"/>
          <w:szCs w:val="24"/>
        </w:rPr>
      </w:pPr>
      <w:r w:rsidRPr="00151D84">
        <w:rPr>
          <w:sz w:val="24"/>
          <w:szCs w:val="24"/>
        </w:rPr>
        <w:t>while new construction would need to meet fire codes, existing building</w:t>
      </w:r>
      <w:r w:rsidR="0095037D" w:rsidRPr="00151D84">
        <w:rPr>
          <w:sz w:val="24"/>
          <w:szCs w:val="24"/>
        </w:rPr>
        <w:t>s</w:t>
      </w:r>
      <w:r w:rsidRPr="00151D84">
        <w:rPr>
          <w:sz w:val="24"/>
          <w:szCs w:val="24"/>
        </w:rPr>
        <w:t xml:space="preserve"> proposed for reuse are likely made of concrete </w:t>
      </w:r>
      <w:r w:rsidR="0027719B" w:rsidRPr="00151D84">
        <w:rPr>
          <w:sz w:val="24"/>
          <w:szCs w:val="24"/>
        </w:rPr>
        <w:t xml:space="preserve">and masonry </w:t>
      </w:r>
      <w:r w:rsidR="0095037D" w:rsidRPr="00151D84">
        <w:rPr>
          <w:sz w:val="24"/>
          <w:szCs w:val="24"/>
        </w:rPr>
        <w:t>with considerable</w:t>
      </w:r>
      <w:r w:rsidRPr="00151D84">
        <w:rPr>
          <w:sz w:val="24"/>
          <w:szCs w:val="24"/>
        </w:rPr>
        <w:t xml:space="preserve"> f</w:t>
      </w:r>
      <w:r w:rsidR="0095037D" w:rsidRPr="00151D84">
        <w:rPr>
          <w:sz w:val="24"/>
          <w:szCs w:val="24"/>
        </w:rPr>
        <w:t>ire resistance</w:t>
      </w:r>
      <w:r w:rsidR="004E23BE" w:rsidRPr="00151D84">
        <w:rPr>
          <w:sz w:val="24"/>
          <w:szCs w:val="24"/>
        </w:rPr>
        <w:t>; and</w:t>
      </w:r>
    </w:p>
    <w:p w14:paraId="26CE28B0" w14:textId="40233AAD" w:rsidR="002D46B9" w:rsidRPr="002D46B9" w:rsidRDefault="00C964C5" w:rsidP="0019371E">
      <w:pPr>
        <w:pStyle w:val="ListParagraph"/>
        <w:numPr>
          <w:ilvl w:val="0"/>
          <w:numId w:val="1"/>
        </w:numPr>
        <w:jc w:val="both"/>
        <w:rPr>
          <w:sz w:val="24"/>
          <w:szCs w:val="24"/>
        </w:rPr>
      </w:pPr>
      <w:r w:rsidRPr="00151D84">
        <w:rPr>
          <w:sz w:val="24"/>
          <w:szCs w:val="24"/>
        </w:rPr>
        <w:t xml:space="preserve">the </w:t>
      </w:r>
      <w:r w:rsidR="00411402" w:rsidRPr="00151D84">
        <w:rPr>
          <w:sz w:val="24"/>
          <w:szCs w:val="24"/>
        </w:rPr>
        <w:t xml:space="preserve">water supplies </w:t>
      </w:r>
      <w:r w:rsidR="00C05387" w:rsidRPr="00151D84">
        <w:rPr>
          <w:sz w:val="24"/>
          <w:szCs w:val="24"/>
        </w:rPr>
        <w:t xml:space="preserve">and locations </w:t>
      </w:r>
      <w:r w:rsidR="00411402" w:rsidRPr="00151D84">
        <w:rPr>
          <w:sz w:val="24"/>
          <w:szCs w:val="24"/>
        </w:rPr>
        <w:t>needed for effective fire</w:t>
      </w:r>
      <w:r w:rsidR="004E23BE" w:rsidRPr="00151D84">
        <w:rPr>
          <w:sz w:val="24"/>
          <w:szCs w:val="24"/>
        </w:rPr>
        <w:t>-</w:t>
      </w:r>
      <w:r w:rsidR="00411402" w:rsidRPr="00151D84">
        <w:rPr>
          <w:sz w:val="24"/>
          <w:szCs w:val="24"/>
        </w:rPr>
        <w:t>fighting</w:t>
      </w:r>
      <w:r w:rsidR="007A677F" w:rsidRPr="00151D84">
        <w:rPr>
          <w:sz w:val="24"/>
          <w:szCs w:val="24"/>
        </w:rPr>
        <w:t>.</w:t>
      </w:r>
    </w:p>
    <w:p w14:paraId="6F6F9CA6" w14:textId="77777777" w:rsidR="00FC464A" w:rsidRDefault="00FC464A" w:rsidP="0019371E">
      <w:pPr>
        <w:jc w:val="both"/>
        <w:rPr>
          <w:sz w:val="24"/>
          <w:szCs w:val="24"/>
          <w:u w:val="single"/>
        </w:rPr>
      </w:pPr>
    </w:p>
    <w:p w14:paraId="7DC8B92E" w14:textId="77777777" w:rsidR="00FC464A" w:rsidRDefault="00FC464A" w:rsidP="0019371E">
      <w:pPr>
        <w:jc w:val="both"/>
        <w:rPr>
          <w:sz w:val="24"/>
          <w:szCs w:val="24"/>
          <w:u w:val="single"/>
        </w:rPr>
      </w:pPr>
    </w:p>
    <w:p w14:paraId="5E5A6A9A" w14:textId="69FF2F5C" w:rsidR="000B0EBA" w:rsidRPr="00151D84" w:rsidRDefault="000B0EBA" w:rsidP="0019371E">
      <w:pPr>
        <w:jc w:val="both"/>
        <w:rPr>
          <w:sz w:val="24"/>
          <w:szCs w:val="24"/>
          <w:u w:val="single"/>
        </w:rPr>
      </w:pPr>
      <w:r w:rsidRPr="00151D84">
        <w:rPr>
          <w:sz w:val="24"/>
          <w:szCs w:val="24"/>
          <w:u w:val="single"/>
        </w:rPr>
        <w:lastRenderedPageBreak/>
        <w:t>Transportation Infrastructure</w:t>
      </w:r>
    </w:p>
    <w:p w14:paraId="4DAAA368" w14:textId="62EC3C98" w:rsidR="00EF108C" w:rsidRDefault="0001149C" w:rsidP="00054FBE">
      <w:pPr>
        <w:ind w:firstLine="720"/>
        <w:jc w:val="both"/>
        <w:rPr>
          <w:sz w:val="24"/>
          <w:szCs w:val="24"/>
        </w:rPr>
      </w:pPr>
      <w:r w:rsidRPr="00151D84">
        <w:rPr>
          <w:sz w:val="24"/>
          <w:szCs w:val="24"/>
        </w:rPr>
        <w:t xml:space="preserve">The EIR should analyze whether any improvements to road infrastructure </w:t>
      </w:r>
      <w:r w:rsidR="00502AC8" w:rsidRPr="00151D84">
        <w:rPr>
          <w:sz w:val="24"/>
          <w:szCs w:val="24"/>
        </w:rPr>
        <w:t xml:space="preserve">connecting public roads </w:t>
      </w:r>
      <w:r w:rsidR="00712C7C" w:rsidRPr="00151D84">
        <w:rPr>
          <w:sz w:val="24"/>
          <w:szCs w:val="24"/>
        </w:rPr>
        <w:t xml:space="preserve">(including Arnold Drive and Sonoma Highway) </w:t>
      </w:r>
      <w:r w:rsidR="00502AC8" w:rsidRPr="00151D84">
        <w:rPr>
          <w:sz w:val="24"/>
          <w:szCs w:val="24"/>
        </w:rPr>
        <w:t xml:space="preserve">to the project </w:t>
      </w:r>
      <w:r w:rsidRPr="00151D84">
        <w:rPr>
          <w:sz w:val="24"/>
          <w:szCs w:val="24"/>
        </w:rPr>
        <w:t>would be needed</w:t>
      </w:r>
      <w:r w:rsidR="00A51EC7" w:rsidRPr="00151D84">
        <w:rPr>
          <w:sz w:val="24"/>
          <w:szCs w:val="24"/>
        </w:rPr>
        <w:t xml:space="preserve"> under the developer’s proposal or alternative</w:t>
      </w:r>
      <w:r w:rsidR="004E23BE" w:rsidRPr="00151D84">
        <w:rPr>
          <w:sz w:val="24"/>
          <w:szCs w:val="24"/>
        </w:rPr>
        <w:t>s</w:t>
      </w:r>
      <w:r w:rsidR="00A51EC7" w:rsidRPr="00151D84">
        <w:rPr>
          <w:sz w:val="24"/>
          <w:szCs w:val="24"/>
        </w:rPr>
        <w:t>.  If improvements are needed,</w:t>
      </w:r>
      <w:r w:rsidR="00A94994" w:rsidRPr="00151D84">
        <w:rPr>
          <w:sz w:val="24"/>
          <w:szCs w:val="24"/>
        </w:rPr>
        <w:t xml:space="preserve"> </w:t>
      </w:r>
      <w:r w:rsidR="00287E10" w:rsidRPr="00151D84">
        <w:rPr>
          <w:sz w:val="24"/>
          <w:szCs w:val="24"/>
        </w:rPr>
        <w:t xml:space="preserve">what are they and </w:t>
      </w:r>
      <w:r w:rsidR="00A94994" w:rsidRPr="00151D84">
        <w:rPr>
          <w:sz w:val="24"/>
          <w:szCs w:val="24"/>
        </w:rPr>
        <w:t>who would be responsible for funding those improvements?</w:t>
      </w:r>
      <w:r w:rsidR="00C609AF">
        <w:rPr>
          <w:sz w:val="24"/>
          <w:szCs w:val="24"/>
        </w:rPr>
        <w:t xml:space="preserve">  </w:t>
      </w:r>
      <w:r w:rsidR="00054FBE">
        <w:rPr>
          <w:sz w:val="24"/>
          <w:szCs w:val="24"/>
        </w:rPr>
        <w:t>Would the same improvements (e.g., an EVA connecting to Sonoma Highway) be needed for the different alternatives, including the lesser density alternative?</w:t>
      </w:r>
      <w:r w:rsidR="00054FBE" w:rsidRPr="00054FBE">
        <w:rPr>
          <w:sz w:val="24"/>
          <w:szCs w:val="24"/>
        </w:rPr>
        <w:t xml:space="preserve"> </w:t>
      </w:r>
      <w:r w:rsidR="00054FBE">
        <w:rPr>
          <w:sz w:val="24"/>
          <w:szCs w:val="24"/>
        </w:rPr>
        <w:t xml:space="preserve"> </w:t>
      </w:r>
    </w:p>
    <w:p w14:paraId="20747230" w14:textId="65811313" w:rsidR="00B232B5" w:rsidRPr="00587441" w:rsidRDefault="00C4659B" w:rsidP="00EF108C">
      <w:pPr>
        <w:ind w:firstLine="720"/>
        <w:jc w:val="both"/>
        <w:rPr>
          <w:rFonts w:cstheme="minorHAnsi"/>
          <w:sz w:val="24"/>
          <w:szCs w:val="24"/>
        </w:rPr>
      </w:pPr>
      <w:r w:rsidRPr="004716DD">
        <w:rPr>
          <w:rFonts w:eastAsia="Times New Roman" w:cstheme="minorHAnsi"/>
          <w:sz w:val="24"/>
          <w:szCs w:val="24"/>
        </w:rPr>
        <w:t>Although Level of Service (LOS) analysis has been supplanted in CEQA by VMT (and LOS cannot be found to be a recognizable impact)</w:t>
      </w:r>
      <w:r w:rsidR="000B2D08" w:rsidRPr="004716DD">
        <w:rPr>
          <w:rFonts w:eastAsia="Times New Roman" w:cstheme="minorHAnsi"/>
          <w:sz w:val="24"/>
          <w:szCs w:val="24"/>
        </w:rPr>
        <w:t>,</w:t>
      </w:r>
      <w:r w:rsidRPr="004716DD">
        <w:rPr>
          <w:rFonts w:eastAsia="Times New Roman" w:cstheme="minorHAnsi"/>
          <w:sz w:val="24"/>
          <w:szCs w:val="24"/>
        </w:rPr>
        <w:t xml:space="preserve"> there is no prohibition for using LOS analysis for land use policy purposes in General Plans or Specific Plans.</w:t>
      </w:r>
      <w:r w:rsidR="00315CC9">
        <w:rPr>
          <w:rFonts w:eastAsia="Times New Roman" w:cstheme="minorHAnsi"/>
          <w:sz w:val="24"/>
          <w:szCs w:val="24"/>
        </w:rPr>
        <w:t xml:space="preserve"> </w:t>
      </w:r>
      <w:r w:rsidRPr="004716DD">
        <w:rPr>
          <w:rFonts w:eastAsia="Times New Roman" w:cstheme="minorHAnsi"/>
          <w:sz w:val="24"/>
          <w:szCs w:val="24"/>
        </w:rPr>
        <w:t xml:space="preserve"> Particularly with the CalFire project </w:t>
      </w:r>
      <w:r w:rsidR="000B2D08" w:rsidRPr="004716DD">
        <w:rPr>
          <w:rFonts w:eastAsia="Times New Roman" w:cstheme="minorHAnsi"/>
          <w:sz w:val="24"/>
          <w:szCs w:val="24"/>
        </w:rPr>
        <w:t>proposal</w:t>
      </w:r>
      <w:r w:rsidR="004F6DF4">
        <w:rPr>
          <w:rFonts w:eastAsia="Times New Roman" w:cstheme="minorHAnsi"/>
          <w:sz w:val="24"/>
          <w:szCs w:val="24"/>
        </w:rPr>
        <w:t xml:space="preserve"> on the table</w:t>
      </w:r>
      <w:r w:rsidRPr="004716DD">
        <w:rPr>
          <w:rFonts w:eastAsia="Times New Roman" w:cstheme="minorHAnsi"/>
          <w:sz w:val="24"/>
          <w:szCs w:val="24"/>
        </w:rPr>
        <w:t>, in the context of the S</w:t>
      </w:r>
      <w:r w:rsidR="000B2D08" w:rsidRPr="004716DD">
        <w:rPr>
          <w:rFonts w:eastAsia="Times New Roman" w:cstheme="minorHAnsi"/>
          <w:sz w:val="24"/>
          <w:szCs w:val="24"/>
        </w:rPr>
        <w:t>D</w:t>
      </w:r>
      <w:r w:rsidRPr="004716DD">
        <w:rPr>
          <w:rFonts w:eastAsia="Times New Roman" w:cstheme="minorHAnsi"/>
          <w:sz w:val="24"/>
          <w:szCs w:val="24"/>
        </w:rPr>
        <w:t xml:space="preserve">C Specific Plan, Permit Sonoma </w:t>
      </w:r>
      <w:r w:rsidR="00587441" w:rsidRPr="004716DD">
        <w:rPr>
          <w:rFonts w:eastAsia="Times New Roman" w:cstheme="minorHAnsi"/>
          <w:sz w:val="24"/>
          <w:szCs w:val="24"/>
        </w:rPr>
        <w:t xml:space="preserve">should </w:t>
      </w:r>
      <w:r w:rsidRPr="004716DD">
        <w:rPr>
          <w:rFonts w:eastAsia="Times New Roman" w:cstheme="minorHAnsi"/>
          <w:sz w:val="24"/>
          <w:szCs w:val="24"/>
        </w:rPr>
        <w:t>conduct an LOS assessment to gauge the effects of those two projects together</w:t>
      </w:r>
    </w:p>
    <w:p w14:paraId="0FEE546B" w14:textId="04B6ACD0" w:rsidR="003A4DDD" w:rsidRPr="00151D84" w:rsidRDefault="00D37A9E" w:rsidP="0019371E">
      <w:pPr>
        <w:jc w:val="both"/>
        <w:rPr>
          <w:sz w:val="24"/>
          <w:szCs w:val="24"/>
          <w:u w:val="single"/>
        </w:rPr>
      </w:pPr>
      <w:r w:rsidRPr="00151D84">
        <w:rPr>
          <w:rFonts w:eastAsia="Times New Roman"/>
          <w:color w:val="000000"/>
          <w:sz w:val="24"/>
          <w:szCs w:val="24"/>
          <w:u w:val="single"/>
        </w:rPr>
        <w:t>Air Quality and Greenhouse Gas Emissions</w:t>
      </w:r>
      <w:r w:rsidRPr="00151D84">
        <w:rPr>
          <w:sz w:val="24"/>
          <w:szCs w:val="24"/>
          <w:u w:val="single"/>
        </w:rPr>
        <w:t xml:space="preserve"> </w:t>
      </w:r>
    </w:p>
    <w:p w14:paraId="4973B063" w14:textId="5A726F35" w:rsidR="001815CE" w:rsidRPr="00151D84" w:rsidRDefault="00AB4D17" w:rsidP="0019371E">
      <w:pPr>
        <w:ind w:firstLine="720"/>
        <w:jc w:val="both"/>
        <w:rPr>
          <w:sz w:val="24"/>
          <w:szCs w:val="24"/>
        </w:rPr>
      </w:pPr>
      <w:r w:rsidRPr="00151D84">
        <w:rPr>
          <w:sz w:val="24"/>
          <w:szCs w:val="24"/>
        </w:rPr>
        <w:t>The EIR should analyze the</w:t>
      </w:r>
      <w:r w:rsidR="00745D38" w:rsidRPr="00151D84">
        <w:rPr>
          <w:sz w:val="24"/>
          <w:szCs w:val="24"/>
        </w:rPr>
        <w:t xml:space="preserve"> full</w:t>
      </w:r>
      <w:r w:rsidRPr="00151D84">
        <w:rPr>
          <w:sz w:val="24"/>
          <w:szCs w:val="24"/>
        </w:rPr>
        <w:t xml:space="preserve"> environmental life cycle differences in </w:t>
      </w:r>
      <w:r w:rsidR="005E58F3" w:rsidRPr="00151D84">
        <w:rPr>
          <w:sz w:val="24"/>
          <w:szCs w:val="24"/>
        </w:rPr>
        <w:t>greenhouse gas and air pollutant</w:t>
      </w:r>
      <w:r w:rsidR="000109F5" w:rsidRPr="00151D84">
        <w:rPr>
          <w:sz w:val="24"/>
          <w:szCs w:val="24"/>
        </w:rPr>
        <w:t xml:space="preserve"> production </w:t>
      </w:r>
      <w:r w:rsidR="005E58F3" w:rsidRPr="00151D84">
        <w:rPr>
          <w:sz w:val="24"/>
          <w:szCs w:val="24"/>
        </w:rPr>
        <w:t xml:space="preserve">between the developer’s proposal </w:t>
      </w:r>
      <w:r w:rsidR="00C07E3B" w:rsidRPr="00151D84">
        <w:rPr>
          <w:sz w:val="24"/>
          <w:szCs w:val="24"/>
        </w:rPr>
        <w:t xml:space="preserve">of </w:t>
      </w:r>
      <w:r w:rsidR="00C07BF1">
        <w:rPr>
          <w:sz w:val="24"/>
          <w:szCs w:val="24"/>
        </w:rPr>
        <w:t xml:space="preserve">demolition and </w:t>
      </w:r>
      <w:r w:rsidR="00C07E3B" w:rsidRPr="00151D84">
        <w:rPr>
          <w:sz w:val="24"/>
          <w:szCs w:val="24"/>
        </w:rPr>
        <w:t xml:space="preserve">substantial new construction </w:t>
      </w:r>
      <w:r w:rsidR="005E58F3" w:rsidRPr="00151D84">
        <w:rPr>
          <w:sz w:val="24"/>
          <w:szCs w:val="24"/>
        </w:rPr>
        <w:t xml:space="preserve">and the </w:t>
      </w:r>
      <w:r w:rsidR="00E84762" w:rsidRPr="00151D84">
        <w:rPr>
          <w:sz w:val="24"/>
          <w:szCs w:val="24"/>
        </w:rPr>
        <w:t xml:space="preserve">balanced </w:t>
      </w:r>
      <w:r w:rsidR="00484DB7">
        <w:rPr>
          <w:sz w:val="24"/>
          <w:szCs w:val="24"/>
        </w:rPr>
        <w:t>Provide, Protect and Preserve alternative</w:t>
      </w:r>
      <w:r w:rsidR="000109F5" w:rsidRPr="00B91A3F">
        <w:rPr>
          <w:color w:val="EE0000"/>
          <w:sz w:val="24"/>
          <w:szCs w:val="24"/>
        </w:rPr>
        <w:t xml:space="preserve">, </w:t>
      </w:r>
      <w:r w:rsidR="000109F5" w:rsidRPr="00151D84">
        <w:rPr>
          <w:sz w:val="24"/>
          <w:szCs w:val="24"/>
        </w:rPr>
        <w:t>which focu</w:t>
      </w:r>
      <w:r w:rsidR="00C07E3B" w:rsidRPr="00151D84">
        <w:rPr>
          <w:sz w:val="24"/>
          <w:szCs w:val="24"/>
        </w:rPr>
        <w:t>ses much more on reuse of existing structures.</w:t>
      </w:r>
      <w:r w:rsidR="001815CE" w:rsidRPr="00151D84">
        <w:rPr>
          <w:sz w:val="24"/>
          <w:szCs w:val="24"/>
        </w:rPr>
        <w:t xml:space="preserve"> </w:t>
      </w:r>
    </w:p>
    <w:p w14:paraId="10A25D0A" w14:textId="5869D1F1" w:rsidR="00057496" w:rsidRPr="00342E2A" w:rsidRDefault="00E84762" w:rsidP="0019371E">
      <w:pPr>
        <w:ind w:firstLine="720"/>
        <w:jc w:val="both"/>
        <w:rPr>
          <w:rFonts w:cstheme="minorHAnsi"/>
          <w:sz w:val="24"/>
          <w:szCs w:val="24"/>
        </w:rPr>
      </w:pPr>
      <w:r w:rsidRPr="00342E2A">
        <w:rPr>
          <w:rFonts w:cstheme="minorHAnsi"/>
          <w:sz w:val="24"/>
          <w:szCs w:val="24"/>
        </w:rPr>
        <w:t>The</w:t>
      </w:r>
      <w:r w:rsidR="00057496" w:rsidRPr="00342E2A">
        <w:rPr>
          <w:rFonts w:cstheme="minorHAnsi"/>
          <w:sz w:val="24"/>
          <w:szCs w:val="24"/>
        </w:rPr>
        <w:t xml:space="preserve"> environmental analysis of </w:t>
      </w:r>
      <w:r w:rsidRPr="00342E2A">
        <w:rPr>
          <w:rFonts w:cstheme="minorHAnsi"/>
          <w:sz w:val="24"/>
          <w:szCs w:val="24"/>
        </w:rPr>
        <w:t xml:space="preserve">the proposed massive </w:t>
      </w:r>
      <w:r w:rsidR="00057496" w:rsidRPr="00342E2A">
        <w:rPr>
          <w:rFonts w:cstheme="minorHAnsi"/>
          <w:sz w:val="24"/>
          <w:szCs w:val="24"/>
        </w:rPr>
        <w:t>demolition needs to</w:t>
      </w:r>
      <w:r w:rsidR="0088461F" w:rsidRPr="00342E2A">
        <w:rPr>
          <w:rFonts w:cstheme="minorHAnsi"/>
          <w:sz w:val="24"/>
          <w:szCs w:val="24"/>
        </w:rPr>
        <w:t xml:space="preserve"> include</w:t>
      </w:r>
      <w:r w:rsidR="002D49B1" w:rsidRPr="00342E2A">
        <w:rPr>
          <w:rFonts w:cstheme="minorHAnsi"/>
          <w:sz w:val="24"/>
          <w:szCs w:val="24"/>
        </w:rPr>
        <w:t>:  1)</w:t>
      </w:r>
      <w:r w:rsidR="005E6252" w:rsidRPr="00342E2A">
        <w:rPr>
          <w:rFonts w:cstheme="minorHAnsi"/>
          <w:sz w:val="24"/>
          <w:szCs w:val="24"/>
        </w:rPr>
        <w:t xml:space="preserve"> consideration of the</w:t>
      </w:r>
      <w:r w:rsidR="0088461F" w:rsidRPr="00342E2A">
        <w:rPr>
          <w:rFonts w:cstheme="minorHAnsi"/>
          <w:sz w:val="24"/>
          <w:szCs w:val="24"/>
        </w:rPr>
        <w:t xml:space="preserve"> </w:t>
      </w:r>
      <w:r w:rsidR="005E6252" w:rsidRPr="00342E2A">
        <w:rPr>
          <w:rFonts w:cstheme="minorHAnsi"/>
          <w:sz w:val="24"/>
          <w:szCs w:val="24"/>
        </w:rPr>
        <w:t xml:space="preserve">steps necessary to comply with California </w:t>
      </w:r>
      <w:r w:rsidR="00B856E1" w:rsidRPr="00342E2A">
        <w:rPr>
          <w:rFonts w:cstheme="minorHAnsi"/>
          <w:sz w:val="24"/>
          <w:szCs w:val="24"/>
        </w:rPr>
        <w:t>s</w:t>
      </w:r>
      <w:r w:rsidR="005E6252" w:rsidRPr="00342E2A">
        <w:rPr>
          <w:rFonts w:cstheme="minorHAnsi"/>
          <w:sz w:val="24"/>
          <w:szCs w:val="24"/>
        </w:rPr>
        <w:t>tate and federal</w:t>
      </w:r>
      <w:r w:rsidR="00342E2A">
        <w:rPr>
          <w:rFonts w:cstheme="minorHAnsi"/>
          <w:sz w:val="24"/>
          <w:szCs w:val="24"/>
        </w:rPr>
        <w:t xml:space="preserve"> </w:t>
      </w:r>
      <w:r w:rsidR="005E6252" w:rsidRPr="00342E2A">
        <w:rPr>
          <w:rFonts w:cstheme="minorHAnsi"/>
          <w:sz w:val="24"/>
          <w:szCs w:val="24"/>
        </w:rPr>
        <w:t>regulations</w:t>
      </w:r>
      <w:r w:rsidR="00FC1208" w:rsidRPr="00342E2A">
        <w:rPr>
          <w:rFonts w:cstheme="minorHAnsi"/>
          <w:sz w:val="24"/>
          <w:szCs w:val="24"/>
        </w:rPr>
        <w:t xml:space="preserve"> governing lead paint</w:t>
      </w:r>
      <w:r w:rsidR="000506CD" w:rsidRPr="00342E2A">
        <w:rPr>
          <w:rFonts w:cstheme="minorHAnsi"/>
          <w:sz w:val="24"/>
          <w:szCs w:val="24"/>
        </w:rPr>
        <w:t xml:space="preserve"> in older buildings, including </w:t>
      </w:r>
      <w:r w:rsidR="00F84901" w:rsidRPr="00342E2A">
        <w:rPr>
          <w:rFonts w:cstheme="minorHAnsi"/>
          <w:sz w:val="24"/>
          <w:szCs w:val="24"/>
        </w:rPr>
        <w:t xml:space="preserve">regulations to </w:t>
      </w:r>
      <w:r w:rsidR="000506CD" w:rsidRPr="00342E2A">
        <w:rPr>
          <w:rFonts w:cstheme="minorHAnsi"/>
          <w:color w:val="001D35"/>
          <w:sz w:val="24"/>
          <w:szCs w:val="24"/>
          <w:shd w:val="clear" w:color="auto" w:fill="FFFFFF"/>
        </w:rPr>
        <w:t xml:space="preserve">contain dust, </w:t>
      </w:r>
      <w:r w:rsidR="00F84901" w:rsidRPr="00342E2A">
        <w:rPr>
          <w:rFonts w:cstheme="minorHAnsi"/>
          <w:color w:val="001D35"/>
          <w:sz w:val="24"/>
          <w:szCs w:val="24"/>
          <w:shd w:val="clear" w:color="auto" w:fill="FFFFFF"/>
        </w:rPr>
        <w:t xml:space="preserve">minimization </w:t>
      </w:r>
      <w:r w:rsidR="002D49B1" w:rsidRPr="00342E2A">
        <w:rPr>
          <w:rFonts w:cstheme="minorHAnsi"/>
          <w:color w:val="001D35"/>
          <w:sz w:val="24"/>
          <w:szCs w:val="24"/>
          <w:shd w:val="clear" w:color="auto" w:fill="FFFFFF"/>
        </w:rPr>
        <w:t xml:space="preserve">of </w:t>
      </w:r>
      <w:r w:rsidR="000506CD" w:rsidRPr="00342E2A">
        <w:rPr>
          <w:rFonts w:cstheme="minorHAnsi"/>
          <w:color w:val="001D35"/>
          <w:sz w:val="24"/>
          <w:szCs w:val="24"/>
          <w:shd w:val="clear" w:color="auto" w:fill="FFFFFF"/>
        </w:rPr>
        <w:t>its creation, and proper dispos</w:t>
      </w:r>
      <w:r w:rsidR="002D49B1" w:rsidRPr="00342E2A">
        <w:rPr>
          <w:rFonts w:cstheme="minorHAnsi"/>
          <w:color w:val="001D35"/>
          <w:sz w:val="24"/>
          <w:szCs w:val="24"/>
          <w:shd w:val="clear" w:color="auto" w:fill="FFFFFF"/>
        </w:rPr>
        <w:t>al</w:t>
      </w:r>
      <w:r w:rsidR="000506CD" w:rsidRPr="00342E2A">
        <w:rPr>
          <w:rFonts w:cstheme="minorHAnsi"/>
          <w:color w:val="001D35"/>
          <w:sz w:val="24"/>
          <w:szCs w:val="24"/>
          <w:shd w:val="clear" w:color="auto" w:fill="FFFFFF"/>
        </w:rPr>
        <w:t xml:space="preserve"> of LBP-contaminated waste</w:t>
      </w:r>
      <w:r w:rsidR="001815CE" w:rsidRPr="00342E2A">
        <w:rPr>
          <w:rFonts w:cstheme="minorHAnsi"/>
          <w:sz w:val="24"/>
          <w:szCs w:val="24"/>
        </w:rPr>
        <w:t>;</w:t>
      </w:r>
      <w:r w:rsidR="0088461F" w:rsidRPr="00342E2A">
        <w:rPr>
          <w:rFonts w:cstheme="minorHAnsi"/>
          <w:sz w:val="24"/>
          <w:szCs w:val="24"/>
        </w:rPr>
        <w:t xml:space="preserve"> </w:t>
      </w:r>
      <w:r w:rsidR="00484DB7">
        <w:rPr>
          <w:rFonts w:cstheme="minorHAnsi"/>
          <w:sz w:val="24"/>
          <w:szCs w:val="24"/>
        </w:rPr>
        <w:t xml:space="preserve"> </w:t>
      </w:r>
      <w:r w:rsidR="00342E2A" w:rsidRPr="00342E2A">
        <w:rPr>
          <w:rFonts w:cstheme="minorHAnsi"/>
          <w:sz w:val="24"/>
          <w:szCs w:val="24"/>
        </w:rPr>
        <w:t xml:space="preserve">2) </w:t>
      </w:r>
      <w:r w:rsidR="00745D38" w:rsidRPr="00342E2A">
        <w:rPr>
          <w:rFonts w:cstheme="minorHAnsi"/>
          <w:sz w:val="24"/>
          <w:szCs w:val="24"/>
        </w:rPr>
        <w:t xml:space="preserve">the destinations </w:t>
      </w:r>
      <w:r w:rsidR="0088461F" w:rsidRPr="00342E2A">
        <w:rPr>
          <w:rFonts w:cstheme="minorHAnsi"/>
          <w:sz w:val="24"/>
          <w:szCs w:val="24"/>
        </w:rPr>
        <w:t>where the materials will be transported</w:t>
      </w:r>
      <w:r w:rsidR="00403417" w:rsidRPr="00342E2A">
        <w:rPr>
          <w:rFonts w:cstheme="minorHAnsi"/>
          <w:sz w:val="24"/>
          <w:szCs w:val="24"/>
        </w:rPr>
        <w:t xml:space="preserve"> for ultimate disposal</w:t>
      </w:r>
      <w:r w:rsidR="00745D38" w:rsidRPr="00342E2A">
        <w:rPr>
          <w:rFonts w:cstheme="minorHAnsi"/>
          <w:sz w:val="24"/>
          <w:szCs w:val="24"/>
        </w:rPr>
        <w:t>;</w:t>
      </w:r>
      <w:r w:rsidR="005675AB" w:rsidRPr="00342E2A">
        <w:rPr>
          <w:rFonts w:cstheme="minorHAnsi"/>
          <w:sz w:val="24"/>
          <w:szCs w:val="24"/>
        </w:rPr>
        <w:t xml:space="preserve"> </w:t>
      </w:r>
      <w:r w:rsidR="00403417" w:rsidRPr="00342E2A">
        <w:rPr>
          <w:rFonts w:cstheme="minorHAnsi"/>
          <w:sz w:val="24"/>
          <w:szCs w:val="24"/>
        </w:rPr>
        <w:t>and</w:t>
      </w:r>
      <w:r w:rsidR="00745D38" w:rsidRPr="00342E2A">
        <w:rPr>
          <w:rFonts w:cstheme="minorHAnsi"/>
          <w:sz w:val="24"/>
          <w:szCs w:val="24"/>
        </w:rPr>
        <w:t>,</w:t>
      </w:r>
      <w:r w:rsidR="00342E2A" w:rsidRPr="00342E2A">
        <w:rPr>
          <w:rFonts w:cstheme="minorHAnsi"/>
          <w:sz w:val="24"/>
          <w:szCs w:val="24"/>
        </w:rPr>
        <w:t xml:space="preserve"> 3)</w:t>
      </w:r>
      <w:r w:rsidR="00403417" w:rsidRPr="00342E2A">
        <w:rPr>
          <w:rFonts w:cstheme="minorHAnsi"/>
          <w:sz w:val="24"/>
          <w:szCs w:val="24"/>
        </w:rPr>
        <w:t xml:space="preserve"> the </w:t>
      </w:r>
      <w:r w:rsidR="005675AB" w:rsidRPr="00342E2A">
        <w:rPr>
          <w:rFonts w:cstheme="minorHAnsi"/>
          <w:sz w:val="24"/>
          <w:szCs w:val="24"/>
        </w:rPr>
        <w:t xml:space="preserve">vehicle miles travelled </w:t>
      </w:r>
      <w:r w:rsidR="00C46910" w:rsidRPr="00342E2A">
        <w:rPr>
          <w:rFonts w:cstheme="minorHAnsi"/>
          <w:sz w:val="24"/>
          <w:szCs w:val="24"/>
        </w:rPr>
        <w:t xml:space="preserve">and emissions produced </w:t>
      </w:r>
      <w:r w:rsidR="005675AB" w:rsidRPr="00342E2A">
        <w:rPr>
          <w:rFonts w:cstheme="minorHAnsi"/>
          <w:sz w:val="24"/>
          <w:szCs w:val="24"/>
        </w:rPr>
        <w:t>f</w:t>
      </w:r>
      <w:r w:rsidR="00C46910" w:rsidRPr="00342E2A">
        <w:rPr>
          <w:rFonts w:cstheme="minorHAnsi"/>
          <w:sz w:val="24"/>
          <w:szCs w:val="24"/>
        </w:rPr>
        <w:t>rom</w:t>
      </w:r>
      <w:r w:rsidR="005675AB" w:rsidRPr="00342E2A">
        <w:rPr>
          <w:rFonts w:cstheme="minorHAnsi"/>
          <w:sz w:val="24"/>
          <w:szCs w:val="24"/>
        </w:rPr>
        <w:t xml:space="preserve"> disposal of such materials.  </w:t>
      </w:r>
    </w:p>
    <w:p w14:paraId="2C4C68D1" w14:textId="77777777" w:rsidR="007E00FB" w:rsidRPr="007403B0" w:rsidRDefault="007E00FB" w:rsidP="006357E8">
      <w:pPr>
        <w:jc w:val="both"/>
        <w:rPr>
          <w:rFonts w:cstheme="minorHAnsi"/>
          <w:sz w:val="24"/>
          <w:szCs w:val="24"/>
          <w:u w:val="single"/>
        </w:rPr>
      </w:pPr>
      <w:r w:rsidRPr="007403B0">
        <w:rPr>
          <w:rFonts w:cstheme="minorHAnsi"/>
          <w:sz w:val="24"/>
          <w:szCs w:val="24"/>
          <w:u w:val="single"/>
        </w:rPr>
        <w:t>Hazardous Materials</w:t>
      </w:r>
    </w:p>
    <w:p w14:paraId="0FD639F9" w14:textId="0DD75A3C" w:rsidR="008F2E13" w:rsidRPr="004716DD" w:rsidRDefault="00142CF1" w:rsidP="004716DD">
      <w:pPr>
        <w:ind w:firstLine="720"/>
        <w:jc w:val="both"/>
        <w:rPr>
          <w:rFonts w:cstheme="minorHAnsi"/>
          <w:sz w:val="24"/>
          <w:szCs w:val="24"/>
        </w:rPr>
      </w:pPr>
      <w:r w:rsidRPr="004716DD">
        <w:rPr>
          <w:rFonts w:eastAsia="Times New Roman" w:cstheme="minorHAnsi"/>
          <w:sz w:val="24"/>
          <w:szCs w:val="24"/>
        </w:rPr>
        <w:t>During</w:t>
      </w:r>
      <w:r w:rsidR="008F2E13" w:rsidRPr="004716DD">
        <w:rPr>
          <w:rFonts w:eastAsia="Times New Roman" w:cstheme="minorHAnsi"/>
          <w:sz w:val="24"/>
          <w:szCs w:val="24"/>
        </w:rPr>
        <w:t xml:space="preserve"> the first NOP/DEIR </w:t>
      </w:r>
      <w:r w:rsidRPr="004716DD">
        <w:rPr>
          <w:rFonts w:eastAsia="Times New Roman" w:cstheme="minorHAnsi"/>
          <w:sz w:val="24"/>
          <w:szCs w:val="24"/>
        </w:rPr>
        <w:t xml:space="preserve">scoping exercise, VOTMA </w:t>
      </w:r>
      <w:r w:rsidR="008F2E13" w:rsidRPr="004716DD">
        <w:rPr>
          <w:rFonts w:eastAsia="Times New Roman" w:cstheme="minorHAnsi"/>
          <w:sz w:val="24"/>
          <w:szCs w:val="24"/>
        </w:rPr>
        <w:t>identified an apparent gap in testing for hazardous material</w:t>
      </w:r>
      <w:r w:rsidRPr="004716DD">
        <w:rPr>
          <w:rFonts w:eastAsia="Times New Roman" w:cstheme="minorHAnsi"/>
          <w:sz w:val="24"/>
          <w:szCs w:val="24"/>
        </w:rPr>
        <w:t>s</w:t>
      </w:r>
      <w:r w:rsidR="007403B0" w:rsidRPr="004716DD">
        <w:rPr>
          <w:rFonts w:eastAsia="Times New Roman" w:cstheme="minorHAnsi"/>
          <w:sz w:val="24"/>
          <w:szCs w:val="24"/>
        </w:rPr>
        <w:t>.</w:t>
      </w:r>
      <w:r w:rsidRPr="004716DD">
        <w:rPr>
          <w:rFonts w:eastAsia="Times New Roman" w:cstheme="minorHAnsi"/>
          <w:sz w:val="24"/>
          <w:szCs w:val="24"/>
        </w:rPr>
        <w:t xml:space="preserve">  </w:t>
      </w:r>
      <w:r w:rsidRPr="004716DD">
        <w:rPr>
          <w:rFonts w:eastAsia="Times New Roman" w:cstheme="minorHAnsi"/>
          <w:i/>
          <w:iCs/>
          <w:sz w:val="24"/>
          <w:szCs w:val="24"/>
        </w:rPr>
        <w:t xml:space="preserve">See </w:t>
      </w:r>
      <w:r w:rsidRPr="004716DD">
        <w:rPr>
          <w:rFonts w:eastAsia="Times New Roman" w:cstheme="minorHAnsi"/>
          <w:sz w:val="24"/>
          <w:szCs w:val="24"/>
        </w:rPr>
        <w:t xml:space="preserve">letter </w:t>
      </w:r>
      <w:r w:rsidR="007403B0" w:rsidRPr="004716DD">
        <w:rPr>
          <w:rFonts w:eastAsia="Times New Roman" w:cstheme="minorHAnsi"/>
          <w:sz w:val="24"/>
          <w:szCs w:val="24"/>
        </w:rPr>
        <w:t xml:space="preserve">from VOTMA </w:t>
      </w:r>
      <w:r w:rsidRPr="004716DD">
        <w:rPr>
          <w:rFonts w:eastAsia="Times New Roman" w:cstheme="minorHAnsi"/>
          <w:sz w:val="24"/>
          <w:szCs w:val="24"/>
        </w:rPr>
        <w:t>to Permi</w:t>
      </w:r>
      <w:r w:rsidR="007403B0" w:rsidRPr="004716DD">
        <w:rPr>
          <w:rFonts w:eastAsia="Times New Roman" w:cstheme="minorHAnsi"/>
          <w:sz w:val="24"/>
          <w:szCs w:val="24"/>
        </w:rPr>
        <w:t>t</w:t>
      </w:r>
      <w:r w:rsidRPr="004716DD">
        <w:rPr>
          <w:rFonts w:eastAsia="Times New Roman" w:cstheme="minorHAnsi"/>
          <w:sz w:val="24"/>
          <w:szCs w:val="24"/>
        </w:rPr>
        <w:t xml:space="preserve"> Sonoma dated </w:t>
      </w:r>
      <w:r w:rsidRPr="004716DD">
        <w:rPr>
          <w:rFonts w:cstheme="minorHAnsi"/>
          <w:sz w:val="24"/>
          <w:szCs w:val="24"/>
        </w:rPr>
        <w:t>March 24, 2022</w:t>
      </w:r>
      <w:r w:rsidR="009A04C4">
        <w:rPr>
          <w:rFonts w:cstheme="minorHAnsi"/>
          <w:sz w:val="24"/>
          <w:szCs w:val="24"/>
        </w:rPr>
        <w:t xml:space="preserve"> (to the attention of Brian Oh)</w:t>
      </w:r>
      <w:r w:rsidR="007403B0" w:rsidRPr="004716DD">
        <w:rPr>
          <w:rFonts w:cstheme="minorHAnsi"/>
          <w:sz w:val="24"/>
          <w:szCs w:val="24"/>
        </w:rPr>
        <w:t>, which is incorporated by reference in these comments</w:t>
      </w:r>
      <w:r w:rsidR="007403B0" w:rsidRPr="00FF5D9C">
        <w:rPr>
          <w:rFonts w:cstheme="minorHAnsi"/>
          <w:sz w:val="24"/>
          <w:szCs w:val="24"/>
        </w:rPr>
        <w:t xml:space="preserve">.  </w:t>
      </w:r>
      <w:r w:rsidR="00CA4873" w:rsidRPr="004716DD">
        <w:rPr>
          <w:sz w:val="24"/>
          <w:szCs w:val="24"/>
        </w:rPr>
        <w:t xml:space="preserve">In VOTMA’s view, the work to date to uncover and assess the presence of toxic materials and other hazards that do or would pose risks to the environment in terms of the broad scope of known and future development of the Project site has been inadequate. </w:t>
      </w:r>
      <w:r w:rsidR="004464C2">
        <w:rPr>
          <w:sz w:val="24"/>
          <w:szCs w:val="24"/>
        </w:rPr>
        <w:t xml:space="preserve"> </w:t>
      </w:r>
      <w:r w:rsidR="00C31F92" w:rsidRPr="004716DD">
        <w:rPr>
          <w:sz w:val="24"/>
          <w:szCs w:val="24"/>
        </w:rPr>
        <w:t>The 2017 and 2018 analyses were limited</w:t>
      </w:r>
      <w:r w:rsidR="00F553A1" w:rsidRPr="004716DD">
        <w:rPr>
          <w:sz w:val="24"/>
          <w:szCs w:val="24"/>
        </w:rPr>
        <w:t xml:space="preserve">, and even they </w:t>
      </w:r>
      <w:r w:rsidR="00332417" w:rsidRPr="004716DD">
        <w:rPr>
          <w:sz w:val="24"/>
          <w:szCs w:val="24"/>
        </w:rPr>
        <w:t xml:space="preserve">stated that more work needed to be done.  </w:t>
      </w:r>
      <w:r w:rsidR="009B0B0E" w:rsidRPr="004716DD">
        <w:rPr>
          <w:sz w:val="24"/>
          <w:szCs w:val="24"/>
        </w:rPr>
        <w:t xml:space="preserve">VOTMA has no record of these concerns or our March </w:t>
      </w:r>
      <w:r w:rsidR="00FC464A">
        <w:rPr>
          <w:sz w:val="24"/>
          <w:szCs w:val="24"/>
        </w:rPr>
        <w:t>20</w:t>
      </w:r>
      <w:r w:rsidR="009B0B0E" w:rsidRPr="004716DD">
        <w:rPr>
          <w:sz w:val="24"/>
          <w:szCs w:val="24"/>
        </w:rPr>
        <w:t>22 letter being addressed</w:t>
      </w:r>
      <w:r w:rsidR="00F74CE3">
        <w:rPr>
          <w:sz w:val="24"/>
          <w:szCs w:val="24"/>
        </w:rPr>
        <w:t xml:space="preserve"> or further testing being done</w:t>
      </w:r>
      <w:r w:rsidR="009B0B0E" w:rsidRPr="004716DD">
        <w:rPr>
          <w:sz w:val="24"/>
          <w:szCs w:val="24"/>
        </w:rPr>
        <w:t xml:space="preserve">.  </w:t>
      </w:r>
      <w:r w:rsidR="00FA42D4" w:rsidRPr="004716DD">
        <w:rPr>
          <w:sz w:val="24"/>
          <w:szCs w:val="24"/>
        </w:rPr>
        <w:t>If there are hazardous</w:t>
      </w:r>
      <w:r w:rsidR="00DE4FE9" w:rsidRPr="004716DD">
        <w:rPr>
          <w:sz w:val="24"/>
          <w:szCs w:val="24"/>
        </w:rPr>
        <w:t xml:space="preserve"> materials present from</w:t>
      </w:r>
      <w:r w:rsidR="00CA4873" w:rsidRPr="004716DD">
        <w:rPr>
          <w:sz w:val="24"/>
          <w:szCs w:val="24"/>
        </w:rPr>
        <w:t xml:space="preserve"> the 125 or so years of operation as a public developmental center</w:t>
      </w:r>
      <w:r w:rsidR="00DE4FE9" w:rsidRPr="004716DD">
        <w:rPr>
          <w:sz w:val="24"/>
          <w:szCs w:val="24"/>
        </w:rPr>
        <w:t xml:space="preserve">, </w:t>
      </w:r>
      <w:r w:rsidR="0037535A" w:rsidRPr="004716DD">
        <w:rPr>
          <w:sz w:val="24"/>
          <w:szCs w:val="24"/>
        </w:rPr>
        <w:t xml:space="preserve">those hazards should be identified and </w:t>
      </w:r>
      <w:r w:rsidR="00DE4FE9" w:rsidRPr="004716DD">
        <w:rPr>
          <w:sz w:val="24"/>
          <w:szCs w:val="24"/>
        </w:rPr>
        <w:t>t</w:t>
      </w:r>
      <w:r w:rsidR="00CA4873" w:rsidRPr="004716DD">
        <w:rPr>
          <w:sz w:val="24"/>
          <w:szCs w:val="24"/>
        </w:rPr>
        <w:t xml:space="preserve">he State of California has an obligation to face that </w:t>
      </w:r>
      <w:r w:rsidR="00CA4873" w:rsidRPr="004716DD">
        <w:rPr>
          <w:sz w:val="24"/>
          <w:szCs w:val="24"/>
        </w:rPr>
        <w:lastRenderedPageBreak/>
        <w:t>responsibility.</w:t>
      </w:r>
      <w:r w:rsidR="00FF5D9C" w:rsidRPr="004716DD">
        <w:rPr>
          <w:sz w:val="24"/>
          <w:szCs w:val="24"/>
        </w:rPr>
        <w:t xml:space="preserve"> </w:t>
      </w:r>
      <w:r w:rsidR="00CA4873" w:rsidRPr="004716DD">
        <w:rPr>
          <w:sz w:val="24"/>
          <w:szCs w:val="24"/>
        </w:rPr>
        <w:t xml:space="preserve"> It should not be allowed to simply transfer these public lands for development and holding by private or other non-governmental parties with potentially significant unknown or unassessed hazards present as latent risks for those who follow and for the public generally.</w:t>
      </w:r>
      <w:r w:rsidR="00054FBE">
        <w:rPr>
          <w:sz w:val="24"/>
          <w:szCs w:val="24"/>
        </w:rPr>
        <w:t xml:space="preserve"> </w:t>
      </w:r>
      <w:r w:rsidR="00CA4873" w:rsidRPr="004716DD">
        <w:rPr>
          <w:sz w:val="24"/>
          <w:szCs w:val="24"/>
        </w:rPr>
        <w:t xml:space="preserve"> At a minimum</w:t>
      </w:r>
      <w:r w:rsidR="00D47468" w:rsidRPr="004716DD">
        <w:rPr>
          <w:sz w:val="24"/>
          <w:szCs w:val="24"/>
        </w:rPr>
        <w:t>,</w:t>
      </w:r>
      <w:r w:rsidR="00CA4873" w:rsidRPr="004716DD">
        <w:rPr>
          <w:sz w:val="24"/>
          <w:szCs w:val="24"/>
        </w:rPr>
        <w:t xml:space="preserve"> potential developers are entitled to know what risks they are buying into and assuming.</w:t>
      </w:r>
    </w:p>
    <w:p w14:paraId="724F1888" w14:textId="3F369705" w:rsidR="006357E8" w:rsidRPr="00147B8D" w:rsidRDefault="006357E8" w:rsidP="006357E8">
      <w:pPr>
        <w:jc w:val="both"/>
        <w:rPr>
          <w:sz w:val="24"/>
          <w:szCs w:val="24"/>
          <w:u w:val="single"/>
        </w:rPr>
      </w:pPr>
      <w:r w:rsidRPr="00147B8D">
        <w:rPr>
          <w:sz w:val="24"/>
          <w:szCs w:val="24"/>
          <w:u w:val="single"/>
        </w:rPr>
        <w:t>Cumulative Impacts</w:t>
      </w:r>
    </w:p>
    <w:p w14:paraId="5F6D114A" w14:textId="77777777" w:rsidR="006357E8" w:rsidRPr="00147B8D" w:rsidRDefault="006357E8" w:rsidP="006357E8">
      <w:pPr>
        <w:ind w:firstLine="720"/>
        <w:jc w:val="both"/>
        <w:rPr>
          <w:rFonts w:eastAsia="Times New Roman" w:cstheme="minorHAnsi"/>
          <w:sz w:val="24"/>
          <w:szCs w:val="24"/>
        </w:rPr>
      </w:pPr>
      <w:r w:rsidRPr="00147B8D">
        <w:rPr>
          <w:rFonts w:eastAsia="Times New Roman" w:cstheme="minorHAnsi"/>
          <w:sz w:val="24"/>
          <w:szCs w:val="24"/>
        </w:rPr>
        <w:t xml:space="preserve">In developing the Specific Plan for the property, the SDC Enabling Legislation defines the property as </w:t>
      </w:r>
      <w:r w:rsidRPr="00147B8D">
        <w:rPr>
          <w:rFonts w:cstheme="minorHAnsi"/>
          <w:sz w:val="24"/>
          <w:szCs w:val="24"/>
        </w:rPr>
        <w:t>“all state-owned real property comprising the Sonoma Developmental Center”.  This includes the State Park lands and the property proposed for a CalFire training center that have been part of the SDC property.  T</w:t>
      </w:r>
      <w:r w:rsidRPr="00147B8D">
        <w:rPr>
          <w:rFonts w:eastAsia="Times New Roman" w:cstheme="minorHAnsi"/>
          <w:sz w:val="24"/>
          <w:szCs w:val="24"/>
        </w:rPr>
        <w:t>he CalFire project needs to be assessed as a cumulative impact of a known project that will interact with the SDC project development, including what the water demands and water source proposed will be, including whether groundwater will be used.  </w:t>
      </w:r>
    </w:p>
    <w:p w14:paraId="763D35B2" w14:textId="77777777" w:rsidR="006357E8" w:rsidRDefault="006357E8" w:rsidP="006357E8">
      <w:pPr>
        <w:ind w:firstLine="720"/>
        <w:jc w:val="both"/>
        <w:rPr>
          <w:rFonts w:eastAsia="Times New Roman" w:cstheme="minorHAnsi"/>
          <w:sz w:val="24"/>
          <w:szCs w:val="24"/>
        </w:rPr>
      </w:pPr>
      <w:r w:rsidRPr="00147B8D">
        <w:rPr>
          <w:rFonts w:eastAsia="Times New Roman" w:cstheme="minorHAnsi"/>
          <w:sz w:val="24"/>
          <w:szCs w:val="24"/>
        </w:rPr>
        <w:t xml:space="preserve"> State Parks </w:t>
      </w:r>
      <w:r>
        <w:rPr>
          <w:rFonts w:eastAsia="Times New Roman" w:cstheme="minorHAnsi"/>
          <w:sz w:val="24"/>
          <w:szCs w:val="24"/>
        </w:rPr>
        <w:t xml:space="preserve">should also </w:t>
      </w:r>
      <w:r w:rsidRPr="00147B8D">
        <w:rPr>
          <w:rFonts w:eastAsia="Times New Roman" w:cstheme="minorHAnsi"/>
          <w:sz w:val="24"/>
          <w:szCs w:val="24"/>
        </w:rPr>
        <w:t>disclose its plans for development and use of the acreage already transferred to it</w:t>
      </w:r>
      <w:r>
        <w:rPr>
          <w:rFonts w:eastAsia="Times New Roman" w:cstheme="minorHAnsi"/>
          <w:sz w:val="24"/>
          <w:szCs w:val="24"/>
        </w:rPr>
        <w:t>, particularly as it relates to the effects on the wildlife corridor and to water rights and usage that the Eldridge Renewal proposal appears to assume it will have some access to</w:t>
      </w:r>
      <w:r w:rsidRPr="00147B8D">
        <w:rPr>
          <w:rFonts w:eastAsia="Times New Roman" w:cstheme="minorHAnsi"/>
          <w:sz w:val="24"/>
          <w:szCs w:val="24"/>
        </w:rPr>
        <w:t>.</w:t>
      </w:r>
      <w:r>
        <w:rPr>
          <w:rFonts w:eastAsia="Times New Roman" w:cstheme="minorHAnsi"/>
          <w:sz w:val="24"/>
          <w:szCs w:val="24"/>
        </w:rPr>
        <w:t xml:space="preserve">  Those rights and usage need to be defined and assessed.</w:t>
      </w:r>
    </w:p>
    <w:p w14:paraId="58AF3045" w14:textId="7F64BDDB" w:rsidR="006527CC" w:rsidRPr="00C45D3A" w:rsidRDefault="00291D23" w:rsidP="00C45D3A">
      <w:pPr>
        <w:ind w:firstLine="720"/>
        <w:jc w:val="both"/>
        <w:rPr>
          <w:rFonts w:eastAsia="Times New Roman" w:cstheme="minorHAnsi"/>
          <w:sz w:val="24"/>
          <w:szCs w:val="24"/>
        </w:rPr>
      </w:pPr>
      <w:r>
        <w:rPr>
          <w:rFonts w:eastAsia="Times New Roman" w:cstheme="minorHAnsi"/>
          <w:sz w:val="24"/>
          <w:szCs w:val="24"/>
        </w:rPr>
        <w:t>Finally, unless the Hanna Center proposed development has been perman</w:t>
      </w:r>
      <w:r w:rsidR="00386D3C">
        <w:rPr>
          <w:rFonts w:eastAsia="Times New Roman" w:cstheme="minorHAnsi"/>
          <w:sz w:val="24"/>
          <w:szCs w:val="24"/>
        </w:rPr>
        <w:t>en</w:t>
      </w:r>
      <w:r>
        <w:rPr>
          <w:rFonts w:eastAsia="Times New Roman" w:cstheme="minorHAnsi"/>
          <w:sz w:val="24"/>
          <w:szCs w:val="24"/>
        </w:rPr>
        <w:t>tly withdrawn</w:t>
      </w:r>
      <w:r w:rsidR="00386D3C">
        <w:rPr>
          <w:rFonts w:eastAsia="Times New Roman" w:cstheme="minorHAnsi"/>
          <w:sz w:val="24"/>
          <w:szCs w:val="24"/>
        </w:rPr>
        <w:t xml:space="preserve">, its effects should be considered in a cumulative impact analysis.  </w:t>
      </w:r>
    </w:p>
    <w:p w14:paraId="473D6CC5" w14:textId="77777777" w:rsidR="00C45D3A" w:rsidRPr="00DB5335" w:rsidRDefault="00C45D3A" w:rsidP="00C45D3A">
      <w:pPr>
        <w:jc w:val="both"/>
        <w:rPr>
          <w:rFonts w:eastAsia="Times New Roman" w:cstheme="minorHAnsi"/>
          <w:sz w:val="24"/>
          <w:szCs w:val="24"/>
          <w:u w:val="single"/>
        </w:rPr>
      </w:pPr>
      <w:r w:rsidRPr="00DB5335">
        <w:rPr>
          <w:rFonts w:eastAsia="Times New Roman" w:cstheme="minorHAnsi"/>
          <w:sz w:val="24"/>
          <w:szCs w:val="24"/>
          <w:u w:val="single"/>
        </w:rPr>
        <w:t xml:space="preserve">Enabling a Fair and Open Feasibility Comparison  </w:t>
      </w:r>
    </w:p>
    <w:p w14:paraId="1A828F32" w14:textId="77777777" w:rsidR="00C45D3A" w:rsidRPr="00657A50" w:rsidRDefault="00C45D3A" w:rsidP="00C45D3A">
      <w:pPr>
        <w:spacing w:after="0" w:line="240" w:lineRule="auto"/>
        <w:ind w:firstLine="720"/>
        <w:jc w:val="both"/>
        <w:rPr>
          <w:sz w:val="24"/>
          <w:szCs w:val="24"/>
        </w:rPr>
      </w:pPr>
      <w:r>
        <w:rPr>
          <w:rFonts w:eastAsia="Times New Roman" w:cstheme="minorHAnsi"/>
          <w:sz w:val="24"/>
          <w:szCs w:val="24"/>
        </w:rPr>
        <w:t xml:space="preserve">In assessing the economic feasibility of the Eldridge Renewal project and the Provide, Protect and Preserve </w:t>
      </w:r>
      <w:r>
        <w:rPr>
          <w:sz w:val="24"/>
          <w:szCs w:val="24"/>
        </w:rPr>
        <w:t>alternative, the analysis needs to include, inter alia, the alternative’s</w:t>
      </w:r>
    </w:p>
    <w:p w14:paraId="1DBC2B89" w14:textId="77777777" w:rsidR="00C45D3A" w:rsidRPr="00657A50" w:rsidRDefault="00C45D3A" w:rsidP="00C45D3A">
      <w:pPr>
        <w:pStyle w:val="ListParagraph"/>
        <w:numPr>
          <w:ilvl w:val="1"/>
          <w:numId w:val="2"/>
        </w:numPr>
        <w:spacing w:after="0" w:line="240" w:lineRule="auto"/>
        <w:jc w:val="both"/>
        <w:rPr>
          <w:sz w:val="24"/>
          <w:szCs w:val="24"/>
        </w:rPr>
      </w:pPr>
      <w:r w:rsidRPr="00657A50">
        <w:rPr>
          <w:sz w:val="24"/>
          <w:szCs w:val="24"/>
        </w:rPr>
        <w:t xml:space="preserve">Avoidance of the costs of demolition </w:t>
      </w:r>
      <w:r>
        <w:rPr>
          <w:sz w:val="24"/>
          <w:szCs w:val="24"/>
        </w:rPr>
        <w:t>and</w:t>
      </w:r>
      <w:r w:rsidRPr="00657A50">
        <w:rPr>
          <w:sz w:val="24"/>
          <w:szCs w:val="24"/>
        </w:rPr>
        <w:t xml:space="preserve"> long-haul disposal of hazardous waste at specialized out-of-state disposal sites</w:t>
      </w:r>
      <w:r>
        <w:rPr>
          <w:sz w:val="24"/>
          <w:szCs w:val="24"/>
        </w:rPr>
        <w:t>, as well as the environmental consequences of such demolition and disposal</w:t>
      </w:r>
      <w:r w:rsidRPr="00657A50">
        <w:rPr>
          <w:sz w:val="24"/>
          <w:szCs w:val="24"/>
        </w:rPr>
        <w:t xml:space="preserve">; </w:t>
      </w:r>
    </w:p>
    <w:p w14:paraId="56DEED5A" w14:textId="77777777" w:rsidR="00C45D3A" w:rsidRPr="00657A50" w:rsidRDefault="00C45D3A" w:rsidP="00C45D3A">
      <w:pPr>
        <w:pStyle w:val="ListParagraph"/>
        <w:numPr>
          <w:ilvl w:val="1"/>
          <w:numId w:val="2"/>
        </w:numPr>
        <w:spacing w:after="0" w:line="240" w:lineRule="auto"/>
        <w:jc w:val="both"/>
        <w:rPr>
          <w:sz w:val="24"/>
          <w:szCs w:val="24"/>
        </w:rPr>
      </w:pPr>
      <w:r w:rsidRPr="00657A50">
        <w:rPr>
          <w:sz w:val="24"/>
          <w:szCs w:val="24"/>
        </w:rPr>
        <w:t xml:space="preserve">Avoidance of costs of rebuilding and expansion of the street system; </w:t>
      </w:r>
    </w:p>
    <w:p w14:paraId="41447395" w14:textId="6E795754" w:rsidR="00C45D3A" w:rsidRPr="00657A50" w:rsidRDefault="00C45D3A" w:rsidP="00C45D3A">
      <w:pPr>
        <w:pStyle w:val="ListParagraph"/>
        <w:numPr>
          <w:ilvl w:val="1"/>
          <w:numId w:val="2"/>
        </w:numPr>
        <w:spacing w:after="0" w:line="240" w:lineRule="auto"/>
        <w:jc w:val="both"/>
        <w:rPr>
          <w:sz w:val="24"/>
          <w:szCs w:val="24"/>
        </w:rPr>
      </w:pPr>
      <w:r w:rsidRPr="00657A50">
        <w:rPr>
          <w:sz w:val="24"/>
          <w:szCs w:val="24"/>
        </w:rPr>
        <w:t>Avoidance of the cost of removing the present underground utility system, and of replacement with a new system required before any construction can begin on the site</w:t>
      </w:r>
      <w:r>
        <w:rPr>
          <w:sz w:val="24"/>
          <w:szCs w:val="24"/>
        </w:rPr>
        <w:t>,</w:t>
      </w:r>
      <w:r w:rsidRPr="00657A50">
        <w:rPr>
          <w:sz w:val="24"/>
          <w:szCs w:val="24"/>
        </w:rPr>
        <w:t xml:space="preserve"> </w:t>
      </w:r>
      <w:r>
        <w:rPr>
          <w:sz w:val="24"/>
          <w:szCs w:val="24"/>
        </w:rPr>
        <w:t xml:space="preserve">compared to the alternative’s </w:t>
      </w:r>
      <w:r w:rsidRPr="00657A50">
        <w:rPr>
          <w:sz w:val="24"/>
          <w:szCs w:val="24"/>
        </w:rPr>
        <w:t>new connections to existing trunk mains (water and sanitation) at a fraction of the cost of complete replacement</w:t>
      </w:r>
    </w:p>
    <w:p w14:paraId="7A12E574" w14:textId="77777777" w:rsidR="00C45D3A" w:rsidRPr="00657A50" w:rsidRDefault="00C45D3A" w:rsidP="00C45D3A">
      <w:pPr>
        <w:pStyle w:val="ListParagraph"/>
        <w:numPr>
          <w:ilvl w:val="1"/>
          <w:numId w:val="2"/>
        </w:numPr>
        <w:spacing w:after="0" w:line="240" w:lineRule="auto"/>
        <w:rPr>
          <w:sz w:val="24"/>
          <w:szCs w:val="24"/>
        </w:rPr>
      </w:pPr>
      <w:r w:rsidRPr="00657A50">
        <w:rPr>
          <w:sz w:val="24"/>
          <w:szCs w:val="24"/>
        </w:rPr>
        <w:t xml:space="preserve">No </w:t>
      </w:r>
      <w:r>
        <w:rPr>
          <w:sz w:val="24"/>
          <w:szCs w:val="24"/>
        </w:rPr>
        <w:t xml:space="preserve">significant </w:t>
      </w:r>
      <w:r w:rsidRPr="00657A50">
        <w:rPr>
          <w:sz w:val="24"/>
          <w:szCs w:val="24"/>
        </w:rPr>
        <w:t xml:space="preserve">extra load on existing utilities </w:t>
      </w:r>
      <w:r>
        <w:rPr>
          <w:sz w:val="24"/>
          <w:szCs w:val="24"/>
        </w:rPr>
        <w:t>in the alternative, and</w:t>
      </w:r>
    </w:p>
    <w:p w14:paraId="41F99A89" w14:textId="77777777" w:rsidR="00C45D3A" w:rsidRPr="00657A50" w:rsidRDefault="00C45D3A" w:rsidP="00C45D3A">
      <w:pPr>
        <w:pStyle w:val="ListParagraph"/>
        <w:numPr>
          <w:ilvl w:val="1"/>
          <w:numId w:val="2"/>
        </w:numPr>
        <w:spacing w:after="0" w:line="240" w:lineRule="auto"/>
        <w:rPr>
          <w:sz w:val="24"/>
          <w:szCs w:val="24"/>
        </w:rPr>
      </w:pPr>
      <w:r>
        <w:rPr>
          <w:sz w:val="24"/>
          <w:szCs w:val="24"/>
        </w:rPr>
        <w:t>Substantial t</w:t>
      </w:r>
      <w:r w:rsidRPr="00657A50">
        <w:rPr>
          <w:sz w:val="24"/>
          <w:szCs w:val="24"/>
        </w:rPr>
        <w:t>ax credits for converting existing historical structures to housing</w:t>
      </w:r>
      <w:r>
        <w:rPr>
          <w:sz w:val="24"/>
          <w:szCs w:val="24"/>
        </w:rPr>
        <w:t xml:space="preserve"> under the alternative, rather than tearing down such structures.</w:t>
      </w:r>
    </w:p>
    <w:p w14:paraId="1FAA5C4D" w14:textId="77777777" w:rsidR="00C45D3A" w:rsidRPr="006C01AB" w:rsidRDefault="00C45D3A" w:rsidP="00C45D3A">
      <w:pPr>
        <w:spacing w:after="0" w:line="240" w:lineRule="auto"/>
        <w:rPr>
          <w:sz w:val="24"/>
          <w:szCs w:val="24"/>
        </w:rPr>
      </w:pPr>
    </w:p>
    <w:p w14:paraId="3382F946" w14:textId="4CFA0DBD" w:rsidR="00423B37" w:rsidRPr="002D4EFA" w:rsidRDefault="00C45D3A" w:rsidP="008423F4">
      <w:pPr>
        <w:jc w:val="both"/>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tab/>
        <w:t>Finally, i</w:t>
      </w:r>
      <w:r w:rsidRPr="00642239">
        <w:rPr>
          <w:rFonts w:eastAsia="Times New Roman" w:cstheme="minorHAnsi"/>
          <w:sz w:val="24"/>
          <w:szCs w:val="24"/>
        </w:rPr>
        <w:t>n order to facilitate an accurate feasibility comparison as between the ER project operating as the proxy Specific Plan and other alternatives, the consideration and terms under which that property would be transferred by the State to E</w:t>
      </w:r>
      <w:r>
        <w:rPr>
          <w:rFonts w:eastAsia="Times New Roman" w:cstheme="minorHAnsi"/>
          <w:sz w:val="24"/>
          <w:szCs w:val="24"/>
        </w:rPr>
        <w:t xml:space="preserve">ldridge </w:t>
      </w:r>
      <w:r w:rsidRPr="00642239">
        <w:rPr>
          <w:rFonts w:eastAsia="Times New Roman" w:cstheme="minorHAnsi"/>
          <w:sz w:val="24"/>
          <w:szCs w:val="24"/>
        </w:rPr>
        <w:t>R</w:t>
      </w:r>
      <w:r>
        <w:rPr>
          <w:rFonts w:eastAsia="Times New Roman" w:cstheme="minorHAnsi"/>
          <w:sz w:val="24"/>
          <w:szCs w:val="24"/>
        </w:rPr>
        <w:t>enewal</w:t>
      </w:r>
      <w:r w:rsidRPr="00642239">
        <w:rPr>
          <w:rFonts w:eastAsia="Times New Roman" w:cstheme="minorHAnsi"/>
          <w:sz w:val="24"/>
          <w:szCs w:val="24"/>
        </w:rPr>
        <w:t xml:space="preserve">, and the allocations </w:t>
      </w:r>
      <w:r w:rsidRPr="00642239">
        <w:rPr>
          <w:rFonts w:eastAsia="Times New Roman" w:cstheme="minorHAnsi"/>
          <w:sz w:val="24"/>
          <w:szCs w:val="24"/>
        </w:rPr>
        <w:lastRenderedPageBreak/>
        <w:t xml:space="preserve">of risk for future costs, including potential contamination costs, should be publicly disclosed. Without that information the feasibility analysis process is </w:t>
      </w:r>
      <w:r w:rsidR="00FC464A">
        <w:rPr>
          <w:rFonts w:eastAsia="Times New Roman" w:cstheme="minorHAnsi"/>
          <w:sz w:val="24"/>
          <w:szCs w:val="24"/>
        </w:rPr>
        <w:t xml:space="preserve">not transparent and </w:t>
      </w:r>
      <w:r w:rsidRPr="00642239">
        <w:rPr>
          <w:rFonts w:eastAsia="Times New Roman" w:cstheme="minorHAnsi"/>
          <w:sz w:val="24"/>
          <w:szCs w:val="24"/>
        </w:rPr>
        <w:t>likely to be biased.  At a minimum the purchase price should be disclosed.</w:t>
      </w:r>
    </w:p>
    <w:p w14:paraId="550A6F83" w14:textId="37501951" w:rsidR="00BD12D7" w:rsidRPr="00151D84" w:rsidRDefault="00BD12D7" w:rsidP="002D4EFA">
      <w:pPr>
        <w:ind w:firstLine="720"/>
        <w:jc w:val="both"/>
        <w:rPr>
          <w:sz w:val="24"/>
          <w:szCs w:val="24"/>
        </w:rPr>
      </w:pPr>
      <w:r w:rsidRPr="00151D84">
        <w:rPr>
          <w:sz w:val="24"/>
          <w:szCs w:val="24"/>
        </w:rPr>
        <w:t>Respectfully submitted,</w:t>
      </w:r>
    </w:p>
    <w:p w14:paraId="135897BD" w14:textId="7C13CD7E" w:rsidR="00BD12D7" w:rsidRDefault="00BD12D7" w:rsidP="0019371E">
      <w:pPr>
        <w:ind w:firstLine="720"/>
        <w:jc w:val="both"/>
        <w:rPr>
          <w:sz w:val="24"/>
          <w:szCs w:val="24"/>
        </w:rPr>
      </w:pPr>
      <w:r w:rsidRPr="00151D84">
        <w:rPr>
          <w:sz w:val="24"/>
          <w:szCs w:val="24"/>
        </w:rPr>
        <w:t>The Valley of the Moon Alliance</w:t>
      </w:r>
    </w:p>
    <w:p w14:paraId="095C3437" w14:textId="3CEE0143" w:rsidR="0019371E" w:rsidRPr="002D4EFA" w:rsidRDefault="002D4EFA" w:rsidP="002D4EFA">
      <w:pPr>
        <w:ind w:firstLine="720"/>
        <w:jc w:val="both"/>
        <w:rPr>
          <w:sz w:val="24"/>
          <w:szCs w:val="24"/>
        </w:rPr>
      </w:pPr>
      <w:r>
        <w:rPr>
          <w:sz w:val="24"/>
          <w:szCs w:val="24"/>
        </w:rPr>
        <w:t>September 2025</w:t>
      </w:r>
      <w:r w:rsidR="00287E10" w:rsidRPr="00151D84">
        <w:rPr>
          <w:b/>
          <w:bCs/>
          <w:sz w:val="24"/>
          <w:szCs w:val="24"/>
          <w:u w:val="single"/>
        </w:rPr>
        <w:t xml:space="preserve"> </w:t>
      </w:r>
    </w:p>
    <w:sectPr w:rsidR="0019371E" w:rsidRPr="002D4EF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35F2" w14:textId="77777777" w:rsidR="009548D2" w:rsidRDefault="009548D2" w:rsidP="00BD61A9">
      <w:pPr>
        <w:spacing w:after="0" w:line="240" w:lineRule="auto"/>
      </w:pPr>
      <w:r>
        <w:separator/>
      </w:r>
    </w:p>
  </w:endnote>
  <w:endnote w:type="continuationSeparator" w:id="0">
    <w:p w14:paraId="10C30F3E" w14:textId="77777777" w:rsidR="009548D2" w:rsidRDefault="009548D2" w:rsidP="00BD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175085"/>
      <w:docPartObj>
        <w:docPartGallery w:val="Page Numbers (Bottom of Page)"/>
        <w:docPartUnique/>
      </w:docPartObj>
    </w:sdtPr>
    <w:sdtEndPr>
      <w:rPr>
        <w:noProof/>
      </w:rPr>
    </w:sdtEndPr>
    <w:sdtContent>
      <w:p w14:paraId="40D91A9D" w14:textId="33AA331F" w:rsidR="009B5E40" w:rsidRDefault="009B5E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1F511" w14:textId="77777777" w:rsidR="00BD61A9" w:rsidRDefault="00BD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B79D" w14:textId="77777777" w:rsidR="009548D2" w:rsidRDefault="009548D2" w:rsidP="00BD61A9">
      <w:pPr>
        <w:spacing w:after="0" w:line="240" w:lineRule="auto"/>
      </w:pPr>
      <w:r>
        <w:separator/>
      </w:r>
    </w:p>
  </w:footnote>
  <w:footnote w:type="continuationSeparator" w:id="0">
    <w:p w14:paraId="11AF7CEA" w14:textId="77777777" w:rsidR="009548D2" w:rsidRDefault="009548D2" w:rsidP="00BD61A9">
      <w:pPr>
        <w:spacing w:after="0" w:line="240" w:lineRule="auto"/>
      </w:pPr>
      <w:r>
        <w:continuationSeparator/>
      </w:r>
    </w:p>
  </w:footnote>
  <w:footnote w:id="1">
    <w:p w14:paraId="5A91B0C1" w14:textId="5591DA0B" w:rsidR="00B11429" w:rsidRDefault="00B11429">
      <w:pPr>
        <w:pStyle w:val="FootnoteText"/>
      </w:pPr>
      <w:r>
        <w:rPr>
          <w:rStyle w:val="FootnoteReference"/>
        </w:rPr>
        <w:footnoteRef/>
      </w:r>
      <w:r>
        <w:t xml:space="preserve"> </w:t>
      </w:r>
      <w:r w:rsidR="00530FB4">
        <w:t>Using a common population estimate for the number of people in a residence of 2.46</w:t>
      </w:r>
      <w:r w:rsidR="00BF25A1">
        <w:t xml:space="preserve"> people, 470 x 2.26 = 1,1156.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6472" w14:textId="65964BB0" w:rsidR="00BD61A9" w:rsidRDefault="00BD6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C17A9"/>
    <w:multiLevelType w:val="hybridMultilevel"/>
    <w:tmpl w:val="BF42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52AB9"/>
    <w:multiLevelType w:val="hybridMultilevel"/>
    <w:tmpl w:val="70E2E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2686623">
    <w:abstractNumId w:val="0"/>
  </w:num>
  <w:num w:numId="2" w16cid:durableId="199125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5F"/>
    <w:rsid w:val="00003E68"/>
    <w:rsid w:val="000109F5"/>
    <w:rsid w:val="00010C59"/>
    <w:rsid w:val="0001149C"/>
    <w:rsid w:val="00042BA2"/>
    <w:rsid w:val="00043D8F"/>
    <w:rsid w:val="000506CD"/>
    <w:rsid w:val="00054FBE"/>
    <w:rsid w:val="00057496"/>
    <w:rsid w:val="00057F69"/>
    <w:rsid w:val="00076E1D"/>
    <w:rsid w:val="000A3B5F"/>
    <w:rsid w:val="000B0EBA"/>
    <w:rsid w:val="000B2D08"/>
    <w:rsid w:val="000B5954"/>
    <w:rsid w:val="000C232E"/>
    <w:rsid w:val="000E15FC"/>
    <w:rsid w:val="000F0944"/>
    <w:rsid w:val="0010292C"/>
    <w:rsid w:val="00103AD2"/>
    <w:rsid w:val="0011647F"/>
    <w:rsid w:val="00125FB4"/>
    <w:rsid w:val="00131316"/>
    <w:rsid w:val="00131568"/>
    <w:rsid w:val="0013696F"/>
    <w:rsid w:val="00142CF1"/>
    <w:rsid w:val="00147B8D"/>
    <w:rsid w:val="001507D0"/>
    <w:rsid w:val="00151D84"/>
    <w:rsid w:val="0017022F"/>
    <w:rsid w:val="00173496"/>
    <w:rsid w:val="001747E5"/>
    <w:rsid w:val="001815CE"/>
    <w:rsid w:val="00181947"/>
    <w:rsid w:val="001837B6"/>
    <w:rsid w:val="0019371E"/>
    <w:rsid w:val="001964E6"/>
    <w:rsid w:val="001A0023"/>
    <w:rsid w:val="001A1EF0"/>
    <w:rsid w:val="001C0B05"/>
    <w:rsid w:val="001C5901"/>
    <w:rsid w:val="00213E80"/>
    <w:rsid w:val="0022782F"/>
    <w:rsid w:val="00263A30"/>
    <w:rsid w:val="00274537"/>
    <w:rsid w:val="0027719B"/>
    <w:rsid w:val="002800B8"/>
    <w:rsid w:val="00281A98"/>
    <w:rsid w:val="00287E10"/>
    <w:rsid w:val="00291BCD"/>
    <w:rsid w:val="00291D23"/>
    <w:rsid w:val="00296466"/>
    <w:rsid w:val="002A3B97"/>
    <w:rsid w:val="002B2AEE"/>
    <w:rsid w:val="002D46B9"/>
    <w:rsid w:val="002D49B1"/>
    <w:rsid w:val="002D4EFA"/>
    <w:rsid w:val="002F3349"/>
    <w:rsid w:val="002F4CF9"/>
    <w:rsid w:val="00315CC9"/>
    <w:rsid w:val="003239C5"/>
    <w:rsid w:val="00332417"/>
    <w:rsid w:val="00342E2A"/>
    <w:rsid w:val="00351CD2"/>
    <w:rsid w:val="0037535A"/>
    <w:rsid w:val="003757B0"/>
    <w:rsid w:val="003816D1"/>
    <w:rsid w:val="00386D3C"/>
    <w:rsid w:val="003A2AC4"/>
    <w:rsid w:val="003A4DDD"/>
    <w:rsid w:val="003B725A"/>
    <w:rsid w:val="003C778F"/>
    <w:rsid w:val="003D2DA0"/>
    <w:rsid w:val="00402578"/>
    <w:rsid w:val="00403417"/>
    <w:rsid w:val="004042FB"/>
    <w:rsid w:val="00410D62"/>
    <w:rsid w:val="00411402"/>
    <w:rsid w:val="00423B37"/>
    <w:rsid w:val="004464C2"/>
    <w:rsid w:val="004716DD"/>
    <w:rsid w:val="00473AFD"/>
    <w:rsid w:val="00484DB7"/>
    <w:rsid w:val="00495735"/>
    <w:rsid w:val="004B58F6"/>
    <w:rsid w:val="004B6E2C"/>
    <w:rsid w:val="004C5C92"/>
    <w:rsid w:val="004D0D7E"/>
    <w:rsid w:val="004E23BE"/>
    <w:rsid w:val="004E6619"/>
    <w:rsid w:val="004F6DF4"/>
    <w:rsid w:val="00502AC8"/>
    <w:rsid w:val="00530FB4"/>
    <w:rsid w:val="00552DCD"/>
    <w:rsid w:val="005675AB"/>
    <w:rsid w:val="005734D7"/>
    <w:rsid w:val="005763AE"/>
    <w:rsid w:val="00587441"/>
    <w:rsid w:val="005A2036"/>
    <w:rsid w:val="005B3301"/>
    <w:rsid w:val="005C0BE2"/>
    <w:rsid w:val="005D02AA"/>
    <w:rsid w:val="005E58F3"/>
    <w:rsid w:val="005E6252"/>
    <w:rsid w:val="00601B29"/>
    <w:rsid w:val="006042A5"/>
    <w:rsid w:val="006330ED"/>
    <w:rsid w:val="006357E8"/>
    <w:rsid w:val="006420BB"/>
    <w:rsid w:val="00642239"/>
    <w:rsid w:val="006508A3"/>
    <w:rsid w:val="006527CC"/>
    <w:rsid w:val="00657A50"/>
    <w:rsid w:val="006659ED"/>
    <w:rsid w:val="00665CD7"/>
    <w:rsid w:val="00673DBF"/>
    <w:rsid w:val="006A65DB"/>
    <w:rsid w:val="006B0C4F"/>
    <w:rsid w:val="006C01AB"/>
    <w:rsid w:val="006F7338"/>
    <w:rsid w:val="00712C7C"/>
    <w:rsid w:val="00715B40"/>
    <w:rsid w:val="00715CFA"/>
    <w:rsid w:val="007372F6"/>
    <w:rsid w:val="007403B0"/>
    <w:rsid w:val="0074132F"/>
    <w:rsid w:val="00745D38"/>
    <w:rsid w:val="0077033B"/>
    <w:rsid w:val="007759FC"/>
    <w:rsid w:val="00783A91"/>
    <w:rsid w:val="00783C18"/>
    <w:rsid w:val="007A677F"/>
    <w:rsid w:val="007D5301"/>
    <w:rsid w:val="007E00FB"/>
    <w:rsid w:val="007E1735"/>
    <w:rsid w:val="00807660"/>
    <w:rsid w:val="00816A82"/>
    <w:rsid w:val="00821D94"/>
    <w:rsid w:val="008343A6"/>
    <w:rsid w:val="008423F4"/>
    <w:rsid w:val="00844D21"/>
    <w:rsid w:val="00860A8C"/>
    <w:rsid w:val="00862099"/>
    <w:rsid w:val="00872E7E"/>
    <w:rsid w:val="0087749E"/>
    <w:rsid w:val="00882E17"/>
    <w:rsid w:val="0088461F"/>
    <w:rsid w:val="008961CE"/>
    <w:rsid w:val="008A0466"/>
    <w:rsid w:val="008C5C86"/>
    <w:rsid w:val="008E02C7"/>
    <w:rsid w:val="008E1280"/>
    <w:rsid w:val="008E2E77"/>
    <w:rsid w:val="008E6710"/>
    <w:rsid w:val="008E745D"/>
    <w:rsid w:val="008F2E13"/>
    <w:rsid w:val="00911F4D"/>
    <w:rsid w:val="00915C86"/>
    <w:rsid w:val="00925AB4"/>
    <w:rsid w:val="00944200"/>
    <w:rsid w:val="0094499A"/>
    <w:rsid w:val="0095037D"/>
    <w:rsid w:val="009548D2"/>
    <w:rsid w:val="0096562B"/>
    <w:rsid w:val="0098698F"/>
    <w:rsid w:val="009A04C4"/>
    <w:rsid w:val="009B0B0E"/>
    <w:rsid w:val="009B272A"/>
    <w:rsid w:val="009B5E40"/>
    <w:rsid w:val="009C39DC"/>
    <w:rsid w:val="009C3AF1"/>
    <w:rsid w:val="009E133A"/>
    <w:rsid w:val="009F1D92"/>
    <w:rsid w:val="00A022A6"/>
    <w:rsid w:val="00A268D8"/>
    <w:rsid w:val="00A51EC7"/>
    <w:rsid w:val="00A94994"/>
    <w:rsid w:val="00AA6CF6"/>
    <w:rsid w:val="00AB1BE3"/>
    <w:rsid w:val="00AB3D45"/>
    <w:rsid w:val="00AB4696"/>
    <w:rsid w:val="00AB4D17"/>
    <w:rsid w:val="00AB4FEA"/>
    <w:rsid w:val="00AC6B8C"/>
    <w:rsid w:val="00AD03E6"/>
    <w:rsid w:val="00AF6991"/>
    <w:rsid w:val="00B02484"/>
    <w:rsid w:val="00B11429"/>
    <w:rsid w:val="00B20697"/>
    <w:rsid w:val="00B232B5"/>
    <w:rsid w:val="00B30F5E"/>
    <w:rsid w:val="00B36BA0"/>
    <w:rsid w:val="00B40637"/>
    <w:rsid w:val="00B56616"/>
    <w:rsid w:val="00B56EF3"/>
    <w:rsid w:val="00B5709D"/>
    <w:rsid w:val="00B6151F"/>
    <w:rsid w:val="00B62EC5"/>
    <w:rsid w:val="00B64C11"/>
    <w:rsid w:val="00B74928"/>
    <w:rsid w:val="00B75D21"/>
    <w:rsid w:val="00B81E3A"/>
    <w:rsid w:val="00B856E1"/>
    <w:rsid w:val="00B91A3F"/>
    <w:rsid w:val="00B93FD6"/>
    <w:rsid w:val="00BB5048"/>
    <w:rsid w:val="00BB5C2A"/>
    <w:rsid w:val="00BC3C88"/>
    <w:rsid w:val="00BC6A53"/>
    <w:rsid w:val="00BD12D7"/>
    <w:rsid w:val="00BD13C4"/>
    <w:rsid w:val="00BD3BC6"/>
    <w:rsid w:val="00BD47A6"/>
    <w:rsid w:val="00BD5F86"/>
    <w:rsid w:val="00BD61A9"/>
    <w:rsid w:val="00BD6D45"/>
    <w:rsid w:val="00BF25A1"/>
    <w:rsid w:val="00C05387"/>
    <w:rsid w:val="00C07BF1"/>
    <w:rsid w:val="00C07E3B"/>
    <w:rsid w:val="00C216D4"/>
    <w:rsid w:val="00C30E1E"/>
    <w:rsid w:val="00C31F92"/>
    <w:rsid w:val="00C34608"/>
    <w:rsid w:val="00C45D3A"/>
    <w:rsid w:val="00C4659B"/>
    <w:rsid w:val="00C46910"/>
    <w:rsid w:val="00C522B0"/>
    <w:rsid w:val="00C609AF"/>
    <w:rsid w:val="00C66DB9"/>
    <w:rsid w:val="00C76BFF"/>
    <w:rsid w:val="00C80609"/>
    <w:rsid w:val="00C931FF"/>
    <w:rsid w:val="00C9459D"/>
    <w:rsid w:val="00C964C5"/>
    <w:rsid w:val="00CA4873"/>
    <w:rsid w:val="00CC06DE"/>
    <w:rsid w:val="00CD2620"/>
    <w:rsid w:val="00CF59EF"/>
    <w:rsid w:val="00D04A6C"/>
    <w:rsid w:val="00D20A69"/>
    <w:rsid w:val="00D23914"/>
    <w:rsid w:val="00D37A9E"/>
    <w:rsid w:val="00D44675"/>
    <w:rsid w:val="00D465BB"/>
    <w:rsid w:val="00D47468"/>
    <w:rsid w:val="00D80819"/>
    <w:rsid w:val="00D8703F"/>
    <w:rsid w:val="00D95305"/>
    <w:rsid w:val="00DA18B0"/>
    <w:rsid w:val="00DB5335"/>
    <w:rsid w:val="00DB6A49"/>
    <w:rsid w:val="00DC2561"/>
    <w:rsid w:val="00DE39FC"/>
    <w:rsid w:val="00DE4FE9"/>
    <w:rsid w:val="00E029E5"/>
    <w:rsid w:val="00E10FD5"/>
    <w:rsid w:val="00E16A7B"/>
    <w:rsid w:val="00E402F9"/>
    <w:rsid w:val="00E466CD"/>
    <w:rsid w:val="00E84762"/>
    <w:rsid w:val="00EA30F6"/>
    <w:rsid w:val="00EA43D9"/>
    <w:rsid w:val="00EC5A5D"/>
    <w:rsid w:val="00ED06D8"/>
    <w:rsid w:val="00ED557B"/>
    <w:rsid w:val="00EF108C"/>
    <w:rsid w:val="00EF651E"/>
    <w:rsid w:val="00F13942"/>
    <w:rsid w:val="00F146CF"/>
    <w:rsid w:val="00F15B6C"/>
    <w:rsid w:val="00F20D5E"/>
    <w:rsid w:val="00F3202D"/>
    <w:rsid w:val="00F44F56"/>
    <w:rsid w:val="00F54A26"/>
    <w:rsid w:val="00F553A1"/>
    <w:rsid w:val="00F63BE8"/>
    <w:rsid w:val="00F6756F"/>
    <w:rsid w:val="00F7078B"/>
    <w:rsid w:val="00F719B4"/>
    <w:rsid w:val="00F74CE3"/>
    <w:rsid w:val="00F8027C"/>
    <w:rsid w:val="00F84901"/>
    <w:rsid w:val="00F924A3"/>
    <w:rsid w:val="00F9291E"/>
    <w:rsid w:val="00FA42D4"/>
    <w:rsid w:val="00FA449C"/>
    <w:rsid w:val="00FC1208"/>
    <w:rsid w:val="00FC464A"/>
    <w:rsid w:val="00FD72FC"/>
    <w:rsid w:val="00FE7CA3"/>
    <w:rsid w:val="00FF11D9"/>
    <w:rsid w:val="00FF2555"/>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4853"/>
  <w15:chartTrackingRefBased/>
  <w15:docId w15:val="{9A119C9F-A0EB-4208-B03C-860B0C2B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B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3B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3B5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3B5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3B5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3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3B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3B5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3B5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3B5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3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B5F"/>
    <w:rPr>
      <w:rFonts w:eastAsiaTheme="majorEastAsia" w:cstheme="majorBidi"/>
      <w:color w:val="272727" w:themeColor="text1" w:themeTint="D8"/>
    </w:rPr>
  </w:style>
  <w:style w:type="paragraph" w:styleId="Title">
    <w:name w:val="Title"/>
    <w:basedOn w:val="Normal"/>
    <w:next w:val="Normal"/>
    <w:link w:val="TitleChar"/>
    <w:uiPriority w:val="10"/>
    <w:qFormat/>
    <w:rsid w:val="000A3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B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B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3B5F"/>
    <w:rPr>
      <w:i/>
      <w:iCs/>
      <w:color w:val="404040" w:themeColor="text1" w:themeTint="BF"/>
    </w:rPr>
  </w:style>
  <w:style w:type="paragraph" w:styleId="ListParagraph">
    <w:name w:val="List Paragraph"/>
    <w:basedOn w:val="Normal"/>
    <w:uiPriority w:val="34"/>
    <w:qFormat/>
    <w:rsid w:val="000A3B5F"/>
    <w:pPr>
      <w:ind w:left="720"/>
      <w:contextualSpacing/>
    </w:pPr>
  </w:style>
  <w:style w:type="character" w:styleId="IntenseEmphasis">
    <w:name w:val="Intense Emphasis"/>
    <w:basedOn w:val="DefaultParagraphFont"/>
    <w:uiPriority w:val="21"/>
    <w:qFormat/>
    <w:rsid w:val="000A3B5F"/>
    <w:rPr>
      <w:i/>
      <w:iCs/>
      <w:color w:val="365F91" w:themeColor="accent1" w:themeShade="BF"/>
    </w:rPr>
  </w:style>
  <w:style w:type="paragraph" w:styleId="IntenseQuote">
    <w:name w:val="Intense Quote"/>
    <w:basedOn w:val="Normal"/>
    <w:next w:val="Normal"/>
    <w:link w:val="IntenseQuoteChar"/>
    <w:uiPriority w:val="30"/>
    <w:qFormat/>
    <w:rsid w:val="000A3B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3B5F"/>
    <w:rPr>
      <w:i/>
      <w:iCs/>
      <w:color w:val="365F91" w:themeColor="accent1" w:themeShade="BF"/>
    </w:rPr>
  </w:style>
  <w:style w:type="character" w:styleId="IntenseReference">
    <w:name w:val="Intense Reference"/>
    <w:basedOn w:val="DefaultParagraphFont"/>
    <w:uiPriority w:val="32"/>
    <w:qFormat/>
    <w:rsid w:val="000A3B5F"/>
    <w:rPr>
      <w:b/>
      <w:bCs/>
      <w:smallCaps/>
      <w:color w:val="365F91" w:themeColor="accent1" w:themeShade="BF"/>
      <w:spacing w:val="5"/>
    </w:rPr>
  </w:style>
  <w:style w:type="paragraph" w:styleId="Header">
    <w:name w:val="header"/>
    <w:basedOn w:val="Normal"/>
    <w:link w:val="HeaderChar"/>
    <w:uiPriority w:val="99"/>
    <w:unhideWhenUsed/>
    <w:rsid w:val="00BD6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A9"/>
  </w:style>
  <w:style w:type="paragraph" w:styleId="Footer">
    <w:name w:val="footer"/>
    <w:basedOn w:val="Normal"/>
    <w:link w:val="FooterChar"/>
    <w:uiPriority w:val="99"/>
    <w:unhideWhenUsed/>
    <w:rsid w:val="00BD6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1A9"/>
  </w:style>
  <w:style w:type="paragraph" w:styleId="Revision">
    <w:name w:val="Revision"/>
    <w:hidden/>
    <w:uiPriority w:val="99"/>
    <w:semiHidden/>
    <w:rsid w:val="004E23BE"/>
    <w:pPr>
      <w:spacing w:after="0" w:line="240" w:lineRule="auto"/>
    </w:pPr>
  </w:style>
  <w:style w:type="character" w:styleId="CommentReference">
    <w:name w:val="annotation reference"/>
    <w:basedOn w:val="DefaultParagraphFont"/>
    <w:uiPriority w:val="99"/>
    <w:semiHidden/>
    <w:unhideWhenUsed/>
    <w:rsid w:val="004E23BE"/>
    <w:rPr>
      <w:sz w:val="16"/>
      <w:szCs w:val="16"/>
    </w:rPr>
  </w:style>
  <w:style w:type="paragraph" w:styleId="CommentText">
    <w:name w:val="annotation text"/>
    <w:basedOn w:val="Normal"/>
    <w:link w:val="CommentTextChar"/>
    <w:uiPriority w:val="99"/>
    <w:semiHidden/>
    <w:unhideWhenUsed/>
    <w:rsid w:val="004E23BE"/>
    <w:pPr>
      <w:spacing w:line="240" w:lineRule="auto"/>
    </w:pPr>
    <w:rPr>
      <w:sz w:val="20"/>
      <w:szCs w:val="20"/>
    </w:rPr>
  </w:style>
  <w:style w:type="character" w:customStyle="1" w:styleId="CommentTextChar">
    <w:name w:val="Comment Text Char"/>
    <w:basedOn w:val="DefaultParagraphFont"/>
    <w:link w:val="CommentText"/>
    <w:uiPriority w:val="99"/>
    <w:semiHidden/>
    <w:rsid w:val="004E23BE"/>
    <w:rPr>
      <w:sz w:val="20"/>
      <w:szCs w:val="20"/>
    </w:rPr>
  </w:style>
  <w:style w:type="paragraph" w:styleId="CommentSubject">
    <w:name w:val="annotation subject"/>
    <w:basedOn w:val="CommentText"/>
    <w:next w:val="CommentText"/>
    <w:link w:val="CommentSubjectChar"/>
    <w:uiPriority w:val="99"/>
    <w:semiHidden/>
    <w:unhideWhenUsed/>
    <w:rsid w:val="004E23BE"/>
    <w:rPr>
      <w:b/>
      <w:bCs/>
    </w:rPr>
  </w:style>
  <w:style w:type="character" w:customStyle="1" w:styleId="CommentSubjectChar">
    <w:name w:val="Comment Subject Char"/>
    <w:basedOn w:val="CommentTextChar"/>
    <w:link w:val="CommentSubject"/>
    <w:uiPriority w:val="99"/>
    <w:semiHidden/>
    <w:rsid w:val="004E23BE"/>
    <w:rPr>
      <w:b/>
      <w:bCs/>
      <w:sz w:val="20"/>
      <w:szCs w:val="20"/>
    </w:rPr>
  </w:style>
  <w:style w:type="character" w:styleId="Hyperlink">
    <w:name w:val="Hyperlink"/>
    <w:basedOn w:val="DefaultParagraphFont"/>
    <w:uiPriority w:val="99"/>
    <w:unhideWhenUsed/>
    <w:rsid w:val="001964E6"/>
    <w:rPr>
      <w:color w:val="0000FF" w:themeColor="hyperlink"/>
      <w:u w:val="single"/>
    </w:rPr>
  </w:style>
  <w:style w:type="character" w:styleId="UnresolvedMention">
    <w:name w:val="Unresolved Mention"/>
    <w:basedOn w:val="DefaultParagraphFont"/>
    <w:uiPriority w:val="99"/>
    <w:semiHidden/>
    <w:unhideWhenUsed/>
    <w:rsid w:val="001964E6"/>
    <w:rPr>
      <w:color w:val="605E5C"/>
      <w:shd w:val="clear" w:color="auto" w:fill="E1DFDD"/>
    </w:rPr>
  </w:style>
  <w:style w:type="paragraph" w:styleId="FootnoteText">
    <w:name w:val="footnote text"/>
    <w:basedOn w:val="Normal"/>
    <w:link w:val="FootnoteTextChar"/>
    <w:uiPriority w:val="99"/>
    <w:semiHidden/>
    <w:unhideWhenUsed/>
    <w:rsid w:val="00B11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429"/>
    <w:rPr>
      <w:sz w:val="20"/>
      <w:szCs w:val="20"/>
    </w:rPr>
  </w:style>
  <w:style w:type="character" w:styleId="FootnoteReference">
    <w:name w:val="footnote reference"/>
    <w:basedOn w:val="DefaultParagraphFont"/>
    <w:uiPriority w:val="99"/>
    <w:semiHidden/>
    <w:unhideWhenUsed/>
    <w:rsid w:val="00B114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C@sonoma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C0FB-6321-464A-80AC-F18ED086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Koch</dc:creator>
  <cp:keywords/>
  <dc:description/>
  <cp:lastModifiedBy>Joel Butterworth</cp:lastModifiedBy>
  <cp:revision>2</cp:revision>
  <dcterms:created xsi:type="dcterms:W3CDTF">2025-09-29T13:57:00Z</dcterms:created>
  <dcterms:modified xsi:type="dcterms:W3CDTF">2025-09-29T13:57:00Z</dcterms:modified>
</cp:coreProperties>
</file>