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0B" w:rsidRDefault="00DD19C3" w:rsidP="00DD19C3">
      <w:pPr>
        <w:jc w:val="center"/>
        <w:rPr>
          <w:rFonts w:ascii="Times New Roman" w:hAnsi="Times New Roman" w:cs="Times New Roman"/>
          <w:b/>
          <w:bCs/>
        </w:rPr>
      </w:pPr>
      <w:r w:rsidRPr="00DD19C3">
        <w:rPr>
          <w:rFonts w:ascii="Times New Roman" w:hAnsi="Times New Roman" w:cs="Times New Roman"/>
          <w:b/>
          <w:bCs/>
        </w:rPr>
        <w:t>HEALTH EDUCATION IN INDIA, 2047</w:t>
      </w:r>
    </w:p>
    <w:p w:rsidR="001B510E" w:rsidRDefault="001B510E" w:rsidP="00DD19C3">
      <w:pPr>
        <w:jc w:val="center"/>
        <w:rPr>
          <w:rFonts w:ascii="Times New Roman" w:hAnsi="Times New Roman" w:cs="Times New Roman"/>
          <w:b/>
          <w:bCs/>
        </w:rPr>
      </w:pPr>
      <w:r w:rsidRPr="001B510E">
        <w:rPr>
          <w:rFonts w:ascii="Times New Roman" w:hAnsi="Times New Roman" w:cs="Times New Roman"/>
          <w:b/>
          <w:bCs/>
        </w:rPr>
        <w:t>Dr. Bela Patel</w:t>
      </w:r>
    </w:p>
    <w:p w:rsidR="00822735" w:rsidRDefault="00822735" w:rsidP="00DD19C3">
      <w:pPr>
        <w:jc w:val="both"/>
        <w:rPr>
          <w:rFonts w:ascii="Times New Roman" w:hAnsi="Times New Roman" w:cs="Times New Roman"/>
          <w:b/>
          <w:bCs/>
          <w:lang w:val="en-US"/>
        </w:rPr>
        <w:sectPr w:rsidR="00822735" w:rsidSect="0084577A">
          <w:headerReference w:type="default" r:id="rId8"/>
          <w:footerReference w:type="default" r:id="rId9"/>
          <w:pgSz w:w="11906" w:h="16838"/>
          <w:pgMar w:top="1440" w:right="1440" w:bottom="1440" w:left="1440" w:header="708" w:footer="708" w:gutter="0"/>
          <w:cols w:space="708"/>
          <w:docGrid w:linePitch="360"/>
        </w:sectPr>
      </w:pPr>
    </w:p>
    <w:p w:rsidR="00DD19C3" w:rsidRPr="00DD19C3" w:rsidRDefault="00DD19C3" w:rsidP="00DD19C3">
      <w:pPr>
        <w:jc w:val="both"/>
        <w:rPr>
          <w:rFonts w:ascii="Times New Roman" w:hAnsi="Times New Roman" w:cs="Times New Roman"/>
          <w:b/>
          <w:bCs/>
          <w:lang w:val="en-US"/>
        </w:rPr>
      </w:pPr>
      <w:r w:rsidRPr="00DD19C3">
        <w:rPr>
          <w:rFonts w:ascii="Times New Roman" w:hAnsi="Times New Roman" w:cs="Times New Roman"/>
          <w:b/>
          <w:bCs/>
          <w:lang w:val="en-US"/>
        </w:rPr>
        <w:lastRenderedPageBreak/>
        <w:t>ABSTRACT</w:t>
      </w:r>
    </w:p>
    <w:p w:rsidR="00DD19C3" w:rsidRPr="00DD19C3" w:rsidRDefault="00DD19C3" w:rsidP="00DD19C3">
      <w:pPr>
        <w:jc w:val="both"/>
        <w:rPr>
          <w:rFonts w:ascii="Times New Roman" w:hAnsi="Times New Roman" w:cs="Times New Roman"/>
          <w:lang w:val="en-US"/>
        </w:rPr>
      </w:pPr>
      <w:r w:rsidRPr="00DD19C3">
        <w:rPr>
          <w:rFonts w:ascii="Times New Roman" w:hAnsi="Times New Roman" w:cs="Times New Roman"/>
          <w:lang w:val="en-US"/>
        </w:rPr>
        <w:t>This paper examines the trajectory, drivers, and possible shape of health education in India by 2</w:t>
      </w:r>
      <w:r>
        <w:rPr>
          <w:rFonts w:ascii="Times New Roman" w:hAnsi="Times New Roman" w:cs="Times New Roman"/>
          <w:lang w:val="en-US"/>
        </w:rPr>
        <w:t xml:space="preserve">047 </w:t>
      </w:r>
      <w:r w:rsidRPr="00DD19C3">
        <w:rPr>
          <w:rFonts w:ascii="Times New Roman" w:hAnsi="Times New Roman" w:cs="Times New Roman"/>
          <w:lang w:val="en-US"/>
        </w:rPr>
        <w:t>the centenary of independence. It synthesizes current policies, digital and human-resource trends, and state and national visions (Viksit Bharat / India 2047) to propose an integrated, equity-focused model of health education spanning school curricula, professional training, community education, and lifelong learning. Key recommendations include embedding health literacy across the National Education Policy pathways, scaling competency-based medical and allied health education, leveraging the Ayushman Bharat ecosystem and Ayushman Bharat Digital Mission (ABDM) for experiential learning, and deploying blended delivery (tele-education + community practicum). The paper identifies major challenges (workforce shortfalls, urban–rural divides, financing, regulation) and offers a policy/implementation roadmap to make India both healthy and educated by 2047</w:t>
      </w:r>
    </w:p>
    <w:p w:rsidR="00DD19C3" w:rsidRPr="00DD19C3" w:rsidRDefault="00DD19C3" w:rsidP="00DD19C3">
      <w:pPr>
        <w:jc w:val="both"/>
        <w:rPr>
          <w:rFonts w:ascii="Times New Roman" w:hAnsi="Times New Roman" w:cs="Times New Roman"/>
          <w:lang w:val="en-US"/>
        </w:rPr>
      </w:pPr>
      <w:r w:rsidRPr="00DD19C3">
        <w:rPr>
          <w:rFonts w:ascii="Times New Roman" w:hAnsi="Times New Roman" w:cs="Times New Roman"/>
          <w:b/>
          <w:bCs/>
          <w:lang w:val="en-US"/>
        </w:rPr>
        <w:t>Keywords:</w:t>
      </w:r>
      <w:r w:rsidRPr="00DD19C3">
        <w:rPr>
          <w:rFonts w:ascii="Times New Roman" w:hAnsi="Times New Roman" w:cs="Times New Roman"/>
          <w:lang w:val="en-US"/>
        </w:rPr>
        <w:t xml:space="preserve"> Health education, India 2047, Ayushman Bharat, NEP 2020, Ayushman Bharat Digital Mission, health workforce, school health, competency-based education</w:t>
      </w:r>
    </w:p>
    <w:p w:rsidR="00DD19C3" w:rsidRPr="00DD19C3" w:rsidRDefault="00DD19C3" w:rsidP="00DD19C3">
      <w:pPr>
        <w:jc w:val="both"/>
        <w:rPr>
          <w:rFonts w:ascii="Times New Roman" w:hAnsi="Times New Roman" w:cs="Times New Roman"/>
          <w:b/>
          <w:bCs/>
        </w:rPr>
      </w:pPr>
      <w:r>
        <w:rPr>
          <w:rFonts w:ascii="Times New Roman" w:hAnsi="Times New Roman" w:cs="Times New Roman"/>
          <w:b/>
          <w:bCs/>
        </w:rPr>
        <w:t xml:space="preserve">1. </w:t>
      </w:r>
      <w:r w:rsidRPr="00DD19C3">
        <w:rPr>
          <w:rFonts w:ascii="Times New Roman" w:hAnsi="Times New Roman" w:cs="Times New Roman"/>
          <w:b/>
          <w:bCs/>
        </w:rPr>
        <w:t>INTRODUCTION</w:t>
      </w:r>
    </w:p>
    <w:p w:rsidR="00DD19C3" w:rsidRDefault="00DD19C3" w:rsidP="00DD19C3">
      <w:pPr>
        <w:jc w:val="both"/>
        <w:rPr>
          <w:rFonts w:ascii="Times New Roman" w:hAnsi="Times New Roman" w:cs="Times New Roman"/>
        </w:rPr>
      </w:pPr>
      <w:r w:rsidRPr="00DD19C3">
        <w:rPr>
          <w:rFonts w:ascii="Times New Roman" w:hAnsi="Times New Roman" w:cs="Times New Roman"/>
        </w:rPr>
        <w:t xml:space="preserve">India’s aspiration for a “Viksit Bharat” by 2047 places health and education at the centre of state capacity, human development, and economic productivity, demanding that “health education” evolve from sporadic classroom talks into an integrated, technology-enabled, life-course ecosystem spanning schools, professional </w:t>
      </w:r>
      <w:r w:rsidRPr="00DD19C3">
        <w:rPr>
          <w:rFonts w:ascii="Times New Roman" w:hAnsi="Times New Roman" w:cs="Times New Roman"/>
        </w:rPr>
        <w:lastRenderedPageBreak/>
        <w:t>and vocational pipelines, community learning, and lifelong up</w:t>
      </w:r>
      <w:r>
        <w:rPr>
          <w:rFonts w:ascii="Times New Roman" w:hAnsi="Times New Roman" w:cs="Times New Roman"/>
        </w:rPr>
        <w:t xml:space="preserve">skilling; recent policy anchors </w:t>
      </w:r>
      <w:r w:rsidRPr="00DD19C3">
        <w:rPr>
          <w:rFonts w:ascii="Times New Roman" w:hAnsi="Times New Roman" w:cs="Times New Roman"/>
        </w:rPr>
        <w:t>the National Health Policy (2017), Ayushman Bharat’s Health &amp; Wellness Centres/Ayushman Arogya Mandirs alongside PM-JAY, the Ayushman Bharat Digital Mission (ABDM), and the N</w:t>
      </w:r>
      <w:r w:rsidR="004E3DF5">
        <w:rPr>
          <w:rFonts w:ascii="Times New Roman" w:hAnsi="Times New Roman" w:cs="Times New Roman"/>
        </w:rPr>
        <w:t xml:space="preserve">ational Education Policy (2020) </w:t>
      </w:r>
      <w:r w:rsidRPr="00DD19C3">
        <w:rPr>
          <w:rFonts w:ascii="Times New Roman" w:hAnsi="Times New Roman" w:cs="Times New Roman"/>
        </w:rPr>
        <w:t xml:space="preserve">jointly create the enabling architecture for this transformation by prioritizing prevention and promotion, expanding primary-care platforms for experiential learning, and mainstreaming health and wellness within curricula. Against this backdrop, the challenge is twofold: to raise population health literacy early (through NEP-aligned school pathways and ABHA-linked school health records) while simultaneously closing critical workforce gaps through competency-based, distributed training that uses HWCs/CHCs and district hospitals as teaching sites, leverages tele-mentoring and simulation, and recognizes the role of mid-level and allied cadres; doing so will help India meet WHO-oriented coverage benchmarks and respond to its epidemiological transition toward NCDs and mental health burdens. Accordingly, this study synthesizes current policy and implementation evidence, projects plausible scenarios and workforce requirements to 2047, and proposes a phased national model that aligns curriculum, assessments, faculty development, service delivery platforms, and digital enablers (ABDM, telemedicine) into a coherent system; it further </w:t>
      </w:r>
      <w:r>
        <w:rPr>
          <w:rFonts w:ascii="Times New Roman" w:hAnsi="Times New Roman" w:cs="Times New Roman"/>
        </w:rPr>
        <w:t xml:space="preserve">contributes practical artefacts </w:t>
      </w:r>
      <w:r w:rsidRPr="00DD19C3">
        <w:rPr>
          <w:rFonts w:ascii="Times New Roman" w:hAnsi="Times New Roman" w:cs="Times New Roman"/>
        </w:rPr>
        <w:t>including weekly lesson plans for school health and a structured diploma p</w:t>
      </w:r>
      <w:r>
        <w:rPr>
          <w:rFonts w:ascii="Times New Roman" w:hAnsi="Times New Roman" w:cs="Times New Roman"/>
        </w:rPr>
        <w:t xml:space="preserve">athway for mid-level clinicians </w:t>
      </w:r>
      <w:r w:rsidRPr="00DD19C3">
        <w:rPr>
          <w:rFonts w:ascii="Times New Roman" w:hAnsi="Times New Roman" w:cs="Times New Roman"/>
        </w:rPr>
        <w:t xml:space="preserve">plus governance, financing, and monitoring </w:t>
      </w:r>
      <w:r w:rsidRPr="00DD19C3">
        <w:rPr>
          <w:rFonts w:ascii="Times New Roman" w:hAnsi="Times New Roman" w:cs="Times New Roman"/>
        </w:rPr>
        <w:lastRenderedPageBreak/>
        <w:t>frameworks (indicators such as worker densities, accredited training sites, school-health coverage, literacy scores, and CPD completion). In doing so, the paper advances a clear problem statement—persistent urban-rural inequities, quality variation across training sites, financing constraints, and regulatory fragmen</w:t>
      </w:r>
      <w:r>
        <w:rPr>
          <w:rFonts w:ascii="Times New Roman" w:hAnsi="Times New Roman" w:cs="Times New Roman"/>
        </w:rPr>
        <w:t xml:space="preserve">tation </w:t>
      </w:r>
      <w:r w:rsidRPr="00DD19C3">
        <w:rPr>
          <w:rFonts w:ascii="Times New Roman" w:hAnsi="Times New Roman" w:cs="Times New Roman"/>
        </w:rPr>
        <w:t>and situates a policy-realistic solution set that emphasizes equity-first expansion, interprofessional education, micro-credentials, and outcome-based accreditation, offering states and regulators a concrete, time-sequenced roadmap from 2025 through 2047 to produce a healthier, more educated India.</w:t>
      </w:r>
    </w:p>
    <w:p w:rsidR="00DD19C3" w:rsidRDefault="00DD19C3" w:rsidP="00DD19C3">
      <w:pPr>
        <w:jc w:val="both"/>
        <w:rPr>
          <w:rFonts w:ascii="Times New Roman" w:hAnsi="Times New Roman" w:cs="Times New Roman"/>
          <w:b/>
          <w:bCs/>
        </w:rPr>
      </w:pPr>
      <w:r w:rsidRPr="00DD19C3">
        <w:rPr>
          <w:rFonts w:ascii="Times New Roman" w:hAnsi="Times New Roman" w:cs="Times New Roman"/>
          <w:b/>
          <w:bCs/>
        </w:rPr>
        <w:t xml:space="preserve">2. BACKGROUND: WHERE INDIA STANDS </w:t>
      </w:r>
    </w:p>
    <w:p w:rsidR="00DD19C3" w:rsidRDefault="00DD19C3" w:rsidP="00DD19C3">
      <w:pPr>
        <w:jc w:val="both"/>
        <w:rPr>
          <w:rFonts w:ascii="Times New Roman" w:hAnsi="Times New Roman" w:cs="Times New Roman"/>
        </w:rPr>
      </w:pPr>
      <w:r w:rsidRPr="00DD19C3">
        <w:rPr>
          <w:rFonts w:ascii="Times New Roman" w:hAnsi="Times New Roman" w:cs="Times New Roman"/>
        </w:rPr>
        <w:t>India enters the 2025–2047 window with a rare alignment of health and education reforms that together define the baseline from which any 2047 vision must proceed: at the apex is the National Health Policy (2017), which shifts emphasis toward preventive and promotive care and explicitly targets public health spending of ~2.5% of GDP, alongside systematic human-resource development for the health system; in parallel, the National Education Policy (2020) places physical education, mental health, wellness, and life skills inside mainstream schooling and opens multiple pathways/vocational streams</w:t>
      </w:r>
      <w:r>
        <w:rPr>
          <w:rFonts w:ascii="Times New Roman" w:hAnsi="Times New Roman" w:cs="Times New Roman"/>
        </w:rPr>
        <w:t xml:space="preserve"> </w:t>
      </w:r>
      <w:r w:rsidRPr="00DD19C3">
        <w:rPr>
          <w:rFonts w:ascii="Times New Roman" w:hAnsi="Times New Roman" w:cs="Times New Roman"/>
        </w:rPr>
        <w:t>a natural conduit to embed health literacy across grades and states. On the service platform side, Ayushman Bharat is reconfiguring frontline care through its twin pillars: Health &amp; Wellness Centres / Ayushman Arogya Mandirs (HWCs/AAMs) for comprehensive primary care and PM-JAY</w:t>
      </w:r>
      <w:r>
        <w:rPr>
          <w:rFonts w:ascii="Times New Roman" w:hAnsi="Times New Roman" w:cs="Times New Roman"/>
        </w:rPr>
        <w:t xml:space="preserve"> for tertiary coverage </w:t>
      </w:r>
      <w:r w:rsidRPr="00DD19C3">
        <w:rPr>
          <w:rFonts w:ascii="Times New Roman" w:hAnsi="Times New Roman" w:cs="Times New Roman"/>
        </w:rPr>
        <w:t xml:space="preserve">crucially, states reported large numbers of HWCs transformed/operationalized by mid-2024, </w:t>
      </w:r>
      <w:r w:rsidRPr="00DD19C3">
        <w:rPr>
          <w:rFonts w:ascii="Times New Roman" w:hAnsi="Times New Roman" w:cs="Times New Roman"/>
        </w:rPr>
        <w:lastRenderedPageBreak/>
        <w:t>giving policymakers a practical venue for health-education interventions and future training accreditation. Digitally, the Ayushman Bharat Digital Mission (ABDM) is building a unified health data ecosystem</w:t>
      </w:r>
      <w:r>
        <w:rPr>
          <w:rFonts w:ascii="Times New Roman" w:hAnsi="Times New Roman" w:cs="Times New Roman"/>
        </w:rPr>
        <w:t xml:space="preserve"> </w:t>
      </w:r>
      <w:r w:rsidRPr="00DD19C3">
        <w:rPr>
          <w:rFonts w:ascii="Times New Roman" w:hAnsi="Times New Roman" w:cs="Times New Roman"/>
        </w:rPr>
        <w:t>ABHA IDs, interoperable electronic records, and telemedicine linkages</w:t>
      </w:r>
      <w:r>
        <w:rPr>
          <w:rFonts w:ascii="Times New Roman" w:hAnsi="Times New Roman" w:cs="Times New Roman"/>
        </w:rPr>
        <w:t xml:space="preserve"> </w:t>
      </w:r>
      <w:r w:rsidRPr="00DD19C3">
        <w:rPr>
          <w:rFonts w:ascii="Times New Roman" w:hAnsi="Times New Roman" w:cs="Times New Roman"/>
        </w:rPr>
        <w:t>which, beyond clinical utility, enables tele-mentoring, e-learning, and data-driven curricula for both professionals and the public. Yet this promising architecture has to confront binding constraints: WHO and national analyses still place India’s skilled health-worker density below recommended thresholds, implying a significant scale-up of doctors, nurses, midwives, and allied cadres to reach universal coverage and to staff an expanded, distributed training network by 2047. Post-COVID moment</w:t>
      </w:r>
      <w:r>
        <w:rPr>
          <w:rFonts w:ascii="Times New Roman" w:hAnsi="Times New Roman" w:cs="Times New Roman"/>
        </w:rPr>
        <w:t xml:space="preserve">um helps on the enablement side </w:t>
      </w:r>
      <w:r w:rsidRPr="00DD19C3">
        <w:rPr>
          <w:rFonts w:ascii="Times New Roman" w:hAnsi="Times New Roman" w:cs="Times New Roman"/>
        </w:rPr>
        <w:t>telehealth adoption, digital records under ABDM, and the rapid scaling of HWCs/AAMs now provide an infrastructural backbone that can double as community learning hubs and CPD platforms, even as evaluations note variable readiness that will require accreditation, supervision, and quality assurance to standardize. Together, these ele</w:t>
      </w:r>
      <w:r>
        <w:rPr>
          <w:rFonts w:ascii="Times New Roman" w:hAnsi="Times New Roman" w:cs="Times New Roman"/>
        </w:rPr>
        <w:t xml:space="preserve">ments </w:t>
      </w:r>
      <w:r w:rsidRPr="00DD19C3">
        <w:rPr>
          <w:rFonts w:ascii="Times New Roman" w:hAnsi="Times New Roman" w:cs="Times New Roman"/>
        </w:rPr>
        <w:t>NHP 2017’s financing and prevention agenda, NEP 2020’s curricular lanes, Ayushman Bharat’s primary-care footprint, and ABDM’s digital rails</w:t>
      </w:r>
      <w:r>
        <w:rPr>
          <w:rFonts w:ascii="Times New Roman" w:hAnsi="Times New Roman" w:cs="Times New Roman"/>
        </w:rPr>
        <w:t xml:space="preserve"> </w:t>
      </w:r>
      <w:r w:rsidRPr="00DD19C3">
        <w:rPr>
          <w:rFonts w:ascii="Times New Roman" w:hAnsi="Times New Roman" w:cs="Times New Roman"/>
        </w:rPr>
        <w:t>constitute India’s starting point: a system with strong policy intent and expanding platforms, but one that must bridge workforce gaps and normalize quality across thousands of distributed sites to translate reforms into universal, equitable health education by 2047.</w:t>
      </w:r>
    </w:p>
    <w:p w:rsidR="00DD19C3" w:rsidRDefault="004E3DF5" w:rsidP="00DD19C3">
      <w:pPr>
        <w:jc w:val="both"/>
        <w:rPr>
          <w:rFonts w:ascii="Times New Roman" w:hAnsi="Times New Roman" w:cs="Times New Roman"/>
          <w:b/>
          <w:bCs/>
        </w:rPr>
      </w:pPr>
      <w:r w:rsidRPr="004E3DF5">
        <w:rPr>
          <w:rFonts w:ascii="Times New Roman" w:hAnsi="Times New Roman" w:cs="Times New Roman"/>
          <w:b/>
          <w:bCs/>
        </w:rPr>
        <w:t>3. CONCEPTUALIZING HEALTH EDUCATION</w:t>
      </w:r>
    </w:p>
    <w:p w:rsidR="004E3DF5" w:rsidRPr="0001130C" w:rsidRDefault="004E3DF5" w:rsidP="0001130C">
      <w:pPr>
        <w:pStyle w:val="ListParagraph"/>
        <w:numPr>
          <w:ilvl w:val="0"/>
          <w:numId w:val="1"/>
        </w:numPr>
        <w:jc w:val="both"/>
        <w:rPr>
          <w:rFonts w:ascii="Times New Roman" w:hAnsi="Times New Roman" w:cs="Times New Roman"/>
          <w:b/>
          <w:bCs/>
          <w:lang w:val="en-US"/>
        </w:rPr>
      </w:pPr>
      <w:r w:rsidRPr="0001130C">
        <w:rPr>
          <w:rFonts w:ascii="Times New Roman" w:hAnsi="Times New Roman" w:cs="Times New Roman"/>
          <w:b/>
          <w:bCs/>
          <w:lang w:val="en-US"/>
        </w:rPr>
        <w:lastRenderedPageBreak/>
        <w:t>School-Based Health Education</w:t>
      </w:r>
      <w:r w:rsidR="0001130C" w:rsidRPr="0001130C">
        <w:rPr>
          <w:rFonts w:ascii="Times New Roman" w:hAnsi="Times New Roman" w:cs="Times New Roman"/>
          <w:b/>
          <w:bCs/>
          <w:lang w:val="en-US"/>
        </w:rPr>
        <w:t xml:space="preserve">: </w:t>
      </w:r>
      <w:r w:rsidRPr="0001130C">
        <w:rPr>
          <w:rFonts w:ascii="Times New Roman" w:hAnsi="Times New Roman" w:cs="Times New Roman"/>
          <w:lang w:val="en-US"/>
        </w:rPr>
        <w:t>Health education in schools is envisioned as the foundation of a life-course approach. Starting from early grades through secondary levels, the curriculum must integrate nutrition, hygiene, sexual and reproductive health, mental health, and physical activity. The NEP 2020 already provides space for such integration by emphasizing holistic education. By embedding structured weekly health lessons, schools can ensure that by the age of 18, every child attains basic health literacy. Programs like annual health checkups linked with ABHA IDs will create individual health records and enable early intervention. International evidence shows that investing in adolescent health literacy reduces non-communicable disease (NCD) risks later in life</w:t>
      </w:r>
      <w:r w:rsidR="0001130C" w:rsidRPr="0001130C">
        <w:rPr>
          <w:rFonts w:ascii="Times New Roman" w:hAnsi="Times New Roman" w:cs="Times New Roman"/>
          <w:lang w:val="en-US"/>
        </w:rPr>
        <w:t>.</w:t>
      </w:r>
    </w:p>
    <w:p w:rsidR="004E3DF5" w:rsidRPr="0001130C" w:rsidRDefault="004E3DF5" w:rsidP="0001130C">
      <w:pPr>
        <w:pStyle w:val="ListParagraph"/>
        <w:numPr>
          <w:ilvl w:val="0"/>
          <w:numId w:val="1"/>
        </w:numPr>
        <w:jc w:val="both"/>
        <w:rPr>
          <w:rFonts w:ascii="Times New Roman" w:hAnsi="Times New Roman" w:cs="Times New Roman"/>
          <w:b/>
          <w:bCs/>
          <w:lang w:val="en-US"/>
        </w:rPr>
      </w:pPr>
      <w:r w:rsidRPr="0001130C">
        <w:rPr>
          <w:rFonts w:ascii="Times New Roman" w:hAnsi="Times New Roman" w:cs="Times New Roman"/>
          <w:b/>
          <w:bCs/>
          <w:lang w:val="en-US"/>
        </w:rPr>
        <w:t xml:space="preserve">Professional &amp; Vocational Health Education: </w:t>
      </w:r>
      <w:r w:rsidRPr="0001130C">
        <w:rPr>
          <w:rFonts w:ascii="Times New Roman" w:hAnsi="Times New Roman" w:cs="Times New Roman"/>
          <w:lang w:val="en-US"/>
        </w:rPr>
        <w:t xml:space="preserve">The second pillar focuses on producing a competent, distributed health workforce. Undergraduate and postgraduate programs in medicine, nursing, allied health, and public health must shift from seat-time to competency-based curricula with workplace-based assessments. By 2047, India will need to multiply its current workforce of doctors and nurses to meet WHO density benchmarks. To bridge this gap, mid-level practitioners (such as health associates or community clinicians) and allied health technicians must be formally trained through accredited programs. The Ayushman Bharat ecosystem and district-level hospitals </w:t>
      </w:r>
      <w:r w:rsidRPr="0001130C">
        <w:rPr>
          <w:rFonts w:ascii="Times New Roman" w:hAnsi="Times New Roman" w:cs="Times New Roman"/>
          <w:lang w:val="en-US"/>
        </w:rPr>
        <w:lastRenderedPageBreak/>
        <w:t>can serve as training sites, especially in rural areas, to balance the urban–rural skew.</w:t>
      </w:r>
    </w:p>
    <w:p w:rsidR="004E3DF5" w:rsidRPr="0001130C" w:rsidRDefault="004E3DF5" w:rsidP="0001130C">
      <w:pPr>
        <w:pStyle w:val="ListParagraph"/>
        <w:numPr>
          <w:ilvl w:val="0"/>
          <w:numId w:val="1"/>
        </w:numPr>
        <w:jc w:val="both"/>
        <w:rPr>
          <w:rFonts w:ascii="Times New Roman" w:hAnsi="Times New Roman" w:cs="Times New Roman"/>
          <w:b/>
          <w:bCs/>
          <w:lang w:val="en-US"/>
        </w:rPr>
      </w:pPr>
      <w:r w:rsidRPr="0001130C">
        <w:rPr>
          <w:rFonts w:ascii="Times New Roman" w:hAnsi="Times New Roman" w:cs="Times New Roman"/>
          <w:b/>
          <w:bCs/>
          <w:lang w:val="en-US"/>
        </w:rPr>
        <w:t xml:space="preserve">Community &amp; Adult Health Education: </w:t>
      </w:r>
      <w:r w:rsidRPr="0001130C">
        <w:rPr>
          <w:rFonts w:ascii="Times New Roman" w:hAnsi="Times New Roman" w:cs="Times New Roman"/>
          <w:lang w:val="en-US"/>
        </w:rPr>
        <w:t>Beyond schools and professionals, India must strengthen population-level health literacy programs. These can be delivered through Ayushman Arogya Mandirs (HWCs), mass media, digital platforms, and workplaces. Community Health Workers (CHWs) such as ASHAs, ANMs, and MPWs are uniquely placed to act as educators, provided they receive accredited certification and blended digital tools. Community health fairs, group education sessions, and mobile health apps can significantly improve awareness of NCD risks, vaccination coverage, maternal health, and preventive screenings, particularly in rural and underserved areas</w:t>
      </w:r>
    </w:p>
    <w:p w:rsidR="004E3DF5" w:rsidRPr="0001130C" w:rsidRDefault="004E3DF5" w:rsidP="0001130C">
      <w:pPr>
        <w:pStyle w:val="ListParagraph"/>
        <w:numPr>
          <w:ilvl w:val="0"/>
          <w:numId w:val="1"/>
        </w:numPr>
        <w:jc w:val="both"/>
        <w:rPr>
          <w:rFonts w:ascii="Times New Roman" w:hAnsi="Times New Roman" w:cs="Times New Roman"/>
          <w:lang w:val="en-US"/>
        </w:rPr>
      </w:pPr>
      <w:r w:rsidRPr="0001130C">
        <w:rPr>
          <w:rFonts w:ascii="Times New Roman" w:hAnsi="Times New Roman" w:cs="Times New Roman"/>
          <w:b/>
          <w:bCs/>
          <w:lang w:val="en-US"/>
        </w:rPr>
        <w:t xml:space="preserve">Continuing &amp; Lifelong Learning: </w:t>
      </w:r>
      <w:r w:rsidRPr="0001130C">
        <w:rPr>
          <w:rFonts w:ascii="Times New Roman" w:hAnsi="Times New Roman" w:cs="Times New Roman"/>
          <w:lang w:val="en-US"/>
        </w:rPr>
        <w:t xml:space="preserve">The final domain emphasizes lifelong learning for both professionals and citizens. Continuous Professional Development (CPD) modules, hosted on ABDM platforms, can mandate periodic recertification and ensure that practitioners remain updated. For citizens, lifelong health education could take the form of preventive care MOOCs, tele-mentoring programs, and chronic disease self-management modules. Data from routine surveillance systems and ABDM health records can be used to adapt curricula in real-time to address emerging health challenges (e.g., new infectious </w:t>
      </w:r>
      <w:r w:rsidRPr="0001130C">
        <w:rPr>
          <w:rFonts w:ascii="Times New Roman" w:hAnsi="Times New Roman" w:cs="Times New Roman"/>
          <w:lang w:val="en-US"/>
        </w:rPr>
        <w:lastRenderedPageBreak/>
        <w:t>diseases, mental health trends). By 2047, this approach ensures not just a one-time education, but a culture of adaptive, lifelong learning</w:t>
      </w:r>
    </w:p>
    <w:p w:rsidR="0001130C" w:rsidRPr="0001130C" w:rsidRDefault="0001130C" w:rsidP="0001130C">
      <w:pPr>
        <w:jc w:val="both"/>
        <w:rPr>
          <w:rFonts w:ascii="Times New Roman" w:hAnsi="Times New Roman" w:cs="Times New Roman"/>
          <w:b/>
          <w:bCs/>
          <w:lang w:val="en-US"/>
        </w:rPr>
      </w:pPr>
      <w:r w:rsidRPr="0001130C">
        <w:rPr>
          <w:rFonts w:ascii="Times New Roman" w:hAnsi="Times New Roman" w:cs="Times New Roman"/>
          <w:b/>
          <w:bCs/>
          <w:lang w:val="en-US"/>
        </w:rPr>
        <w:t>5. PROPOSED MODEL FOR HEALTH EDUCATION IN INDIA, 2047</w:t>
      </w:r>
    </w:p>
    <w:p w:rsidR="0001130C" w:rsidRPr="0001130C" w:rsidRDefault="0001130C" w:rsidP="0001130C">
      <w:pPr>
        <w:pStyle w:val="ListParagraph"/>
        <w:numPr>
          <w:ilvl w:val="0"/>
          <w:numId w:val="3"/>
        </w:numPr>
        <w:jc w:val="both"/>
        <w:rPr>
          <w:rFonts w:ascii="Times New Roman" w:hAnsi="Times New Roman" w:cs="Times New Roman"/>
          <w:b/>
          <w:bCs/>
          <w:lang w:val="en-US"/>
        </w:rPr>
      </w:pPr>
      <w:r w:rsidRPr="0001130C">
        <w:rPr>
          <w:rFonts w:ascii="Times New Roman" w:hAnsi="Times New Roman" w:cs="Times New Roman"/>
          <w:b/>
          <w:bCs/>
          <w:lang w:val="en-US"/>
        </w:rPr>
        <w:t xml:space="preserve">Integrated Vision: </w:t>
      </w:r>
      <w:r w:rsidRPr="0001130C">
        <w:rPr>
          <w:rFonts w:ascii="Times New Roman" w:hAnsi="Times New Roman" w:cs="Times New Roman"/>
          <w:lang w:val="en-US"/>
        </w:rPr>
        <w:t>The proposed model for health education is built on the premise that India’s health system by 2047 should be equitable, competency-driven, digitally enabled, and lifelong. To achieve this, the model aligns four critical elements: school-based health education, professional and vocational training, community health literacy, and continuing lifelong learning. The guiding principles include equity-first expansion into underserved regions, competency-based education replacing rote learning, distributed training platforms at Health &amp; Wellness Centres (HWCs), district hospitals, and digital-physical blended delivery using tele-education, simulation labs, and MOOCs. Interprofessional education (IPE) is emphasized to train doctors, nurses, allied professionals, and community health workers (CHWs) together in collaborative environments</w:t>
      </w:r>
    </w:p>
    <w:p w:rsidR="0001130C" w:rsidRPr="0001130C" w:rsidRDefault="0001130C" w:rsidP="0001130C">
      <w:pPr>
        <w:pStyle w:val="ListParagraph"/>
        <w:numPr>
          <w:ilvl w:val="0"/>
          <w:numId w:val="3"/>
        </w:numPr>
        <w:jc w:val="both"/>
        <w:rPr>
          <w:rFonts w:ascii="Times New Roman" w:hAnsi="Times New Roman" w:cs="Times New Roman"/>
          <w:b/>
          <w:bCs/>
          <w:lang w:val="en-US"/>
        </w:rPr>
      </w:pPr>
      <w:r w:rsidRPr="0001130C">
        <w:rPr>
          <w:rFonts w:ascii="Times New Roman" w:hAnsi="Times New Roman" w:cs="Times New Roman"/>
          <w:b/>
          <w:bCs/>
          <w:lang w:val="en-US"/>
        </w:rPr>
        <w:t xml:space="preserve">School-Level Health Education: </w:t>
      </w:r>
      <w:r w:rsidRPr="0001130C">
        <w:rPr>
          <w:rFonts w:ascii="Times New Roman" w:hAnsi="Times New Roman" w:cs="Times New Roman"/>
          <w:lang w:val="en-US"/>
        </w:rPr>
        <w:t xml:space="preserve">At the school level, the model integrates 1–2 hours of weekly health lessons from Grades 6–12. The content ranges from personal hygiene, nutrition, puberty, and mental health at the foundation level to reproductive health, NCD prevention, CPR, and public health </w:t>
      </w:r>
      <w:r w:rsidRPr="0001130C">
        <w:rPr>
          <w:rFonts w:ascii="Times New Roman" w:hAnsi="Times New Roman" w:cs="Times New Roman"/>
          <w:lang w:val="en-US"/>
        </w:rPr>
        <w:lastRenderedPageBreak/>
        <w:t>basics at the secondary level. Annual school health check-ups will be mandated and linked to ABHA IDs to create digital health records for all children. This data can be analyzed at state and national levels to monitor trends in child health and early detection of issues such as anemia, malnutrition, and adolescent obesity. Moreover, each student will complete a community health project in collaboration with HWCs, embedding experiential learning into the curriculum.</w:t>
      </w:r>
    </w:p>
    <w:p w:rsidR="0001130C" w:rsidRPr="0001130C" w:rsidRDefault="0001130C" w:rsidP="0001130C">
      <w:pPr>
        <w:pStyle w:val="ListParagraph"/>
        <w:numPr>
          <w:ilvl w:val="0"/>
          <w:numId w:val="3"/>
        </w:numPr>
        <w:jc w:val="both"/>
        <w:rPr>
          <w:rFonts w:ascii="Times New Roman" w:hAnsi="Times New Roman" w:cs="Times New Roman"/>
          <w:lang w:val="en-US"/>
        </w:rPr>
      </w:pPr>
      <w:r w:rsidRPr="0001130C">
        <w:rPr>
          <w:rFonts w:ascii="Times New Roman" w:hAnsi="Times New Roman" w:cs="Times New Roman"/>
          <w:b/>
          <w:bCs/>
          <w:lang w:val="en-US"/>
        </w:rPr>
        <w:t xml:space="preserve">Undergraduate and Vocational Training: </w:t>
      </w:r>
      <w:r w:rsidRPr="0001130C">
        <w:rPr>
          <w:rFonts w:ascii="Times New Roman" w:hAnsi="Times New Roman" w:cs="Times New Roman"/>
          <w:lang w:val="en-US"/>
        </w:rPr>
        <w:t>For higher education, the model expands medical, nursing, and allied health seats while decentralizing clinical training into HWCs, CHCs, and district hospitals. Distributed training ensures rural exposure, helping to address the urban–rural workforce imbalance. Competency-based curricula, as mandated by the National Medical Commission, will emphasize workplace-based assessments, simulation labs, and tele-mentoring networks. Additionally, the model prioritizes the creation of mid-level clinicians (3-year diploma holders) who can manage primary care independently, supported by referral systems. Allied health professionals such as laboratory technicians, physiotherapists, and community supervisors will be expanded through accredited programs and industry partnerships to meet the needs of an aging population and NCD management.</w:t>
      </w:r>
    </w:p>
    <w:p w:rsidR="0001130C" w:rsidRPr="0001130C" w:rsidRDefault="0001130C" w:rsidP="0001130C">
      <w:pPr>
        <w:pStyle w:val="ListParagraph"/>
        <w:numPr>
          <w:ilvl w:val="0"/>
          <w:numId w:val="3"/>
        </w:numPr>
        <w:jc w:val="both"/>
        <w:rPr>
          <w:rFonts w:ascii="Times New Roman" w:hAnsi="Times New Roman" w:cs="Times New Roman"/>
          <w:b/>
          <w:bCs/>
          <w:lang w:val="en-US"/>
        </w:rPr>
      </w:pPr>
      <w:r w:rsidRPr="0001130C">
        <w:rPr>
          <w:rFonts w:ascii="Times New Roman" w:hAnsi="Times New Roman" w:cs="Times New Roman"/>
          <w:b/>
          <w:bCs/>
          <w:lang w:val="en-US"/>
        </w:rPr>
        <w:t xml:space="preserve">Community &amp; Adult Health Education: </w:t>
      </w:r>
      <w:r w:rsidRPr="0001130C">
        <w:rPr>
          <w:rFonts w:ascii="Times New Roman" w:hAnsi="Times New Roman" w:cs="Times New Roman"/>
          <w:lang w:val="en-US"/>
        </w:rPr>
        <w:t xml:space="preserve">At the community level, </w:t>
      </w:r>
      <w:r w:rsidRPr="0001130C">
        <w:rPr>
          <w:rFonts w:ascii="Times New Roman" w:hAnsi="Times New Roman" w:cs="Times New Roman"/>
          <w:lang w:val="en-US"/>
        </w:rPr>
        <w:lastRenderedPageBreak/>
        <w:t>HWCs/Ayushman Arogya Mandirs will be transformed into education hubs, where CHWs are trained and certified to deliver population-level literacy programs. These include maternal-child health workshops, vaccination drives, NCD screening camps, and digital kiosks offering preventive health information. Data from NITI Aayog and WHO highlights that India faces a persistent shortage of health workers, with current densities below the WHO threshold of 44.5 doctors, nurses, and midwives per 10,000 population. To close this gap, CHWs need structured upskilling, certification, and career ladders to act not only as service providers but also as health educators.</w:t>
      </w:r>
    </w:p>
    <w:p w:rsidR="0001130C" w:rsidRPr="0001130C" w:rsidRDefault="0001130C" w:rsidP="0001130C">
      <w:pPr>
        <w:pStyle w:val="ListParagraph"/>
        <w:numPr>
          <w:ilvl w:val="0"/>
          <w:numId w:val="3"/>
        </w:numPr>
        <w:jc w:val="both"/>
        <w:rPr>
          <w:rFonts w:ascii="Times New Roman" w:hAnsi="Times New Roman" w:cs="Times New Roman"/>
          <w:b/>
          <w:bCs/>
          <w:lang w:val="en-US"/>
        </w:rPr>
      </w:pPr>
      <w:r w:rsidRPr="0001130C">
        <w:rPr>
          <w:rFonts w:ascii="Times New Roman" w:hAnsi="Times New Roman" w:cs="Times New Roman"/>
          <w:b/>
          <w:bCs/>
          <w:lang w:val="en-US"/>
        </w:rPr>
        <w:t xml:space="preserve">Continuing Professional Development (CPD) &amp; Lifelong </w:t>
      </w:r>
      <w:r w:rsidRPr="0001130C">
        <w:rPr>
          <w:rFonts w:ascii="Times New Roman" w:hAnsi="Times New Roman" w:cs="Times New Roman"/>
          <w:b/>
          <w:bCs/>
          <w:lang w:val="en-US"/>
        </w:rPr>
        <w:lastRenderedPageBreak/>
        <w:t xml:space="preserve">Learning: </w:t>
      </w:r>
      <w:r w:rsidRPr="0001130C">
        <w:rPr>
          <w:rFonts w:ascii="Times New Roman" w:hAnsi="Times New Roman" w:cs="Times New Roman"/>
          <w:lang w:val="en-US"/>
        </w:rPr>
        <w:t>Lifelong learning is essential in a rapidly changing health environment. The model proposes a digital CPD platform under ABDM, where medical councils host micro-credentials, modules on outbreak preparedness, AI-assisted diagnostics, and chronic disease management. Professionals would be required to periodically recertify by completing CPD credits. Citizens too would benefit from preventive care MOOCs, tele-mentoring modules, and mobile apps to manage conditions like diabetes, hypertension, and mental health. This creates a culture where health knowledge is not static but adaptive, ensuring that the system keeps pace with epidemiological transitions and technological advances.</w:t>
      </w:r>
    </w:p>
    <w:p w:rsidR="00822735" w:rsidRDefault="00822735" w:rsidP="0001130C">
      <w:pPr>
        <w:jc w:val="both"/>
        <w:rPr>
          <w:rFonts w:ascii="Times New Roman" w:hAnsi="Times New Roman" w:cs="Times New Roman"/>
          <w:b/>
          <w:bCs/>
          <w:lang w:val="en-US"/>
        </w:rPr>
        <w:sectPr w:rsidR="00822735" w:rsidSect="0028243F">
          <w:type w:val="continuous"/>
          <w:pgSz w:w="11906" w:h="16838"/>
          <w:pgMar w:top="1440" w:right="1440" w:bottom="1440" w:left="1440" w:header="708" w:footer="708" w:gutter="0"/>
          <w:cols w:num="2" w:space="389"/>
          <w:docGrid w:linePitch="360"/>
        </w:sectPr>
      </w:pPr>
    </w:p>
    <w:p w:rsidR="0001130C" w:rsidRPr="0001130C" w:rsidRDefault="0001130C" w:rsidP="0001130C">
      <w:pPr>
        <w:jc w:val="both"/>
        <w:rPr>
          <w:rFonts w:ascii="Times New Roman" w:hAnsi="Times New Roman" w:cs="Times New Roman"/>
          <w:lang w:val="en-US"/>
        </w:rPr>
      </w:pPr>
      <w:r w:rsidRPr="0001130C">
        <w:rPr>
          <w:rFonts w:ascii="Times New Roman" w:hAnsi="Times New Roman" w:cs="Times New Roman"/>
          <w:b/>
          <w:bCs/>
          <w:lang w:val="en-US"/>
        </w:rPr>
        <w:lastRenderedPageBreak/>
        <w:t>Table 1: Health Worker Density Targets (per 10,000 population)</w:t>
      </w:r>
    </w:p>
    <w:tbl>
      <w:tblPr>
        <w:tblStyle w:val="TableGrid"/>
        <w:tblW w:w="0" w:type="auto"/>
        <w:tblLook w:val="04A0"/>
      </w:tblPr>
      <w:tblGrid>
        <w:gridCol w:w="2404"/>
        <w:gridCol w:w="2449"/>
        <w:gridCol w:w="1844"/>
        <w:gridCol w:w="2545"/>
      </w:tblGrid>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Category</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Current Density (India, 2023)</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WHO Benchmark</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Required by 2047 (Projected)</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Doctors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~9</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10</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15–18</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Nurses &amp; Midwives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~17</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25</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28–30</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Allied Health Professionals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~6</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10</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15–20</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Community Health Workers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~4</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Not specified</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10+</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b/>
                <w:bCs/>
                <w:lang w:val="en-US"/>
              </w:rPr>
              <w:t>Total</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~36</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44.5</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65–70</w:t>
            </w:r>
          </w:p>
        </w:tc>
      </w:tr>
    </w:tbl>
    <w:p w:rsidR="0001130C" w:rsidRPr="0001130C" w:rsidRDefault="0001130C" w:rsidP="0001130C">
      <w:pPr>
        <w:jc w:val="both"/>
        <w:rPr>
          <w:rFonts w:ascii="Times New Roman" w:hAnsi="Times New Roman" w:cs="Times New Roman"/>
          <w:i/>
          <w:iCs/>
          <w:lang w:val="en-US"/>
        </w:rPr>
      </w:pPr>
      <w:r w:rsidRPr="0001130C">
        <w:rPr>
          <w:rFonts w:ascii="Times New Roman" w:hAnsi="Times New Roman" w:cs="Times New Roman"/>
          <w:i/>
          <w:iCs/>
          <w:lang w:val="en-US"/>
        </w:rPr>
        <w:t>Source: WHO (2016, 2020, 2023); IPHA (2020); KPMG India (2021)</w:t>
      </w:r>
    </w:p>
    <w:p w:rsidR="0001130C" w:rsidRPr="0001130C" w:rsidRDefault="0001130C" w:rsidP="0001130C">
      <w:pPr>
        <w:jc w:val="both"/>
        <w:rPr>
          <w:rFonts w:ascii="Times New Roman" w:hAnsi="Times New Roman" w:cs="Times New Roman"/>
          <w:b/>
          <w:bCs/>
          <w:lang w:val="en-US"/>
        </w:rPr>
      </w:pPr>
      <w:r w:rsidRPr="0001130C">
        <w:rPr>
          <w:rFonts w:ascii="Times New Roman" w:hAnsi="Times New Roman" w:cs="Times New Roman"/>
          <w:b/>
          <w:bCs/>
          <w:lang w:val="en-US"/>
        </w:rPr>
        <w:t>Table 2: Proposed Health Education Framework (Life-Course Approach)</w:t>
      </w:r>
    </w:p>
    <w:tbl>
      <w:tblPr>
        <w:tblStyle w:val="TableGrid"/>
        <w:tblW w:w="0" w:type="auto"/>
        <w:tblLook w:val="04A0"/>
      </w:tblPr>
      <w:tblGrid>
        <w:gridCol w:w="2246"/>
        <w:gridCol w:w="4414"/>
        <w:gridCol w:w="2582"/>
      </w:tblGrid>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Domain</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Key Features</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Delivery Platforms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School Education (6–18 yrs)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Weekly health lessons, ABHA-linked records, community projects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Schools + HWCs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lastRenderedPageBreak/>
              <w:t>Professional Training</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Competency-based, distributed clinical rotations, mid-level curricula</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Medical colleges + CHCs/HWCs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Community Education</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Literacy programs on NCDs, maternal/child health, screenings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HWCs, workplaces, digital kiosks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Lifelong Learning (CPD)</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Digital CPD, tele-mentoring, preventive MOOCs</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ABDM platform + councils</w:t>
            </w:r>
          </w:p>
        </w:tc>
      </w:tr>
    </w:tbl>
    <w:p w:rsidR="0001130C" w:rsidRPr="0001130C" w:rsidRDefault="0001130C" w:rsidP="0001130C">
      <w:pPr>
        <w:jc w:val="both"/>
        <w:rPr>
          <w:rFonts w:ascii="Times New Roman" w:hAnsi="Times New Roman" w:cs="Times New Roman"/>
          <w:lang w:val="en-US"/>
        </w:rPr>
      </w:pPr>
    </w:p>
    <w:p w:rsidR="0001130C" w:rsidRPr="0001130C" w:rsidRDefault="0001130C" w:rsidP="0001130C">
      <w:pPr>
        <w:jc w:val="both"/>
        <w:rPr>
          <w:rFonts w:ascii="Times New Roman" w:hAnsi="Times New Roman" w:cs="Times New Roman"/>
          <w:b/>
          <w:bCs/>
          <w:lang w:val="en-US"/>
        </w:rPr>
      </w:pPr>
      <w:r w:rsidRPr="0001130C">
        <w:rPr>
          <w:rFonts w:ascii="Times New Roman" w:hAnsi="Times New Roman" w:cs="Times New Roman"/>
          <w:b/>
          <w:bCs/>
          <w:lang w:val="en-US"/>
        </w:rPr>
        <w:t>Table 3: Phased Implementation Roadmap (2025–2047)</w:t>
      </w:r>
    </w:p>
    <w:tbl>
      <w:tblPr>
        <w:tblStyle w:val="TableGrid"/>
        <w:tblW w:w="0" w:type="auto"/>
        <w:tblLook w:val="04A0"/>
      </w:tblPr>
      <w:tblGrid>
        <w:gridCol w:w="1120"/>
        <w:gridCol w:w="1276"/>
        <w:gridCol w:w="6846"/>
      </w:tblGrid>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Phase</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Timeline</w:t>
            </w:r>
          </w:p>
        </w:tc>
        <w:tc>
          <w:tcPr>
            <w:tcW w:w="0" w:type="auto"/>
            <w:hideMark/>
          </w:tcPr>
          <w:p w:rsidR="0001130C" w:rsidRPr="0001130C" w:rsidRDefault="0001130C" w:rsidP="0001130C">
            <w:pPr>
              <w:spacing w:after="160" w:line="278" w:lineRule="auto"/>
              <w:jc w:val="both"/>
              <w:rPr>
                <w:rFonts w:ascii="Times New Roman" w:hAnsi="Times New Roman" w:cs="Times New Roman"/>
                <w:b/>
                <w:bCs/>
                <w:lang w:val="en-US"/>
              </w:rPr>
            </w:pPr>
            <w:r w:rsidRPr="0001130C">
              <w:rPr>
                <w:rFonts w:ascii="Times New Roman" w:hAnsi="Times New Roman" w:cs="Times New Roman"/>
                <w:b/>
                <w:bCs/>
                <w:lang w:val="en-US"/>
              </w:rPr>
              <w:t>Key Actions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b/>
                <w:bCs/>
                <w:lang w:val="en-US"/>
              </w:rPr>
              <w:t>Phase I</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2025–2032</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Expand HWCs, integrate school health, pilot mid-level curricula</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b/>
                <w:bCs/>
                <w:lang w:val="en-US"/>
              </w:rPr>
              <w:t>Phase II</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2033–2039</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Workforce expansion, distributed networks, CPD reforms</w:t>
            </w:r>
          </w:p>
        </w:tc>
      </w:tr>
      <w:tr w:rsidR="0001130C" w:rsidRPr="0001130C" w:rsidTr="0001130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b/>
                <w:bCs/>
                <w:lang w:val="en-US"/>
              </w:rPr>
              <w:t>Phase III</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2040–2047</w:t>
            </w:r>
          </w:p>
        </w:tc>
        <w:tc>
          <w:tcPr>
            <w:tcW w:w="0" w:type="auto"/>
            <w:hideMark/>
          </w:tcPr>
          <w:p w:rsidR="0001130C" w:rsidRPr="0001130C" w:rsidRDefault="0001130C" w:rsidP="0001130C">
            <w:pPr>
              <w:spacing w:after="160" w:line="278" w:lineRule="auto"/>
              <w:jc w:val="both"/>
              <w:rPr>
                <w:rFonts w:ascii="Times New Roman" w:hAnsi="Times New Roman" w:cs="Times New Roman"/>
                <w:lang w:val="en-US"/>
              </w:rPr>
            </w:pPr>
            <w:r w:rsidRPr="0001130C">
              <w:rPr>
                <w:rFonts w:ascii="Times New Roman" w:hAnsi="Times New Roman" w:cs="Times New Roman"/>
                <w:lang w:val="en-US"/>
              </w:rPr>
              <w:t>Achieve WHO densities, universal school health literacy, AI-driven learning</w:t>
            </w:r>
          </w:p>
        </w:tc>
      </w:tr>
    </w:tbl>
    <w:p w:rsidR="0001130C" w:rsidRDefault="0001130C" w:rsidP="0001130C">
      <w:pPr>
        <w:jc w:val="both"/>
        <w:rPr>
          <w:rFonts w:ascii="Times New Roman" w:hAnsi="Times New Roman" w:cs="Times New Roman"/>
          <w:lang w:val="en-US"/>
        </w:rPr>
      </w:pPr>
    </w:p>
    <w:p w:rsidR="00822735" w:rsidRDefault="00822735" w:rsidP="0001130C">
      <w:pPr>
        <w:jc w:val="both"/>
        <w:rPr>
          <w:rFonts w:ascii="Times New Roman" w:hAnsi="Times New Roman" w:cs="Times New Roman"/>
          <w:b/>
          <w:bCs/>
        </w:rPr>
        <w:sectPr w:rsidR="00822735" w:rsidSect="00822735">
          <w:type w:val="continuous"/>
          <w:pgSz w:w="11906" w:h="16838"/>
          <w:pgMar w:top="1440" w:right="1440" w:bottom="1440" w:left="1440" w:header="708" w:footer="708" w:gutter="0"/>
          <w:cols w:space="708"/>
          <w:docGrid w:linePitch="360"/>
        </w:sectPr>
      </w:pPr>
    </w:p>
    <w:p w:rsidR="0001130C" w:rsidRDefault="0001130C" w:rsidP="0001130C">
      <w:pPr>
        <w:jc w:val="both"/>
        <w:rPr>
          <w:rFonts w:ascii="Times New Roman" w:hAnsi="Times New Roman" w:cs="Times New Roman"/>
          <w:b/>
          <w:bCs/>
        </w:rPr>
      </w:pPr>
      <w:r w:rsidRPr="0001130C">
        <w:rPr>
          <w:rFonts w:ascii="Times New Roman" w:hAnsi="Times New Roman" w:cs="Times New Roman"/>
          <w:b/>
          <w:bCs/>
        </w:rPr>
        <w:lastRenderedPageBreak/>
        <w:t>6. IMPLEMENTATION ROADMAP (2025–2047)</w:t>
      </w:r>
    </w:p>
    <w:p w:rsidR="0001130C" w:rsidRPr="0001130C" w:rsidRDefault="0001130C" w:rsidP="0001130C">
      <w:pPr>
        <w:pStyle w:val="ListParagraph"/>
        <w:numPr>
          <w:ilvl w:val="0"/>
          <w:numId w:val="4"/>
        </w:numPr>
        <w:jc w:val="both"/>
        <w:rPr>
          <w:rFonts w:ascii="Times New Roman" w:hAnsi="Times New Roman" w:cs="Times New Roman"/>
          <w:b/>
          <w:bCs/>
          <w:lang w:val="en-US"/>
        </w:rPr>
      </w:pPr>
      <w:r w:rsidRPr="0001130C">
        <w:rPr>
          <w:rFonts w:ascii="Times New Roman" w:hAnsi="Times New Roman" w:cs="Times New Roman"/>
          <w:b/>
          <w:bCs/>
          <w:lang w:val="en-US"/>
        </w:rPr>
        <w:t xml:space="preserve">Phase I (2025–2032): Foundation and Scale: </w:t>
      </w:r>
      <w:r w:rsidRPr="0001130C">
        <w:rPr>
          <w:rFonts w:ascii="Times New Roman" w:hAnsi="Times New Roman" w:cs="Times New Roman"/>
          <w:lang w:val="en-US"/>
        </w:rPr>
        <w:t xml:space="preserve">The first phase focuses on laying the groundwork by strengthening infrastructure and embedding health education into existing policy frameworks. During this period, the priority is to expand Health &amp; Wellness Centres (HWCs)/Ayushman Arogya Mandirs (AAMs) and formally accredit them as training and community education hubs. This will ensure that HWCs serve dual purposes delivering primary healthcare and acting as venues for practical training, school projects, and adult literacy sessions. At the school level, state governments will integrate structured health </w:t>
      </w:r>
      <w:r w:rsidRPr="0001130C">
        <w:rPr>
          <w:rFonts w:ascii="Times New Roman" w:hAnsi="Times New Roman" w:cs="Times New Roman"/>
          <w:lang w:val="en-US"/>
        </w:rPr>
        <w:lastRenderedPageBreak/>
        <w:t>modules into curricula under NEP mandates, with ABHA-linked school health records enabling early detection of malnutrition, anemia, and adolescent health risks. Simultaneously, a pilot mid-level clinician (MLC) curriculum will be rolled out, alongside a rapid expansion of allied health programs such as laboratory technicians and physiotherapists. These foundational steps are designed to create a pipeline of skilled health educators and practitioners while embedding health awareness into the next generation.</w:t>
      </w:r>
    </w:p>
    <w:p w:rsidR="0001130C" w:rsidRPr="0001130C" w:rsidRDefault="0001130C" w:rsidP="0001130C">
      <w:pPr>
        <w:pStyle w:val="ListParagraph"/>
        <w:numPr>
          <w:ilvl w:val="0"/>
          <w:numId w:val="4"/>
        </w:numPr>
        <w:jc w:val="both"/>
        <w:rPr>
          <w:rFonts w:ascii="Times New Roman" w:hAnsi="Times New Roman" w:cs="Times New Roman"/>
          <w:b/>
          <w:bCs/>
          <w:lang w:val="en-US"/>
        </w:rPr>
      </w:pPr>
      <w:r w:rsidRPr="0001130C">
        <w:rPr>
          <w:rFonts w:ascii="Times New Roman" w:hAnsi="Times New Roman" w:cs="Times New Roman"/>
          <w:b/>
          <w:bCs/>
          <w:lang w:val="en-US"/>
        </w:rPr>
        <w:t xml:space="preserve">Phase II (2033–2039): Consolidation and Workforce Expansion: </w:t>
      </w:r>
      <w:r w:rsidRPr="0001130C">
        <w:rPr>
          <w:rFonts w:ascii="Times New Roman" w:hAnsi="Times New Roman" w:cs="Times New Roman"/>
          <w:lang w:val="en-US"/>
        </w:rPr>
        <w:t xml:space="preserve">The second phase emphasizes scaling reforms and expanding the workforce to meet population needs. Building on </w:t>
      </w:r>
      <w:r w:rsidRPr="0001130C">
        <w:rPr>
          <w:rFonts w:ascii="Times New Roman" w:hAnsi="Times New Roman" w:cs="Times New Roman"/>
          <w:lang w:val="en-US"/>
        </w:rPr>
        <w:lastRenderedPageBreak/>
        <w:t>Phase I pilots, competency-based education will be consolidated across medical, nursing, and allied health curricula, replacing traditional seat-time models with outcome-based learning. Distributed training networks including HWCs, Community Health Centres (CHCs), and district hospitals will become mainstream clinical rotation sites, supported by simulation centers linked with the Ayushman Bharat Digital Mission (ABDM). At the same time, continuing professional development (CPD) accreditation will be institutionalized, with medical councils mandating periodic recertification linked to digital CPD credits. To attract and retain talent in underserved areas, rural practice incentives will be strengthened through scholarships, bonded service, and clear career ladders for CHWs and mid-level providers. By the late 2030s, this phase should result in a steady increase in health worker density, narrowing the gap toward WHO benchmarks, and creating a robust system that blends education, service delivery, and lifelong learning.</w:t>
      </w:r>
    </w:p>
    <w:p w:rsidR="0001130C" w:rsidRPr="0001130C" w:rsidRDefault="0001130C" w:rsidP="0001130C">
      <w:pPr>
        <w:pStyle w:val="ListParagraph"/>
        <w:numPr>
          <w:ilvl w:val="0"/>
          <w:numId w:val="4"/>
        </w:numPr>
        <w:jc w:val="both"/>
        <w:rPr>
          <w:rFonts w:ascii="Times New Roman" w:hAnsi="Times New Roman" w:cs="Times New Roman"/>
          <w:b/>
          <w:bCs/>
          <w:lang w:val="en-US"/>
        </w:rPr>
      </w:pPr>
      <w:r w:rsidRPr="0001130C">
        <w:rPr>
          <w:rFonts w:ascii="Times New Roman" w:hAnsi="Times New Roman" w:cs="Times New Roman"/>
          <w:b/>
          <w:bCs/>
          <w:lang w:val="en-US"/>
        </w:rPr>
        <w:t xml:space="preserve">Phase III (2040–2047): Maturity and Quality Assurance: </w:t>
      </w:r>
      <w:r w:rsidRPr="0001130C">
        <w:rPr>
          <w:rFonts w:ascii="Times New Roman" w:hAnsi="Times New Roman" w:cs="Times New Roman"/>
          <w:lang w:val="en-US"/>
        </w:rPr>
        <w:t xml:space="preserve">The final phase aims at achieving maturity, universal coverage, and quality assurance. By 2040, India is projected to approach WHO-recommended workforce densities (44.5 per 10,000 population), driven by sustained training pipelines and expanded cadres of </w:t>
      </w:r>
      <w:r w:rsidRPr="0001130C">
        <w:rPr>
          <w:rFonts w:ascii="Times New Roman" w:hAnsi="Times New Roman" w:cs="Times New Roman"/>
          <w:lang w:val="en-US"/>
        </w:rPr>
        <w:lastRenderedPageBreak/>
        <w:t>doctors, nurses, midwives, and allied professionals. At this stage, the emphasis will shift from expansion to ensuring consistency, quality, and adaptability. Nationwide lifelong learning systems will be embedded, with CPD platforms powered by AI-assisted adaptive learning to update professionals in real-time on emerging health challenges. HWCs will function as fully institutionalized community training and education hubs, with digital kiosks and tele-mentoring links connecting rural areas to specialist centers. Moreover, population health literacy indicators will be monitored through periodic national surveys, with adjustments made to ensure near-universal literacy. By 2047, India’s health education system will not only be scaled but also quality-assured, digitally integrated, and equity-oriented, making it a central driver of the Viksit Bharat vision</w:t>
      </w:r>
    </w:p>
    <w:p w:rsidR="0001130C" w:rsidRPr="0001130C" w:rsidRDefault="0001130C" w:rsidP="0001130C">
      <w:pPr>
        <w:pStyle w:val="ListParagraph"/>
        <w:numPr>
          <w:ilvl w:val="0"/>
          <w:numId w:val="4"/>
        </w:numPr>
        <w:jc w:val="both"/>
        <w:rPr>
          <w:rFonts w:ascii="Times New Roman" w:hAnsi="Times New Roman" w:cs="Times New Roman"/>
          <w:b/>
          <w:bCs/>
          <w:vanish/>
          <w:lang w:val="en-US"/>
        </w:rPr>
      </w:pPr>
      <w:r w:rsidRPr="0001130C">
        <w:rPr>
          <w:rFonts w:ascii="Times New Roman" w:hAnsi="Times New Roman" w:cs="Times New Roman"/>
          <w:b/>
          <w:bCs/>
          <w:vanish/>
          <w:lang w:val="en-US"/>
        </w:rPr>
        <w:t>Bottom of Form</w:t>
      </w:r>
    </w:p>
    <w:p w:rsidR="004E3DF5" w:rsidRPr="0001130C" w:rsidRDefault="004E3DF5" w:rsidP="0001130C">
      <w:pPr>
        <w:pStyle w:val="ListParagraph"/>
        <w:numPr>
          <w:ilvl w:val="0"/>
          <w:numId w:val="4"/>
        </w:numPr>
        <w:jc w:val="both"/>
        <w:rPr>
          <w:rFonts w:ascii="Times New Roman" w:hAnsi="Times New Roman" w:cs="Times New Roman"/>
          <w:b/>
          <w:bCs/>
          <w:vanish/>
          <w:lang w:val="en-US"/>
        </w:rPr>
      </w:pPr>
      <w:r w:rsidRPr="0001130C">
        <w:rPr>
          <w:rFonts w:ascii="Times New Roman" w:hAnsi="Times New Roman" w:cs="Times New Roman"/>
          <w:b/>
          <w:bCs/>
          <w:vanish/>
          <w:lang w:val="en-US"/>
        </w:rPr>
        <w:t>Bottom of Form</w:t>
      </w:r>
    </w:p>
    <w:p w:rsidR="0001130C" w:rsidRPr="0001130C" w:rsidRDefault="0001130C" w:rsidP="0001130C">
      <w:pPr>
        <w:jc w:val="both"/>
        <w:rPr>
          <w:rFonts w:ascii="Times New Roman" w:hAnsi="Times New Roman" w:cs="Times New Roman"/>
          <w:b/>
          <w:bCs/>
          <w:lang w:val="en-US"/>
        </w:rPr>
      </w:pPr>
      <w:r w:rsidRPr="0001130C">
        <w:rPr>
          <w:rFonts w:ascii="Times New Roman" w:hAnsi="Times New Roman" w:cs="Times New Roman"/>
          <w:b/>
          <w:bCs/>
          <w:lang w:val="en-US"/>
        </w:rPr>
        <w:t>7. FINANCING &amp; GOVERNANCE</w:t>
      </w:r>
    </w:p>
    <w:p w:rsidR="0001130C" w:rsidRPr="0001130C" w:rsidRDefault="0001130C" w:rsidP="0001130C">
      <w:pPr>
        <w:jc w:val="both"/>
        <w:rPr>
          <w:rFonts w:ascii="Times New Roman" w:hAnsi="Times New Roman" w:cs="Times New Roman"/>
          <w:lang w:val="en-US"/>
        </w:rPr>
      </w:pPr>
      <w:r w:rsidRPr="0001130C">
        <w:rPr>
          <w:rFonts w:ascii="Times New Roman" w:hAnsi="Times New Roman" w:cs="Times New Roman"/>
          <w:lang w:val="en-US"/>
        </w:rPr>
        <w:t xml:space="preserve">The financing of health education reforms in India must be grounded in both public sector commitments and innovative blended models to ensure long-term sustainability and equity. The National Health Policy (2017) already set a target of 2.5% of GDP for public health spending, yet actual allocations remain closer to 1.3–1.5% in recent years, which is insufficient to meet both service delivery and education goals. To achieve universal coverage and build a workforce aligned with WHO thresholds (44.5 health workers per 10,000 population), India must </w:t>
      </w:r>
      <w:r w:rsidRPr="0001130C">
        <w:rPr>
          <w:rFonts w:ascii="Times New Roman" w:hAnsi="Times New Roman" w:cs="Times New Roman"/>
          <w:lang w:val="en-US"/>
        </w:rPr>
        <w:lastRenderedPageBreak/>
        <w:t>progressively scale investments, earmarking a dedicated share for education, training infrastructure, and faculty development. A portion of these funds should be ring-fenced within health budgets to prevent diversion and ensure continuity of investments. Alongside direct public financing, the roadmap envisions Public-Private Partnerships (PPPs) for capital-intensive infrastructure like simulation centers, tele-education platforms, and new medical colleges. Several states, including Maharashtra and Gujarat, have already initiated PPPs to expand medical seats, though affordability concerns underscore the need for regulatory safeguards such as fee caps, scholarships, and public-interest clauses</w:t>
      </w:r>
      <w:r w:rsidR="00F36EC4">
        <w:rPr>
          <w:rFonts w:ascii="Times New Roman" w:hAnsi="Times New Roman" w:cs="Times New Roman"/>
          <w:lang w:val="en-US"/>
        </w:rPr>
        <w:t xml:space="preserve">. </w:t>
      </w:r>
      <w:r w:rsidRPr="0001130C">
        <w:rPr>
          <w:rFonts w:ascii="Times New Roman" w:hAnsi="Times New Roman" w:cs="Times New Roman"/>
          <w:lang w:val="en-US"/>
        </w:rPr>
        <w:t>Furthermore, innovative financing mechanisms such as outcome-based grants tied to measurable outputs (e.g., number of graduates deployed in rural areas, percentage of schools covered with health literacy programs, CPD completion rates) can incentivize efficiency and accountability.</w:t>
      </w:r>
    </w:p>
    <w:p w:rsidR="0001130C" w:rsidRPr="0001130C" w:rsidRDefault="0001130C" w:rsidP="0001130C">
      <w:pPr>
        <w:jc w:val="both"/>
        <w:rPr>
          <w:rFonts w:ascii="Times New Roman" w:hAnsi="Times New Roman" w:cs="Times New Roman"/>
          <w:lang w:val="en-US"/>
        </w:rPr>
      </w:pPr>
      <w:r w:rsidRPr="0001130C">
        <w:rPr>
          <w:rFonts w:ascii="Times New Roman" w:hAnsi="Times New Roman" w:cs="Times New Roman"/>
          <w:lang w:val="en-US"/>
        </w:rPr>
        <w:t xml:space="preserve">Governance of this expanded and distributed ecosystem requires cross-sectoral coordination, as health education spans ministries, regulators, and local bodies. The proposed creation of a National Health Education Council (NHED) with representation from the Ministry of Health and Family Welfare (MoHFW), Ministry of Education (MoE), professional councils (medical, nursing, allied health), state governments, and community groups is critical to align standards, accreditation, and financing. Regulatory modernization is equally essential—professional councils such as the National Medical Commission (NMC) and the Indian Nursing Council must move </w:t>
      </w:r>
      <w:r w:rsidRPr="0001130C">
        <w:rPr>
          <w:rFonts w:ascii="Times New Roman" w:hAnsi="Times New Roman" w:cs="Times New Roman"/>
          <w:lang w:val="en-US"/>
        </w:rPr>
        <w:lastRenderedPageBreak/>
        <w:t>beyond seat-based approvals to competency outcome evaluation, distributed site accreditation, and approval of micro-credential pathways. Additionally, the ABDM can serve as a digital backbone for governance, tracking CPD credits, ABHA-linked school health records, and workforce deployment. This data-driven governance will allow for real-time monitoring of quality and equity, while inter-council harmonization will reduce regulatory fragmentation that currently slows reforms. By combining sustained financing (public + blended) and modernized governance (NHED + ABDM-backed monitoring), India can ensure that by 2047, its health education ecosystem is not only adequately funded but also transparent, accountable, and future-ready, enabling the country to produce both a skilled health workforce and a health-literate citizenry.</w:t>
      </w:r>
    </w:p>
    <w:p w:rsidR="00F36EC4" w:rsidRPr="00F36EC4" w:rsidRDefault="00F36EC4" w:rsidP="00F36EC4">
      <w:pPr>
        <w:jc w:val="both"/>
        <w:rPr>
          <w:rFonts w:ascii="Times New Roman" w:hAnsi="Times New Roman" w:cs="Times New Roman"/>
          <w:b/>
          <w:bCs/>
          <w:lang w:val="en-US"/>
        </w:rPr>
      </w:pPr>
      <w:r w:rsidRPr="00F36EC4">
        <w:rPr>
          <w:rFonts w:ascii="Times New Roman" w:hAnsi="Times New Roman" w:cs="Times New Roman"/>
          <w:b/>
          <w:bCs/>
          <w:lang w:val="en-US"/>
        </w:rPr>
        <w:t>8. MONITORING &amp; EVALUATION</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An effective monitoring and evaluation (M&amp;E) framework is essential to ensure that India’s health education reforms stay on track and deliver measurable results by 2047. The proposed system should combine input, process, output, and outcome indicators, linking them with both the Ayushman Bharat Digital Mission (ABDM) and national survey mechanisms. Key indicators include health worker density per 10,000 population, which currently stands at ~36 in India, still below the WHO benchmark of 44.5, highlighting the need for expansion across doctors, nurses, midwives, and allied health professionals. Another critical metric is the number and proportion of accredited distributed training sites, such as HWCs and district hospitals lin</w:t>
      </w:r>
      <w:r>
        <w:rPr>
          <w:rFonts w:ascii="Times New Roman" w:hAnsi="Times New Roman" w:cs="Times New Roman"/>
          <w:lang w:val="en-US"/>
        </w:rPr>
        <w:t xml:space="preserve">ked to </w:t>
      </w:r>
      <w:r>
        <w:rPr>
          <w:rFonts w:ascii="Times New Roman" w:hAnsi="Times New Roman" w:cs="Times New Roman"/>
          <w:lang w:val="en-US"/>
        </w:rPr>
        <w:lastRenderedPageBreak/>
        <w:t xml:space="preserve">medical/nursing colleges </w:t>
      </w:r>
      <w:r w:rsidRPr="00F36EC4">
        <w:rPr>
          <w:rFonts w:ascii="Times New Roman" w:hAnsi="Times New Roman" w:cs="Times New Roman"/>
          <w:lang w:val="en-US"/>
        </w:rPr>
        <w:t>by 2024, thousands of HWCs had been transformed into Ayushman Arogya Mandirs, but only a fraction function as active training hubs, making accreditation and quality assurance crucial. At the school level, coverage of health modules and annual health checkups can be tracked through ABHA-linked digital dashboards, ensuring that children’s health records are updated and used for preventive interventions. To capture system-level progress, population health literacy scores must be assessed via periodic national surveys, similar to NFHS (National Family Health Survey) or ASER models, to evaluate how effectively school and community programs translate into improved awareness and behavior. For professionals, CPD completion rates tied to ABDM records will provide a transparent mechanism for monitoring lifelong learning, while regulators can use real-time dashboards to verify compliance. Data pipelines leveraging ABDM will enable anonymized, aggregated dashboards that inform policymakers about regional disparities in workforce distribution, literacy levels, and training outputs. By aligning financing disbursements and accreditation renewals to these indicators, India can implement a performance-linked accountability system that rewards efficiency and equity. Ultimately, the M&amp;E framework must not only track quantitative targets but also ensure quality, inclusiveness, and adaptability</w:t>
      </w:r>
      <w:r>
        <w:rPr>
          <w:rFonts w:ascii="Times New Roman" w:hAnsi="Times New Roman" w:cs="Times New Roman"/>
          <w:lang w:val="en-US"/>
        </w:rPr>
        <w:t xml:space="preserve"> </w:t>
      </w:r>
      <w:r w:rsidRPr="00F36EC4">
        <w:rPr>
          <w:rFonts w:ascii="Times New Roman" w:hAnsi="Times New Roman" w:cs="Times New Roman"/>
          <w:lang w:val="en-US"/>
        </w:rPr>
        <w:t>ensuring that by 2047, health education reforms have produced a system that is measurable, transparent, and outcome-oriented, supporting the dual vision of a healthier and more educated India</w:t>
      </w:r>
    </w:p>
    <w:p w:rsidR="00F36EC4" w:rsidRPr="00F36EC4" w:rsidRDefault="00F36EC4" w:rsidP="00F36EC4">
      <w:pPr>
        <w:jc w:val="both"/>
        <w:rPr>
          <w:rFonts w:ascii="Times New Roman" w:hAnsi="Times New Roman" w:cs="Times New Roman"/>
          <w:b/>
          <w:bCs/>
          <w:lang w:val="en-US"/>
        </w:rPr>
      </w:pPr>
      <w:r>
        <w:rPr>
          <w:rFonts w:ascii="Times New Roman" w:hAnsi="Times New Roman" w:cs="Times New Roman"/>
          <w:b/>
          <w:bCs/>
          <w:lang w:val="en-US"/>
        </w:rPr>
        <w:lastRenderedPageBreak/>
        <w:t>9</w:t>
      </w:r>
      <w:r w:rsidRPr="00F36EC4">
        <w:rPr>
          <w:rFonts w:ascii="Times New Roman" w:hAnsi="Times New Roman" w:cs="Times New Roman"/>
          <w:b/>
          <w:bCs/>
          <w:lang w:val="en-US"/>
        </w:rPr>
        <w:t>. CASE STUDIES &amp; STATE INITIATIVES</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 xml:space="preserve">Across India, recent state-level moves illustrate how capacity expansion, primary-care strengthening, and long-horizon “India 2047” planning can be harnessed to advance health education. Maharashtra’s exploration of allowing private universities to offer medical courses signals a shift toward expanding teaching capacity through new providers; while such proposals can accelerate the creation of seats and clinical training placements, they simultaneously raise affordability and equity concerns that must be mitigated via scholarships, regulated pricing, and public-interest safeguards to avoid pricing out students from underserved regions. </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In parallel, the nationwide transformation of Health &amp; Wellness Centres into Ayushman Arogya Mandirs (AAMs) provides a powerful, ready platform for community-oriented education and distributed training: these centres already deliver preventive, promotive, and selected curative services and can be formally accredited as teaching sites linked to near</w:t>
      </w:r>
      <w:r>
        <w:rPr>
          <w:rFonts w:ascii="Times New Roman" w:hAnsi="Times New Roman" w:cs="Times New Roman"/>
          <w:lang w:val="en-US"/>
        </w:rPr>
        <w:t xml:space="preserve">by medical and nursing colleges </w:t>
      </w:r>
      <w:r w:rsidRPr="00F36EC4">
        <w:rPr>
          <w:rFonts w:ascii="Times New Roman" w:hAnsi="Times New Roman" w:cs="Times New Roman"/>
          <w:lang w:val="en-US"/>
        </w:rPr>
        <w:t xml:space="preserve">turning routine outreach (e.g., NCD risk reduction, vaccination counselling) into structured practicum for students and CPD sessions for staff. </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 xml:space="preserve">Looking ahead to 2047, several states including Uttar Pradesh and Gujarat have issued development visions that explicitly pair education and healthcare as twin pillars of transformation, creating political alignment for longitudinal reforms (seat expansion, distributed rotations, and digital enablement) that the proposed model depends on; such roadmaps can </w:t>
      </w:r>
      <w:r w:rsidRPr="00F36EC4">
        <w:rPr>
          <w:rFonts w:ascii="Times New Roman" w:hAnsi="Times New Roman" w:cs="Times New Roman"/>
          <w:lang w:val="en-US"/>
        </w:rPr>
        <w:lastRenderedPageBreak/>
        <w:t xml:space="preserve">anchor outcome-based financing and shared metrics across departments (education, health, skills), reducing fragmentation and sustaining investment over multiple plan periods. </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To translate these initiatives into system-wide gains, states can codify accreditation pathways for AAM/HWC training hubs, embed rural rotations into university regulations, and tie public grants to measurable outputs such as the number of accredited distributed sites, school-health coverage, population health-literacy scores, and CPD completion rates captured on ABDM-linked dashboards; this couples expansion with quality assurance and equity, and aligns directly with the paper’s monitoring indicators and policy recommendations.</w:t>
      </w:r>
    </w:p>
    <w:p w:rsidR="00F36EC4" w:rsidRPr="00F36EC4" w:rsidRDefault="00F36EC4" w:rsidP="00F36EC4">
      <w:pPr>
        <w:jc w:val="both"/>
        <w:rPr>
          <w:rFonts w:ascii="Times New Roman" w:hAnsi="Times New Roman" w:cs="Times New Roman"/>
          <w:b/>
          <w:bCs/>
          <w:lang w:val="en-US"/>
        </w:rPr>
      </w:pPr>
      <w:r>
        <w:rPr>
          <w:rFonts w:ascii="Times New Roman" w:hAnsi="Times New Roman" w:cs="Times New Roman"/>
          <w:b/>
          <w:bCs/>
          <w:lang w:val="en-US"/>
        </w:rPr>
        <w:t>10</w:t>
      </w:r>
      <w:r w:rsidRPr="00F36EC4">
        <w:rPr>
          <w:rFonts w:ascii="Times New Roman" w:hAnsi="Times New Roman" w:cs="Times New Roman"/>
          <w:b/>
          <w:bCs/>
          <w:lang w:val="en-US"/>
        </w:rPr>
        <w:t>. CONCLUSION</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 xml:space="preserve">Health education in India by 2047 must be envisioned not as a single program but as a comprehensive ecosystem that spans the entire life course, integrating schools, professional training, community engagement, and lifelong learning. By embedding health literacy into school curricula through the NEP 2020 framework, India can ensure that future generations of students enter adulthood equipped with the knowledge to make informed lifestyle and healthcare choices. At the professional level, a distributed, competency-based education system will produce a larger and more equitably distributed workforce, with HWCs and district hospitals functioning as teaching hubs alongside traditional medical colleges. Community-based approaches will transform Ayushman Arogya Mandirs into centers of population health education, led by upskilled CHWs who can address </w:t>
      </w:r>
      <w:r w:rsidRPr="00F36EC4">
        <w:rPr>
          <w:rFonts w:ascii="Times New Roman" w:hAnsi="Times New Roman" w:cs="Times New Roman"/>
          <w:lang w:val="en-US"/>
        </w:rPr>
        <w:lastRenderedPageBreak/>
        <w:t>maternal health, NCD risks, and preventive care. In parallel, digital platforms like the Ayushman Bharat Digital Mission (ABDM) will provide the backbone for continuing professional development (CPD), tele-mentoring, and citizen learning modules, ensuring adaptability to evolving health challenges.</w:t>
      </w:r>
    </w:p>
    <w:p w:rsidR="00F36EC4" w:rsidRPr="00F36EC4" w:rsidRDefault="00F36EC4" w:rsidP="00F36EC4">
      <w:pPr>
        <w:jc w:val="both"/>
        <w:rPr>
          <w:rFonts w:ascii="Times New Roman" w:hAnsi="Times New Roman" w:cs="Times New Roman"/>
          <w:lang w:val="en-US"/>
        </w:rPr>
      </w:pPr>
      <w:r w:rsidRPr="00F36EC4">
        <w:rPr>
          <w:rFonts w:ascii="Times New Roman" w:hAnsi="Times New Roman" w:cs="Times New Roman"/>
          <w:lang w:val="en-US"/>
        </w:rPr>
        <w:t>However, achieving this vision depends on several preconditions for success: strong policy coherence between health and education ministries, substantial and ring-fenced public financing that gradually raises health spending toward 2.5% of GDP, and regulatory modernization to enable competency frameworks, distributed site accreditation, and inter-council harmonization. Equally important is the focus on equity—ensuring that rural and underserved areas are prioritized for training sites, workforce deployment, and digital access. If pursued persistently across the next two decades, these strategies will position India to meet WHO-recommended workforce densities, achieve near-universal basic health literacy, and foster a system that is digitally linked, equity-driven, and outcome-oriented. Thus, by the centenary of independence, India can fulfill its vision of becoming not only economically strong but also a nation that is both healthier and more educated, setting a global benchmark for integrating health and education reforms into a unified developmental pathway</w:t>
      </w:r>
    </w:p>
    <w:p w:rsidR="0001130C" w:rsidRDefault="00F36EC4" w:rsidP="00DD19C3">
      <w:pPr>
        <w:jc w:val="both"/>
        <w:rPr>
          <w:rFonts w:ascii="Times New Roman" w:hAnsi="Times New Roman" w:cs="Times New Roman"/>
          <w:b/>
          <w:bCs/>
        </w:rPr>
      </w:pPr>
      <w:r>
        <w:rPr>
          <w:rFonts w:ascii="Times New Roman" w:hAnsi="Times New Roman" w:cs="Times New Roman"/>
          <w:b/>
          <w:bCs/>
        </w:rPr>
        <w:t xml:space="preserve">REFERENCE </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Ayushman Bharat Digital Mission. (2021). </w:t>
      </w:r>
      <w:r w:rsidRPr="00F36EC4">
        <w:rPr>
          <w:rFonts w:ascii="Times New Roman" w:hAnsi="Times New Roman" w:cs="Times New Roman"/>
          <w:i/>
          <w:iCs/>
          <w:lang w:val="en-US"/>
        </w:rPr>
        <w:t>Creating India’s digital health ecosystem.</w:t>
      </w:r>
      <w:r w:rsidRPr="00F36EC4">
        <w:rPr>
          <w:rFonts w:ascii="Times New Roman" w:hAnsi="Times New Roman" w:cs="Times New Roman"/>
          <w:lang w:val="en-US"/>
        </w:rPr>
        <w:t xml:space="preserve"> Ministry of Health and Family Welfare, Government of India. </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lastRenderedPageBreak/>
        <w:t xml:space="preserve">Government of India, Ministry of Health and Family Welfare. (2017). </w:t>
      </w:r>
      <w:r w:rsidRPr="00F36EC4">
        <w:rPr>
          <w:rFonts w:ascii="Times New Roman" w:hAnsi="Times New Roman" w:cs="Times New Roman"/>
          <w:i/>
          <w:iCs/>
          <w:lang w:val="en-US"/>
        </w:rPr>
        <w:t>National Health Policy 2017.</w:t>
      </w:r>
      <w:r w:rsidRPr="00F36EC4">
        <w:rPr>
          <w:rFonts w:ascii="Times New Roman" w:hAnsi="Times New Roman" w:cs="Times New Roman"/>
          <w:lang w:val="en-US"/>
        </w:rPr>
        <w:t xml:space="preserve"> New Delhi: MoHFW.</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Government of India, Ministry of Education. (2020). </w:t>
      </w:r>
      <w:r w:rsidRPr="00F36EC4">
        <w:rPr>
          <w:rFonts w:ascii="Times New Roman" w:hAnsi="Times New Roman" w:cs="Times New Roman"/>
          <w:i/>
          <w:iCs/>
          <w:lang w:val="en-US"/>
        </w:rPr>
        <w:t>National Education Policy 2020.</w:t>
      </w:r>
      <w:r w:rsidRPr="00F36EC4">
        <w:rPr>
          <w:rFonts w:ascii="Times New Roman" w:hAnsi="Times New Roman" w:cs="Times New Roman"/>
          <w:lang w:val="en-US"/>
        </w:rPr>
        <w:t xml:space="preserve"> New Delhi: MoE.</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Government of India, NITI Aayog. (2018). </w:t>
      </w:r>
      <w:r w:rsidRPr="00F36EC4">
        <w:rPr>
          <w:rFonts w:ascii="Times New Roman" w:hAnsi="Times New Roman" w:cs="Times New Roman"/>
          <w:i/>
          <w:iCs/>
          <w:lang w:val="en-US"/>
        </w:rPr>
        <w:t>Strategy for New India @75.</w:t>
      </w:r>
      <w:r w:rsidRPr="00F36EC4">
        <w:rPr>
          <w:rFonts w:ascii="Times New Roman" w:hAnsi="Times New Roman" w:cs="Times New Roman"/>
          <w:lang w:val="en-US"/>
        </w:rPr>
        <w:t xml:space="preserve"> New Delhi: NITI Aayog.</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Government of India, NITI Aayog. (2022). </w:t>
      </w:r>
      <w:r w:rsidRPr="00F36EC4">
        <w:rPr>
          <w:rFonts w:ascii="Times New Roman" w:hAnsi="Times New Roman" w:cs="Times New Roman"/>
          <w:i/>
          <w:iCs/>
          <w:lang w:val="en-US"/>
        </w:rPr>
        <w:t>Viksit Bharat @2047: Visioning document.</w:t>
      </w:r>
      <w:r w:rsidRPr="00F36EC4">
        <w:rPr>
          <w:rFonts w:ascii="Times New Roman" w:hAnsi="Times New Roman" w:cs="Times New Roman"/>
          <w:lang w:val="en-US"/>
        </w:rPr>
        <w:t xml:space="preserve"> New Delhi: NITI Aayog.</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Indian Public Health Association. (2020). </w:t>
      </w:r>
      <w:r w:rsidRPr="00F36EC4">
        <w:rPr>
          <w:rFonts w:ascii="Times New Roman" w:hAnsi="Times New Roman" w:cs="Times New Roman"/>
          <w:i/>
          <w:iCs/>
          <w:lang w:val="en-US"/>
        </w:rPr>
        <w:t>Health workforce in India: Bridging the gaps.</w:t>
      </w:r>
      <w:r w:rsidRPr="00F36EC4">
        <w:rPr>
          <w:rFonts w:ascii="Times New Roman" w:hAnsi="Times New Roman" w:cs="Times New Roman"/>
          <w:lang w:val="en-US"/>
        </w:rPr>
        <w:t xml:space="preserve"> IPHA Policy Brief.</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Indira Gandhi National Open University. (2020). </w:t>
      </w:r>
      <w:r w:rsidRPr="00F36EC4">
        <w:rPr>
          <w:rFonts w:ascii="Times New Roman" w:hAnsi="Times New Roman" w:cs="Times New Roman"/>
          <w:i/>
          <w:iCs/>
          <w:lang w:val="en-US"/>
        </w:rPr>
        <w:t>Diploma in Community Health (CHO curriculum).</w:t>
      </w:r>
      <w:r w:rsidRPr="00F36EC4">
        <w:rPr>
          <w:rFonts w:ascii="Times New Roman" w:hAnsi="Times New Roman" w:cs="Times New Roman"/>
          <w:lang w:val="en-US"/>
        </w:rPr>
        <w:t xml:space="preserve"> IGNOU School of Health Sciences.</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KPMG India. (2021). </w:t>
      </w:r>
      <w:r w:rsidRPr="00F36EC4">
        <w:rPr>
          <w:rFonts w:ascii="Times New Roman" w:hAnsi="Times New Roman" w:cs="Times New Roman"/>
          <w:i/>
          <w:iCs/>
          <w:lang w:val="en-US"/>
        </w:rPr>
        <w:t>Future of healthcare in India: Workforce and infrastructure needs by 2040.</w:t>
      </w:r>
      <w:r w:rsidRPr="00F36EC4">
        <w:rPr>
          <w:rFonts w:ascii="Times New Roman" w:hAnsi="Times New Roman" w:cs="Times New Roman"/>
          <w:lang w:val="en-US"/>
        </w:rPr>
        <w:t xml:space="preserve"> KPMG Insights Report.</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Lancet Global Health. (2019). </w:t>
      </w:r>
      <w:r w:rsidRPr="00F36EC4">
        <w:rPr>
          <w:rFonts w:ascii="Times New Roman" w:hAnsi="Times New Roman" w:cs="Times New Roman"/>
          <w:i/>
          <w:iCs/>
          <w:lang w:val="en-US"/>
        </w:rPr>
        <w:t>India’s health transition: NCDs, infectious disease, and workforce needs.</w:t>
      </w:r>
      <w:r w:rsidRPr="00F36EC4">
        <w:rPr>
          <w:rFonts w:ascii="Times New Roman" w:hAnsi="Times New Roman" w:cs="Times New Roman"/>
          <w:lang w:val="en-US"/>
        </w:rPr>
        <w:t xml:space="preserve"> </w:t>
      </w:r>
      <w:r w:rsidRPr="00F36EC4">
        <w:rPr>
          <w:rFonts w:ascii="Times New Roman" w:hAnsi="Times New Roman" w:cs="Times New Roman"/>
          <w:i/>
          <w:iCs/>
          <w:lang w:val="en-US"/>
        </w:rPr>
        <w:t>The Lancet Global Health.</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National Medical Commission. (2019). </w:t>
      </w:r>
      <w:r w:rsidRPr="00F36EC4">
        <w:rPr>
          <w:rFonts w:ascii="Times New Roman" w:hAnsi="Times New Roman" w:cs="Times New Roman"/>
          <w:i/>
          <w:iCs/>
          <w:lang w:val="en-US"/>
        </w:rPr>
        <w:t xml:space="preserve">Competency-based medical </w:t>
      </w:r>
      <w:r w:rsidRPr="00F36EC4">
        <w:rPr>
          <w:rFonts w:ascii="Times New Roman" w:hAnsi="Times New Roman" w:cs="Times New Roman"/>
          <w:i/>
          <w:iCs/>
          <w:lang w:val="en-US"/>
        </w:rPr>
        <w:lastRenderedPageBreak/>
        <w:t>education curriculum for the undergraduate medical program.</w:t>
      </w:r>
      <w:r w:rsidRPr="00F36EC4">
        <w:rPr>
          <w:rFonts w:ascii="Times New Roman" w:hAnsi="Times New Roman" w:cs="Times New Roman"/>
          <w:lang w:val="en-US"/>
        </w:rPr>
        <w:t xml:space="preserve"> New Delhi: NMC.</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NCERT. (2017). </w:t>
      </w:r>
      <w:r w:rsidRPr="00F36EC4">
        <w:rPr>
          <w:rFonts w:ascii="Times New Roman" w:hAnsi="Times New Roman" w:cs="Times New Roman"/>
          <w:i/>
          <w:iCs/>
          <w:lang w:val="en-US"/>
        </w:rPr>
        <w:t>Health and physical education: Class VI–XII textbooks.</w:t>
      </w:r>
      <w:r w:rsidRPr="00F36EC4">
        <w:rPr>
          <w:rFonts w:ascii="Times New Roman" w:hAnsi="Times New Roman" w:cs="Times New Roman"/>
          <w:lang w:val="en-US"/>
        </w:rPr>
        <w:t xml:space="preserve"> National Council of Educational Research and Training.</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Organisation for Economic Co-operation and Development. (2021). </w:t>
      </w:r>
      <w:r w:rsidRPr="00F36EC4">
        <w:rPr>
          <w:rFonts w:ascii="Times New Roman" w:hAnsi="Times New Roman" w:cs="Times New Roman"/>
          <w:i/>
          <w:iCs/>
          <w:lang w:val="en-US"/>
        </w:rPr>
        <w:t>Education and skills outlook 2021: Learning for life.</w:t>
      </w:r>
      <w:r w:rsidRPr="00F36EC4">
        <w:rPr>
          <w:rFonts w:ascii="Times New Roman" w:hAnsi="Times New Roman" w:cs="Times New Roman"/>
          <w:lang w:val="en-US"/>
        </w:rPr>
        <w:t xml:space="preserve"> OECD Publishing.</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World Bank. (2020). </w:t>
      </w:r>
      <w:r w:rsidRPr="00F36EC4">
        <w:rPr>
          <w:rFonts w:ascii="Times New Roman" w:hAnsi="Times New Roman" w:cs="Times New Roman"/>
          <w:i/>
          <w:iCs/>
          <w:lang w:val="en-US"/>
        </w:rPr>
        <w:t>India: Health sector review—Financing and service delivery challenges.</w:t>
      </w:r>
      <w:r w:rsidRPr="00F36EC4">
        <w:rPr>
          <w:rFonts w:ascii="Times New Roman" w:hAnsi="Times New Roman" w:cs="Times New Roman"/>
          <w:lang w:val="en-US"/>
        </w:rPr>
        <w:t xml:space="preserve"> Washington, DC: World Bank.</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World Health Organization. (2016). </w:t>
      </w:r>
      <w:r w:rsidRPr="00F36EC4">
        <w:rPr>
          <w:rFonts w:ascii="Times New Roman" w:hAnsi="Times New Roman" w:cs="Times New Roman"/>
          <w:i/>
          <w:iCs/>
          <w:lang w:val="en-US"/>
        </w:rPr>
        <w:t>Global strategy on human resources for health: Workforce 2030.</w:t>
      </w:r>
      <w:r w:rsidRPr="00F36EC4">
        <w:rPr>
          <w:rFonts w:ascii="Times New Roman" w:hAnsi="Times New Roman" w:cs="Times New Roman"/>
          <w:lang w:val="en-US"/>
        </w:rPr>
        <w:t xml:space="preserve"> Geneva: WHO.</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World Health Organization. (2020). </w:t>
      </w:r>
      <w:r w:rsidRPr="00F36EC4">
        <w:rPr>
          <w:rFonts w:ascii="Times New Roman" w:hAnsi="Times New Roman" w:cs="Times New Roman"/>
          <w:i/>
          <w:iCs/>
          <w:lang w:val="en-US"/>
        </w:rPr>
        <w:t>State of the world’s nursing: Investing in education, jobs and leadership.</w:t>
      </w:r>
      <w:r w:rsidRPr="00F36EC4">
        <w:rPr>
          <w:rFonts w:ascii="Times New Roman" w:hAnsi="Times New Roman" w:cs="Times New Roman"/>
          <w:lang w:val="en-US"/>
        </w:rPr>
        <w:t xml:space="preserve"> Geneva: WHO.</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World Health Organization. (2023). </w:t>
      </w:r>
      <w:r w:rsidRPr="00F36EC4">
        <w:rPr>
          <w:rFonts w:ascii="Times New Roman" w:hAnsi="Times New Roman" w:cs="Times New Roman"/>
          <w:i/>
          <w:iCs/>
          <w:lang w:val="en-US"/>
        </w:rPr>
        <w:t>World health statistics 2023: Monitoring health for the SDGs.</w:t>
      </w:r>
      <w:r w:rsidRPr="00F36EC4">
        <w:rPr>
          <w:rFonts w:ascii="Times New Roman" w:hAnsi="Times New Roman" w:cs="Times New Roman"/>
          <w:lang w:val="en-US"/>
        </w:rPr>
        <w:t xml:space="preserve"> Geneva: WHO.</w:t>
      </w:r>
    </w:p>
    <w:p w:rsidR="00F36EC4" w:rsidRPr="00F36EC4" w:rsidRDefault="00F36EC4" w:rsidP="00F36EC4">
      <w:pPr>
        <w:numPr>
          <w:ilvl w:val="0"/>
          <w:numId w:val="5"/>
        </w:numPr>
        <w:jc w:val="both"/>
        <w:rPr>
          <w:rFonts w:ascii="Times New Roman" w:hAnsi="Times New Roman" w:cs="Times New Roman"/>
          <w:lang w:val="en-US"/>
        </w:rPr>
      </w:pPr>
      <w:r w:rsidRPr="00F36EC4">
        <w:rPr>
          <w:rFonts w:ascii="Times New Roman" w:hAnsi="Times New Roman" w:cs="Times New Roman"/>
          <w:lang w:val="en-US"/>
        </w:rPr>
        <w:t xml:space="preserve">United Nations. (2015). </w:t>
      </w:r>
      <w:r w:rsidRPr="00F36EC4">
        <w:rPr>
          <w:rFonts w:ascii="Times New Roman" w:hAnsi="Times New Roman" w:cs="Times New Roman"/>
          <w:i/>
          <w:iCs/>
          <w:lang w:val="en-US"/>
        </w:rPr>
        <w:t>Transforming our world: The 2030 Agenda for Sustainable Development.</w:t>
      </w:r>
      <w:r w:rsidRPr="00F36EC4">
        <w:rPr>
          <w:rFonts w:ascii="Times New Roman" w:hAnsi="Times New Roman" w:cs="Times New Roman"/>
          <w:lang w:val="en-US"/>
        </w:rPr>
        <w:t xml:space="preserve"> New York: United Nations.</w:t>
      </w:r>
    </w:p>
    <w:p w:rsidR="00822735" w:rsidRDefault="00822735" w:rsidP="00DD19C3">
      <w:pPr>
        <w:jc w:val="both"/>
        <w:rPr>
          <w:rFonts w:ascii="Times New Roman" w:hAnsi="Times New Roman" w:cs="Times New Roman"/>
        </w:rPr>
        <w:sectPr w:rsidR="00822735" w:rsidSect="00822735">
          <w:type w:val="continuous"/>
          <w:pgSz w:w="11906" w:h="16838"/>
          <w:pgMar w:top="1440" w:right="1440" w:bottom="1440" w:left="1440" w:header="708" w:footer="708" w:gutter="0"/>
          <w:cols w:num="2" w:space="708"/>
          <w:docGrid w:linePitch="360"/>
        </w:sectPr>
      </w:pPr>
    </w:p>
    <w:p w:rsidR="00F36EC4" w:rsidRPr="00F36EC4" w:rsidRDefault="00F36EC4" w:rsidP="00DD19C3">
      <w:pPr>
        <w:jc w:val="both"/>
        <w:rPr>
          <w:rFonts w:ascii="Times New Roman" w:hAnsi="Times New Roman" w:cs="Times New Roman"/>
        </w:rPr>
      </w:pPr>
    </w:p>
    <w:sectPr w:rsidR="00F36EC4" w:rsidRPr="00F36EC4" w:rsidSect="0082273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835" w:rsidRDefault="00231835" w:rsidP="001C797B">
      <w:pPr>
        <w:spacing w:after="0" w:line="240" w:lineRule="auto"/>
      </w:pPr>
      <w:r>
        <w:separator/>
      </w:r>
    </w:p>
  </w:endnote>
  <w:endnote w:type="continuationSeparator" w:id="1">
    <w:p w:rsidR="00231835" w:rsidRDefault="00231835" w:rsidP="001C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6"/>
      <w:gridCol w:w="8330"/>
    </w:tblGrid>
    <w:tr w:rsidR="001C797B" w:rsidRPr="00AE72DD" w:rsidTr="003C7739">
      <w:tc>
        <w:tcPr>
          <w:tcW w:w="500" w:type="pct"/>
          <w:tcBorders>
            <w:top w:val="single" w:sz="4" w:space="0" w:color="C45911" w:themeColor="accent2" w:themeShade="BF"/>
          </w:tcBorders>
          <w:shd w:val="clear" w:color="auto" w:fill="C45911" w:themeFill="accent2" w:themeFillShade="BF"/>
        </w:tcPr>
        <w:p w:rsidR="001C797B" w:rsidRPr="00AE72DD" w:rsidRDefault="00AC3562" w:rsidP="003C7739">
          <w:pPr>
            <w:pStyle w:val="Footer"/>
            <w:jc w:val="right"/>
            <w:rPr>
              <w:b/>
              <w:bCs/>
              <w:color w:val="FFFFFF" w:themeColor="background1"/>
            </w:rPr>
          </w:pPr>
          <w:r w:rsidRPr="00AE72DD">
            <w:rPr>
              <w:b/>
              <w:bCs/>
            </w:rPr>
            <w:fldChar w:fldCharType="begin"/>
          </w:r>
          <w:r w:rsidR="0081424F" w:rsidRPr="00AE72DD">
            <w:rPr>
              <w:b/>
              <w:bCs/>
            </w:rPr>
            <w:instrText xml:space="preserve"> PAGE   \* MERGEFORMAT </w:instrText>
          </w:r>
          <w:r w:rsidRPr="00AE72DD">
            <w:rPr>
              <w:b/>
              <w:bCs/>
            </w:rPr>
            <w:fldChar w:fldCharType="separate"/>
          </w:r>
          <w:r w:rsidR="00F22DC9" w:rsidRPr="00F22DC9">
            <w:rPr>
              <w:b/>
              <w:bCs/>
              <w:noProof/>
              <w:color w:val="FFFFFF" w:themeColor="background1"/>
            </w:rPr>
            <w:t>1</w:t>
          </w:r>
          <w:r w:rsidRPr="00AE72DD">
            <w:rPr>
              <w:b/>
              <w:bCs/>
            </w:rPr>
            <w:fldChar w:fldCharType="end"/>
          </w:r>
        </w:p>
      </w:tc>
      <w:tc>
        <w:tcPr>
          <w:tcW w:w="4500" w:type="pct"/>
          <w:tcBorders>
            <w:top w:val="single" w:sz="4" w:space="0" w:color="auto"/>
          </w:tcBorders>
        </w:tcPr>
        <w:p w:rsidR="001C797B" w:rsidRPr="00AE72DD" w:rsidRDefault="001C797B" w:rsidP="003C7739">
          <w:pPr>
            <w:pStyle w:val="Footer"/>
            <w:rPr>
              <w:b/>
              <w:bCs/>
            </w:rPr>
          </w:pPr>
          <w:r w:rsidRPr="00AE72DD">
            <w:rPr>
              <w:rFonts w:ascii="Cambria" w:eastAsia="Calibri" w:hAnsi="Cambria" w:cs="Times New Roman"/>
              <w:b/>
              <w:bCs/>
            </w:rPr>
            <w:t>@ International Journal of Science, Technology and Management</w:t>
          </w:r>
        </w:p>
      </w:tc>
    </w:tr>
  </w:tbl>
  <w:p w:rsidR="001C797B" w:rsidRPr="00AE72DD" w:rsidRDefault="001C797B">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835" w:rsidRDefault="00231835" w:rsidP="001C797B">
      <w:pPr>
        <w:spacing w:after="0" w:line="240" w:lineRule="auto"/>
      </w:pPr>
      <w:r>
        <w:separator/>
      </w:r>
    </w:p>
  </w:footnote>
  <w:footnote w:type="continuationSeparator" w:id="1">
    <w:p w:rsidR="00231835" w:rsidRDefault="00231835" w:rsidP="001C7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7B" w:rsidRPr="00AE72DD" w:rsidRDefault="00F22DC9" w:rsidP="001C797B">
    <w:pPr>
      <w:pStyle w:val="Header"/>
      <w:rPr>
        <w:b/>
        <w:bCs/>
        <w:color w:val="000000" w:themeColor="text1"/>
      </w:rPr>
    </w:pPr>
    <w:r>
      <w:rPr>
        <w:rFonts w:asciiTheme="majorHAnsi" w:eastAsiaTheme="majorEastAsia" w:hAnsiTheme="majorHAnsi" w:cstheme="majorBidi"/>
        <w:b/>
        <w:bCs/>
        <w:color w:val="000000" w:themeColor="text1"/>
      </w:rPr>
      <w:t>IJSTM, Vol. -16</w:t>
    </w:r>
    <w:r w:rsidR="001C797B" w:rsidRPr="00AE72DD">
      <w:rPr>
        <w:rFonts w:asciiTheme="majorHAnsi" w:eastAsiaTheme="majorEastAsia" w:hAnsiTheme="majorHAnsi" w:cstheme="majorBidi"/>
        <w:b/>
        <w:bCs/>
        <w:color w:val="000000" w:themeColor="text1"/>
      </w:rPr>
      <w:t xml:space="preserve">, Issue -1 </w:t>
    </w:r>
    <w:r w:rsidR="001C797B" w:rsidRPr="00AE72DD">
      <w:rPr>
        <w:rFonts w:asciiTheme="majorHAnsi" w:eastAsiaTheme="majorEastAsia" w:hAnsiTheme="majorHAnsi" w:cstheme="majorBidi"/>
        <w:b/>
        <w:bCs/>
        <w:color w:val="000000" w:themeColor="text1"/>
      </w:rPr>
      <w:ptab w:relativeTo="margin" w:alignment="right" w:leader="none"/>
    </w:r>
    <w:sdt>
      <w:sdtPr>
        <w:rPr>
          <w:rFonts w:ascii="Cambria" w:eastAsia="Times New Roman" w:hAnsi="Cambria"/>
          <w:b/>
          <w:bCs/>
          <w:color w:val="000000" w:themeColor="text1"/>
        </w:rPr>
        <w:alias w:val="Date"/>
        <w:id w:val="244404897"/>
        <w:placeholder>
          <w:docPart w:val="3D998A8A5BC74BE4BE28DFC0A2D1F2A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1C797B" w:rsidRPr="00AE72DD">
          <w:rPr>
            <w:rFonts w:ascii="Cambria" w:eastAsia="Times New Roman" w:hAnsi="Cambria"/>
            <w:b/>
            <w:bCs/>
            <w:color w:val="000000" w:themeColor="text1"/>
          </w:rPr>
          <w:t>ISSN: 2229 - 6646</w:t>
        </w:r>
      </w:sdtContent>
    </w:sdt>
  </w:p>
  <w:p w:rsidR="001C797B" w:rsidRPr="00AE72DD" w:rsidRDefault="00AC3562">
    <w:pPr>
      <w:pStyle w:val="Header"/>
      <w:rPr>
        <w:b/>
        <w:bCs/>
        <w:color w:val="000000" w:themeColor="text1"/>
      </w:rPr>
    </w:pPr>
    <w:r w:rsidRPr="00AC3562">
      <w:rPr>
        <w:rFonts w:asciiTheme="majorHAnsi" w:eastAsiaTheme="majorEastAsia" w:hAnsiTheme="majorHAnsi" w:cstheme="majorBidi"/>
        <w:b/>
        <w:bCs/>
        <w:lang w:eastAsia="zh-TW"/>
      </w:rPr>
      <w:pict>
        <v:group id="_x0000_s3075" style="position:absolute;margin-left:0;margin-top:0;width:611.15pt;height:64.75pt;z-index:25165670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2e74b5 [2408]"/>
          <v:rect id="_x0000_s3077" style="position:absolute;left:8;top:9;width:4031;height:1439;mso-width-percent:400;mso-height-percent:1000;mso-width-percent:400;mso-height-percent:1000;mso-width-relative:margin;mso-height-relative:bottom-margin-area" filled="f" stroked="f"/>
          <w10:wrap anchorx="page" anchory="page"/>
        </v:group>
      </w:pict>
    </w:r>
    <w:r w:rsidRPr="00AC3562">
      <w:rPr>
        <w:rFonts w:asciiTheme="majorHAnsi" w:eastAsiaTheme="majorEastAsia" w:hAnsiTheme="majorHAnsi" w:cstheme="majorBidi"/>
        <w:b/>
        <w:bCs/>
        <w:lang w:eastAsia="zh-TW"/>
      </w:rPr>
      <w:pict>
        <v:rect id="_x0000_s3074" style="position:absolute;margin-left:0;margin-top:0;width:7.15pt;height:64pt;z-index:251657728;mso-height-percent:900;mso-position-horizontal:center;mso-position-horizontal-relative:right-margin-area;mso-position-vertical:top;mso-position-vertical-relative:page;mso-height-percent:900;mso-height-relative:top-margin-area" fillcolor="#5b9bd5 [3208]" strokecolor="#1f4d78 [1608]">
          <w10:wrap anchorx="page" anchory="page"/>
        </v:rect>
      </w:pict>
    </w:r>
    <w:r w:rsidRPr="00AC3562">
      <w:rPr>
        <w:rFonts w:asciiTheme="majorHAnsi" w:eastAsiaTheme="majorEastAsia" w:hAnsiTheme="majorHAnsi" w:cstheme="majorBidi"/>
        <w:b/>
        <w:bCs/>
        <w:lang w:eastAsia="zh-TW"/>
      </w:rPr>
      <w:pict>
        <v:rect id="_x0000_s3073" style="position:absolute;margin-left:0;margin-top:0;width:7.15pt;height:64pt;z-index:251658752;mso-height-percent:900;mso-position-horizontal:center;mso-position-horizontal-relative:left-margin-area;mso-position-vertical:top;mso-position-vertical-relative:page;mso-height-percent:900;mso-height-relative:top-margin-area" fillcolor="#5b9bd5 [3208]" strokecolor="#1f4d78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A60"/>
    <w:multiLevelType w:val="multilevel"/>
    <w:tmpl w:val="F734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E729F"/>
    <w:multiLevelType w:val="hybridMultilevel"/>
    <w:tmpl w:val="3B5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8208E"/>
    <w:multiLevelType w:val="hybridMultilevel"/>
    <w:tmpl w:val="265C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05AC2"/>
    <w:multiLevelType w:val="hybridMultilevel"/>
    <w:tmpl w:val="345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D19F8"/>
    <w:multiLevelType w:val="hybridMultilevel"/>
    <w:tmpl w:val="9F10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rules v:ext="edit">
        <o:r id="V:Rule2" type="connector" idref="#_x0000_s3076"/>
      </o:rules>
    </o:shapelayout>
  </w:hdrShapeDefaults>
  <w:footnotePr>
    <w:footnote w:id="0"/>
    <w:footnote w:id="1"/>
  </w:footnotePr>
  <w:endnotePr>
    <w:endnote w:id="0"/>
    <w:endnote w:id="1"/>
  </w:endnotePr>
  <w:compat/>
  <w:rsids>
    <w:rsidRoot w:val="00C12625"/>
    <w:rsid w:val="0001130C"/>
    <w:rsid w:val="001B510E"/>
    <w:rsid w:val="001C797B"/>
    <w:rsid w:val="00211446"/>
    <w:rsid w:val="00231835"/>
    <w:rsid w:val="00273B11"/>
    <w:rsid w:val="0028243F"/>
    <w:rsid w:val="002D21AE"/>
    <w:rsid w:val="004E3DF5"/>
    <w:rsid w:val="00653431"/>
    <w:rsid w:val="0074751E"/>
    <w:rsid w:val="0081424F"/>
    <w:rsid w:val="00820AFC"/>
    <w:rsid w:val="00822735"/>
    <w:rsid w:val="0084577A"/>
    <w:rsid w:val="00892C21"/>
    <w:rsid w:val="00932CE2"/>
    <w:rsid w:val="009420A1"/>
    <w:rsid w:val="009C10B2"/>
    <w:rsid w:val="009E6A30"/>
    <w:rsid w:val="00AC3562"/>
    <w:rsid w:val="00AE72DD"/>
    <w:rsid w:val="00B75C4B"/>
    <w:rsid w:val="00C12625"/>
    <w:rsid w:val="00C16757"/>
    <w:rsid w:val="00C27FF1"/>
    <w:rsid w:val="00CC25BD"/>
    <w:rsid w:val="00D75AC7"/>
    <w:rsid w:val="00DD19C3"/>
    <w:rsid w:val="00E61C0B"/>
    <w:rsid w:val="00F06632"/>
    <w:rsid w:val="00F22DC9"/>
    <w:rsid w:val="00F36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7A"/>
  </w:style>
  <w:style w:type="paragraph" w:styleId="Heading1">
    <w:name w:val="heading 1"/>
    <w:basedOn w:val="Normal"/>
    <w:next w:val="Normal"/>
    <w:link w:val="Heading1Char"/>
    <w:uiPriority w:val="9"/>
    <w:qFormat/>
    <w:rsid w:val="00C12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625"/>
    <w:rPr>
      <w:rFonts w:eastAsiaTheme="majorEastAsia" w:cstheme="majorBidi"/>
      <w:color w:val="272727" w:themeColor="text1" w:themeTint="D8"/>
    </w:rPr>
  </w:style>
  <w:style w:type="paragraph" w:styleId="Title">
    <w:name w:val="Title"/>
    <w:basedOn w:val="Normal"/>
    <w:next w:val="Normal"/>
    <w:link w:val="TitleChar"/>
    <w:uiPriority w:val="10"/>
    <w:qFormat/>
    <w:rsid w:val="00C12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625"/>
    <w:pPr>
      <w:spacing w:before="160"/>
      <w:jc w:val="center"/>
    </w:pPr>
    <w:rPr>
      <w:i/>
      <w:iCs/>
      <w:color w:val="404040" w:themeColor="text1" w:themeTint="BF"/>
    </w:rPr>
  </w:style>
  <w:style w:type="character" w:customStyle="1" w:styleId="QuoteChar">
    <w:name w:val="Quote Char"/>
    <w:basedOn w:val="DefaultParagraphFont"/>
    <w:link w:val="Quote"/>
    <w:uiPriority w:val="29"/>
    <w:rsid w:val="00C12625"/>
    <w:rPr>
      <w:i/>
      <w:iCs/>
      <w:color w:val="404040" w:themeColor="text1" w:themeTint="BF"/>
    </w:rPr>
  </w:style>
  <w:style w:type="paragraph" w:styleId="ListParagraph">
    <w:name w:val="List Paragraph"/>
    <w:basedOn w:val="Normal"/>
    <w:uiPriority w:val="34"/>
    <w:qFormat/>
    <w:rsid w:val="00C12625"/>
    <w:pPr>
      <w:ind w:left="720"/>
      <w:contextualSpacing/>
    </w:pPr>
  </w:style>
  <w:style w:type="character" w:styleId="IntenseEmphasis">
    <w:name w:val="Intense Emphasis"/>
    <w:basedOn w:val="DefaultParagraphFont"/>
    <w:uiPriority w:val="21"/>
    <w:qFormat/>
    <w:rsid w:val="00C12625"/>
    <w:rPr>
      <w:i/>
      <w:iCs/>
      <w:color w:val="2F5496" w:themeColor="accent1" w:themeShade="BF"/>
    </w:rPr>
  </w:style>
  <w:style w:type="paragraph" w:styleId="IntenseQuote">
    <w:name w:val="Intense Quote"/>
    <w:basedOn w:val="Normal"/>
    <w:next w:val="Normal"/>
    <w:link w:val="IntenseQuoteChar"/>
    <w:uiPriority w:val="30"/>
    <w:qFormat/>
    <w:rsid w:val="00C12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625"/>
    <w:rPr>
      <w:i/>
      <w:iCs/>
      <w:color w:val="2F5496" w:themeColor="accent1" w:themeShade="BF"/>
    </w:rPr>
  </w:style>
  <w:style w:type="character" w:styleId="IntenseReference">
    <w:name w:val="Intense Reference"/>
    <w:basedOn w:val="DefaultParagraphFont"/>
    <w:uiPriority w:val="32"/>
    <w:qFormat/>
    <w:rsid w:val="00C12625"/>
    <w:rPr>
      <w:b/>
      <w:bCs/>
      <w:smallCaps/>
      <w:color w:val="2F5496" w:themeColor="accent1" w:themeShade="BF"/>
      <w:spacing w:val="5"/>
    </w:rPr>
  </w:style>
  <w:style w:type="table" w:styleId="TableGrid">
    <w:name w:val="Table Grid"/>
    <w:basedOn w:val="TableNormal"/>
    <w:uiPriority w:val="39"/>
    <w:rsid w:val="000113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6EC4"/>
    <w:rPr>
      <w:color w:val="0563C1" w:themeColor="hyperlink"/>
      <w:u w:val="single"/>
    </w:rPr>
  </w:style>
  <w:style w:type="paragraph" w:styleId="Header">
    <w:name w:val="header"/>
    <w:basedOn w:val="Normal"/>
    <w:link w:val="HeaderChar"/>
    <w:uiPriority w:val="99"/>
    <w:unhideWhenUsed/>
    <w:rsid w:val="001C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97B"/>
  </w:style>
  <w:style w:type="paragraph" w:styleId="Footer">
    <w:name w:val="footer"/>
    <w:basedOn w:val="Normal"/>
    <w:link w:val="FooterChar"/>
    <w:uiPriority w:val="99"/>
    <w:unhideWhenUsed/>
    <w:rsid w:val="001C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7B"/>
  </w:style>
  <w:style w:type="paragraph" w:styleId="BalloonText">
    <w:name w:val="Balloon Text"/>
    <w:basedOn w:val="Normal"/>
    <w:link w:val="BalloonTextChar"/>
    <w:uiPriority w:val="99"/>
    <w:semiHidden/>
    <w:unhideWhenUsed/>
    <w:rsid w:val="001C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79742">
      <w:bodyDiv w:val="1"/>
      <w:marLeft w:val="0"/>
      <w:marRight w:val="0"/>
      <w:marTop w:val="0"/>
      <w:marBottom w:val="0"/>
      <w:divBdr>
        <w:top w:val="none" w:sz="0" w:space="0" w:color="auto"/>
        <w:left w:val="none" w:sz="0" w:space="0" w:color="auto"/>
        <w:bottom w:val="none" w:sz="0" w:space="0" w:color="auto"/>
        <w:right w:val="none" w:sz="0" w:space="0" w:color="auto"/>
      </w:divBdr>
    </w:div>
    <w:div w:id="152264243">
      <w:bodyDiv w:val="1"/>
      <w:marLeft w:val="0"/>
      <w:marRight w:val="0"/>
      <w:marTop w:val="0"/>
      <w:marBottom w:val="0"/>
      <w:divBdr>
        <w:top w:val="none" w:sz="0" w:space="0" w:color="auto"/>
        <w:left w:val="none" w:sz="0" w:space="0" w:color="auto"/>
        <w:bottom w:val="none" w:sz="0" w:space="0" w:color="auto"/>
        <w:right w:val="none" w:sz="0" w:space="0" w:color="auto"/>
      </w:divBdr>
      <w:divsChild>
        <w:div w:id="977346362">
          <w:marLeft w:val="0"/>
          <w:marRight w:val="0"/>
          <w:marTop w:val="0"/>
          <w:marBottom w:val="0"/>
          <w:divBdr>
            <w:top w:val="none" w:sz="0" w:space="0" w:color="auto"/>
            <w:left w:val="none" w:sz="0" w:space="0" w:color="auto"/>
            <w:bottom w:val="none" w:sz="0" w:space="0" w:color="auto"/>
            <w:right w:val="none" w:sz="0" w:space="0" w:color="auto"/>
          </w:divBdr>
          <w:divsChild>
            <w:div w:id="1004866078">
              <w:marLeft w:val="0"/>
              <w:marRight w:val="0"/>
              <w:marTop w:val="0"/>
              <w:marBottom w:val="0"/>
              <w:divBdr>
                <w:top w:val="none" w:sz="0" w:space="0" w:color="auto"/>
                <w:left w:val="none" w:sz="0" w:space="0" w:color="auto"/>
                <w:bottom w:val="none" w:sz="0" w:space="0" w:color="auto"/>
                <w:right w:val="none" w:sz="0" w:space="0" w:color="auto"/>
              </w:divBdr>
              <w:divsChild>
                <w:div w:id="1978294233">
                  <w:marLeft w:val="0"/>
                  <w:marRight w:val="0"/>
                  <w:marTop w:val="0"/>
                  <w:marBottom w:val="0"/>
                  <w:divBdr>
                    <w:top w:val="none" w:sz="0" w:space="0" w:color="auto"/>
                    <w:left w:val="none" w:sz="0" w:space="0" w:color="auto"/>
                    <w:bottom w:val="none" w:sz="0" w:space="0" w:color="auto"/>
                    <w:right w:val="none" w:sz="0" w:space="0" w:color="auto"/>
                  </w:divBdr>
                  <w:divsChild>
                    <w:div w:id="2112511829">
                      <w:marLeft w:val="0"/>
                      <w:marRight w:val="0"/>
                      <w:marTop w:val="0"/>
                      <w:marBottom w:val="0"/>
                      <w:divBdr>
                        <w:top w:val="none" w:sz="0" w:space="0" w:color="auto"/>
                        <w:left w:val="none" w:sz="0" w:space="0" w:color="auto"/>
                        <w:bottom w:val="none" w:sz="0" w:space="0" w:color="auto"/>
                        <w:right w:val="none" w:sz="0" w:space="0" w:color="auto"/>
                      </w:divBdr>
                      <w:divsChild>
                        <w:div w:id="55785476">
                          <w:marLeft w:val="0"/>
                          <w:marRight w:val="0"/>
                          <w:marTop w:val="0"/>
                          <w:marBottom w:val="0"/>
                          <w:divBdr>
                            <w:top w:val="none" w:sz="0" w:space="0" w:color="auto"/>
                            <w:left w:val="none" w:sz="0" w:space="0" w:color="auto"/>
                            <w:bottom w:val="none" w:sz="0" w:space="0" w:color="auto"/>
                            <w:right w:val="none" w:sz="0" w:space="0" w:color="auto"/>
                          </w:divBdr>
                          <w:divsChild>
                            <w:div w:id="1771314845">
                              <w:marLeft w:val="0"/>
                              <w:marRight w:val="0"/>
                              <w:marTop w:val="0"/>
                              <w:marBottom w:val="0"/>
                              <w:divBdr>
                                <w:top w:val="none" w:sz="0" w:space="0" w:color="auto"/>
                                <w:left w:val="none" w:sz="0" w:space="0" w:color="auto"/>
                                <w:bottom w:val="none" w:sz="0" w:space="0" w:color="auto"/>
                                <w:right w:val="none" w:sz="0" w:space="0" w:color="auto"/>
                              </w:divBdr>
                              <w:divsChild>
                                <w:div w:id="1202595278">
                                  <w:marLeft w:val="0"/>
                                  <w:marRight w:val="0"/>
                                  <w:marTop w:val="0"/>
                                  <w:marBottom w:val="0"/>
                                  <w:divBdr>
                                    <w:top w:val="none" w:sz="0" w:space="0" w:color="auto"/>
                                    <w:left w:val="none" w:sz="0" w:space="0" w:color="auto"/>
                                    <w:bottom w:val="none" w:sz="0" w:space="0" w:color="auto"/>
                                    <w:right w:val="none" w:sz="0" w:space="0" w:color="auto"/>
                                  </w:divBdr>
                                  <w:divsChild>
                                    <w:div w:id="2003460808">
                                      <w:marLeft w:val="0"/>
                                      <w:marRight w:val="0"/>
                                      <w:marTop w:val="0"/>
                                      <w:marBottom w:val="0"/>
                                      <w:divBdr>
                                        <w:top w:val="none" w:sz="0" w:space="0" w:color="auto"/>
                                        <w:left w:val="none" w:sz="0" w:space="0" w:color="auto"/>
                                        <w:bottom w:val="none" w:sz="0" w:space="0" w:color="auto"/>
                                        <w:right w:val="none" w:sz="0" w:space="0" w:color="auto"/>
                                      </w:divBdr>
                                      <w:divsChild>
                                        <w:div w:id="673217264">
                                          <w:marLeft w:val="0"/>
                                          <w:marRight w:val="0"/>
                                          <w:marTop w:val="0"/>
                                          <w:marBottom w:val="0"/>
                                          <w:divBdr>
                                            <w:top w:val="none" w:sz="0" w:space="0" w:color="auto"/>
                                            <w:left w:val="none" w:sz="0" w:space="0" w:color="auto"/>
                                            <w:bottom w:val="none" w:sz="0" w:space="0" w:color="auto"/>
                                            <w:right w:val="none" w:sz="0" w:space="0" w:color="auto"/>
                                          </w:divBdr>
                                          <w:divsChild>
                                            <w:div w:id="15299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8191">
          <w:marLeft w:val="0"/>
          <w:marRight w:val="0"/>
          <w:marTop w:val="0"/>
          <w:marBottom w:val="0"/>
          <w:divBdr>
            <w:top w:val="none" w:sz="0" w:space="0" w:color="auto"/>
            <w:left w:val="none" w:sz="0" w:space="0" w:color="auto"/>
            <w:bottom w:val="none" w:sz="0" w:space="0" w:color="auto"/>
            <w:right w:val="none" w:sz="0" w:space="0" w:color="auto"/>
          </w:divBdr>
          <w:divsChild>
            <w:div w:id="1125123713">
              <w:marLeft w:val="0"/>
              <w:marRight w:val="0"/>
              <w:marTop w:val="0"/>
              <w:marBottom w:val="0"/>
              <w:divBdr>
                <w:top w:val="none" w:sz="0" w:space="0" w:color="auto"/>
                <w:left w:val="none" w:sz="0" w:space="0" w:color="auto"/>
                <w:bottom w:val="none" w:sz="0" w:space="0" w:color="auto"/>
                <w:right w:val="none" w:sz="0" w:space="0" w:color="auto"/>
              </w:divBdr>
              <w:divsChild>
                <w:div w:id="1949315090">
                  <w:marLeft w:val="0"/>
                  <w:marRight w:val="0"/>
                  <w:marTop w:val="0"/>
                  <w:marBottom w:val="0"/>
                  <w:divBdr>
                    <w:top w:val="none" w:sz="0" w:space="0" w:color="auto"/>
                    <w:left w:val="none" w:sz="0" w:space="0" w:color="auto"/>
                    <w:bottom w:val="none" w:sz="0" w:space="0" w:color="auto"/>
                    <w:right w:val="none" w:sz="0" w:space="0" w:color="auto"/>
                  </w:divBdr>
                  <w:divsChild>
                    <w:div w:id="1573856825">
                      <w:marLeft w:val="0"/>
                      <w:marRight w:val="0"/>
                      <w:marTop w:val="0"/>
                      <w:marBottom w:val="0"/>
                      <w:divBdr>
                        <w:top w:val="none" w:sz="0" w:space="0" w:color="auto"/>
                        <w:left w:val="none" w:sz="0" w:space="0" w:color="auto"/>
                        <w:bottom w:val="none" w:sz="0" w:space="0" w:color="auto"/>
                        <w:right w:val="none" w:sz="0" w:space="0" w:color="auto"/>
                      </w:divBdr>
                      <w:divsChild>
                        <w:div w:id="1909917052">
                          <w:marLeft w:val="0"/>
                          <w:marRight w:val="0"/>
                          <w:marTop w:val="0"/>
                          <w:marBottom w:val="0"/>
                          <w:divBdr>
                            <w:top w:val="none" w:sz="0" w:space="0" w:color="auto"/>
                            <w:left w:val="none" w:sz="0" w:space="0" w:color="auto"/>
                            <w:bottom w:val="none" w:sz="0" w:space="0" w:color="auto"/>
                            <w:right w:val="none" w:sz="0" w:space="0" w:color="auto"/>
                          </w:divBdr>
                          <w:divsChild>
                            <w:div w:id="1340112344">
                              <w:marLeft w:val="0"/>
                              <w:marRight w:val="0"/>
                              <w:marTop w:val="0"/>
                              <w:marBottom w:val="0"/>
                              <w:divBdr>
                                <w:top w:val="none" w:sz="0" w:space="0" w:color="auto"/>
                                <w:left w:val="none" w:sz="0" w:space="0" w:color="auto"/>
                                <w:bottom w:val="none" w:sz="0" w:space="0" w:color="auto"/>
                                <w:right w:val="none" w:sz="0" w:space="0" w:color="auto"/>
                              </w:divBdr>
                              <w:divsChild>
                                <w:div w:id="2062288725">
                                  <w:marLeft w:val="0"/>
                                  <w:marRight w:val="0"/>
                                  <w:marTop w:val="0"/>
                                  <w:marBottom w:val="0"/>
                                  <w:divBdr>
                                    <w:top w:val="none" w:sz="0" w:space="0" w:color="auto"/>
                                    <w:left w:val="none" w:sz="0" w:space="0" w:color="auto"/>
                                    <w:bottom w:val="none" w:sz="0" w:space="0" w:color="auto"/>
                                    <w:right w:val="none" w:sz="0" w:space="0" w:color="auto"/>
                                  </w:divBdr>
                                  <w:divsChild>
                                    <w:div w:id="590894870">
                                      <w:marLeft w:val="0"/>
                                      <w:marRight w:val="0"/>
                                      <w:marTop w:val="0"/>
                                      <w:marBottom w:val="0"/>
                                      <w:divBdr>
                                        <w:top w:val="none" w:sz="0" w:space="0" w:color="auto"/>
                                        <w:left w:val="none" w:sz="0" w:space="0" w:color="auto"/>
                                        <w:bottom w:val="none" w:sz="0" w:space="0" w:color="auto"/>
                                        <w:right w:val="none" w:sz="0" w:space="0" w:color="auto"/>
                                      </w:divBdr>
                                      <w:divsChild>
                                        <w:div w:id="352732916">
                                          <w:marLeft w:val="0"/>
                                          <w:marRight w:val="0"/>
                                          <w:marTop w:val="0"/>
                                          <w:marBottom w:val="0"/>
                                          <w:divBdr>
                                            <w:top w:val="none" w:sz="0" w:space="0" w:color="auto"/>
                                            <w:left w:val="none" w:sz="0" w:space="0" w:color="auto"/>
                                            <w:bottom w:val="none" w:sz="0" w:space="0" w:color="auto"/>
                                            <w:right w:val="none" w:sz="0" w:space="0" w:color="auto"/>
                                          </w:divBdr>
                                          <w:divsChild>
                                            <w:div w:id="3051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889986">
      <w:bodyDiv w:val="1"/>
      <w:marLeft w:val="0"/>
      <w:marRight w:val="0"/>
      <w:marTop w:val="0"/>
      <w:marBottom w:val="0"/>
      <w:divBdr>
        <w:top w:val="none" w:sz="0" w:space="0" w:color="auto"/>
        <w:left w:val="none" w:sz="0" w:space="0" w:color="auto"/>
        <w:bottom w:val="none" w:sz="0" w:space="0" w:color="auto"/>
        <w:right w:val="none" w:sz="0" w:space="0" w:color="auto"/>
      </w:divBdr>
      <w:divsChild>
        <w:div w:id="1958565271">
          <w:marLeft w:val="0"/>
          <w:marRight w:val="0"/>
          <w:marTop w:val="0"/>
          <w:marBottom w:val="0"/>
          <w:divBdr>
            <w:top w:val="none" w:sz="0" w:space="0" w:color="auto"/>
            <w:left w:val="none" w:sz="0" w:space="0" w:color="auto"/>
            <w:bottom w:val="none" w:sz="0" w:space="0" w:color="auto"/>
            <w:right w:val="none" w:sz="0" w:space="0" w:color="auto"/>
          </w:divBdr>
          <w:divsChild>
            <w:div w:id="2117367302">
              <w:marLeft w:val="0"/>
              <w:marRight w:val="0"/>
              <w:marTop w:val="0"/>
              <w:marBottom w:val="0"/>
              <w:divBdr>
                <w:top w:val="none" w:sz="0" w:space="0" w:color="auto"/>
                <w:left w:val="none" w:sz="0" w:space="0" w:color="auto"/>
                <w:bottom w:val="none" w:sz="0" w:space="0" w:color="auto"/>
                <w:right w:val="none" w:sz="0" w:space="0" w:color="auto"/>
              </w:divBdr>
              <w:divsChild>
                <w:div w:id="1489789305">
                  <w:marLeft w:val="0"/>
                  <w:marRight w:val="0"/>
                  <w:marTop w:val="0"/>
                  <w:marBottom w:val="0"/>
                  <w:divBdr>
                    <w:top w:val="none" w:sz="0" w:space="0" w:color="auto"/>
                    <w:left w:val="none" w:sz="0" w:space="0" w:color="auto"/>
                    <w:bottom w:val="none" w:sz="0" w:space="0" w:color="auto"/>
                    <w:right w:val="none" w:sz="0" w:space="0" w:color="auto"/>
                  </w:divBdr>
                  <w:divsChild>
                    <w:div w:id="153881019">
                      <w:marLeft w:val="0"/>
                      <w:marRight w:val="0"/>
                      <w:marTop w:val="0"/>
                      <w:marBottom w:val="0"/>
                      <w:divBdr>
                        <w:top w:val="none" w:sz="0" w:space="0" w:color="auto"/>
                        <w:left w:val="none" w:sz="0" w:space="0" w:color="auto"/>
                        <w:bottom w:val="none" w:sz="0" w:space="0" w:color="auto"/>
                        <w:right w:val="none" w:sz="0" w:space="0" w:color="auto"/>
                      </w:divBdr>
                      <w:divsChild>
                        <w:div w:id="149758892">
                          <w:marLeft w:val="0"/>
                          <w:marRight w:val="0"/>
                          <w:marTop w:val="0"/>
                          <w:marBottom w:val="0"/>
                          <w:divBdr>
                            <w:top w:val="none" w:sz="0" w:space="0" w:color="auto"/>
                            <w:left w:val="none" w:sz="0" w:space="0" w:color="auto"/>
                            <w:bottom w:val="none" w:sz="0" w:space="0" w:color="auto"/>
                            <w:right w:val="none" w:sz="0" w:space="0" w:color="auto"/>
                          </w:divBdr>
                          <w:divsChild>
                            <w:div w:id="1503857418">
                              <w:marLeft w:val="0"/>
                              <w:marRight w:val="0"/>
                              <w:marTop w:val="0"/>
                              <w:marBottom w:val="0"/>
                              <w:divBdr>
                                <w:top w:val="none" w:sz="0" w:space="0" w:color="auto"/>
                                <w:left w:val="none" w:sz="0" w:space="0" w:color="auto"/>
                                <w:bottom w:val="none" w:sz="0" w:space="0" w:color="auto"/>
                                <w:right w:val="none" w:sz="0" w:space="0" w:color="auto"/>
                              </w:divBdr>
                              <w:divsChild>
                                <w:div w:id="289944219">
                                  <w:marLeft w:val="0"/>
                                  <w:marRight w:val="0"/>
                                  <w:marTop w:val="0"/>
                                  <w:marBottom w:val="0"/>
                                  <w:divBdr>
                                    <w:top w:val="none" w:sz="0" w:space="0" w:color="auto"/>
                                    <w:left w:val="none" w:sz="0" w:space="0" w:color="auto"/>
                                    <w:bottom w:val="none" w:sz="0" w:space="0" w:color="auto"/>
                                    <w:right w:val="none" w:sz="0" w:space="0" w:color="auto"/>
                                  </w:divBdr>
                                  <w:divsChild>
                                    <w:div w:id="1345746763">
                                      <w:marLeft w:val="0"/>
                                      <w:marRight w:val="0"/>
                                      <w:marTop w:val="0"/>
                                      <w:marBottom w:val="0"/>
                                      <w:divBdr>
                                        <w:top w:val="none" w:sz="0" w:space="0" w:color="auto"/>
                                        <w:left w:val="none" w:sz="0" w:space="0" w:color="auto"/>
                                        <w:bottom w:val="none" w:sz="0" w:space="0" w:color="auto"/>
                                        <w:right w:val="none" w:sz="0" w:space="0" w:color="auto"/>
                                      </w:divBdr>
                                      <w:divsChild>
                                        <w:div w:id="4018174">
                                          <w:marLeft w:val="0"/>
                                          <w:marRight w:val="0"/>
                                          <w:marTop w:val="0"/>
                                          <w:marBottom w:val="0"/>
                                          <w:divBdr>
                                            <w:top w:val="none" w:sz="0" w:space="0" w:color="auto"/>
                                            <w:left w:val="none" w:sz="0" w:space="0" w:color="auto"/>
                                            <w:bottom w:val="none" w:sz="0" w:space="0" w:color="auto"/>
                                            <w:right w:val="none" w:sz="0" w:space="0" w:color="auto"/>
                                          </w:divBdr>
                                          <w:divsChild>
                                            <w:div w:id="1236041080">
                                              <w:marLeft w:val="0"/>
                                              <w:marRight w:val="0"/>
                                              <w:marTop w:val="0"/>
                                              <w:marBottom w:val="0"/>
                                              <w:divBdr>
                                                <w:top w:val="none" w:sz="0" w:space="0" w:color="auto"/>
                                                <w:left w:val="none" w:sz="0" w:space="0" w:color="auto"/>
                                                <w:bottom w:val="none" w:sz="0" w:space="0" w:color="auto"/>
                                                <w:right w:val="none" w:sz="0" w:space="0" w:color="auto"/>
                                              </w:divBdr>
                                              <w:divsChild>
                                                <w:div w:id="1564681613">
                                                  <w:marLeft w:val="0"/>
                                                  <w:marRight w:val="0"/>
                                                  <w:marTop w:val="0"/>
                                                  <w:marBottom w:val="0"/>
                                                  <w:divBdr>
                                                    <w:top w:val="none" w:sz="0" w:space="0" w:color="auto"/>
                                                    <w:left w:val="none" w:sz="0" w:space="0" w:color="auto"/>
                                                    <w:bottom w:val="none" w:sz="0" w:space="0" w:color="auto"/>
                                                    <w:right w:val="none" w:sz="0" w:space="0" w:color="auto"/>
                                                  </w:divBdr>
                                                  <w:divsChild>
                                                    <w:div w:id="516888640">
                                                      <w:marLeft w:val="0"/>
                                                      <w:marRight w:val="0"/>
                                                      <w:marTop w:val="0"/>
                                                      <w:marBottom w:val="0"/>
                                                      <w:divBdr>
                                                        <w:top w:val="none" w:sz="0" w:space="0" w:color="auto"/>
                                                        <w:left w:val="none" w:sz="0" w:space="0" w:color="auto"/>
                                                        <w:bottom w:val="none" w:sz="0" w:space="0" w:color="auto"/>
                                                        <w:right w:val="none" w:sz="0" w:space="0" w:color="auto"/>
                                                      </w:divBdr>
                                                    </w:div>
                                                  </w:divsChild>
                                                </w:div>
                                                <w:div w:id="1015418698">
                                                  <w:marLeft w:val="0"/>
                                                  <w:marRight w:val="0"/>
                                                  <w:marTop w:val="0"/>
                                                  <w:marBottom w:val="0"/>
                                                  <w:divBdr>
                                                    <w:top w:val="none" w:sz="0" w:space="0" w:color="auto"/>
                                                    <w:left w:val="none" w:sz="0" w:space="0" w:color="auto"/>
                                                    <w:bottom w:val="none" w:sz="0" w:space="0" w:color="auto"/>
                                                    <w:right w:val="none" w:sz="0" w:space="0" w:color="auto"/>
                                                  </w:divBdr>
                                                  <w:divsChild>
                                                    <w:div w:id="922684735">
                                                      <w:marLeft w:val="0"/>
                                                      <w:marRight w:val="0"/>
                                                      <w:marTop w:val="0"/>
                                                      <w:marBottom w:val="0"/>
                                                      <w:divBdr>
                                                        <w:top w:val="none" w:sz="0" w:space="0" w:color="auto"/>
                                                        <w:left w:val="none" w:sz="0" w:space="0" w:color="auto"/>
                                                        <w:bottom w:val="none" w:sz="0" w:space="0" w:color="auto"/>
                                                        <w:right w:val="none" w:sz="0" w:space="0" w:color="auto"/>
                                                      </w:divBdr>
                                                    </w:div>
                                                  </w:divsChild>
                                                </w:div>
                                                <w:div w:id="1786314917">
                                                  <w:marLeft w:val="0"/>
                                                  <w:marRight w:val="0"/>
                                                  <w:marTop w:val="0"/>
                                                  <w:marBottom w:val="0"/>
                                                  <w:divBdr>
                                                    <w:top w:val="none" w:sz="0" w:space="0" w:color="auto"/>
                                                    <w:left w:val="none" w:sz="0" w:space="0" w:color="auto"/>
                                                    <w:bottom w:val="none" w:sz="0" w:space="0" w:color="auto"/>
                                                    <w:right w:val="none" w:sz="0" w:space="0" w:color="auto"/>
                                                  </w:divBdr>
                                                  <w:divsChild>
                                                    <w:div w:id="4759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956025">
                                  <w:marLeft w:val="0"/>
                                  <w:marRight w:val="0"/>
                                  <w:marTop w:val="0"/>
                                  <w:marBottom w:val="0"/>
                                  <w:divBdr>
                                    <w:top w:val="none" w:sz="0" w:space="0" w:color="auto"/>
                                    <w:left w:val="none" w:sz="0" w:space="0" w:color="auto"/>
                                    <w:bottom w:val="none" w:sz="0" w:space="0" w:color="auto"/>
                                    <w:right w:val="none" w:sz="0" w:space="0" w:color="auto"/>
                                  </w:divBdr>
                                  <w:divsChild>
                                    <w:div w:id="1475945025">
                                      <w:marLeft w:val="0"/>
                                      <w:marRight w:val="0"/>
                                      <w:marTop w:val="0"/>
                                      <w:marBottom w:val="0"/>
                                      <w:divBdr>
                                        <w:top w:val="none" w:sz="0" w:space="0" w:color="auto"/>
                                        <w:left w:val="none" w:sz="0" w:space="0" w:color="auto"/>
                                        <w:bottom w:val="none" w:sz="0" w:space="0" w:color="auto"/>
                                        <w:right w:val="none" w:sz="0" w:space="0" w:color="auto"/>
                                      </w:divBdr>
                                      <w:divsChild>
                                        <w:div w:id="818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5316">
          <w:marLeft w:val="0"/>
          <w:marRight w:val="0"/>
          <w:marTop w:val="0"/>
          <w:marBottom w:val="0"/>
          <w:divBdr>
            <w:top w:val="none" w:sz="0" w:space="0" w:color="auto"/>
            <w:left w:val="none" w:sz="0" w:space="0" w:color="auto"/>
            <w:bottom w:val="none" w:sz="0" w:space="0" w:color="auto"/>
            <w:right w:val="none" w:sz="0" w:space="0" w:color="auto"/>
          </w:divBdr>
          <w:divsChild>
            <w:div w:id="497892140">
              <w:marLeft w:val="0"/>
              <w:marRight w:val="0"/>
              <w:marTop w:val="0"/>
              <w:marBottom w:val="0"/>
              <w:divBdr>
                <w:top w:val="none" w:sz="0" w:space="0" w:color="auto"/>
                <w:left w:val="none" w:sz="0" w:space="0" w:color="auto"/>
                <w:bottom w:val="none" w:sz="0" w:space="0" w:color="auto"/>
                <w:right w:val="none" w:sz="0" w:space="0" w:color="auto"/>
              </w:divBdr>
              <w:divsChild>
                <w:div w:id="375352545">
                  <w:marLeft w:val="0"/>
                  <w:marRight w:val="0"/>
                  <w:marTop w:val="0"/>
                  <w:marBottom w:val="0"/>
                  <w:divBdr>
                    <w:top w:val="none" w:sz="0" w:space="0" w:color="auto"/>
                    <w:left w:val="none" w:sz="0" w:space="0" w:color="auto"/>
                    <w:bottom w:val="none" w:sz="0" w:space="0" w:color="auto"/>
                    <w:right w:val="none" w:sz="0" w:space="0" w:color="auto"/>
                  </w:divBdr>
                  <w:divsChild>
                    <w:div w:id="2039624471">
                      <w:marLeft w:val="0"/>
                      <w:marRight w:val="0"/>
                      <w:marTop w:val="0"/>
                      <w:marBottom w:val="0"/>
                      <w:divBdr>
                        <w:top w:val="none" w:sz="0" w:space="0" w:color="auto"/>
                        <w:left w:val="none" w:sz="0" w:space="0" w:color="auto"/>
                        <w:bottom w:val="none" w:sz="0" w:space="0" w:color="auto"/>
                        <w:right w:val="none" w:sz="0" w:space="0" w:color="auto"/>
                      </w:divBdr>
                      <w:divsChild>
                        <w:div w:id="715592288">
                          <w:marLeft w:val="0"/>
                          <w:marRight w:val="0"/>
                          <w:marTop w:val="0"/>
                          <w:marBottom w:val="0"/>
                          <w:divBdr>
                            <w:top w:val="none" w:sz="0" w:space="0" w:color="auto"/>
                            <w:left w:val="none" w:sz="0" w:space="0" w:color="auto"/>
                            <w:bottom w:val="none" w:sz="0" w:space="0" w:color="auto"/>
                            <w:right w:val="none" w:sz="0" w:space="0" w:color="auto"/>
                          </w:divBdr>
                          <w:divsChild>
                            <w:div w:id="1002976201">
                              <w:marLeft w:val="0"/>
                              <w:marRight w:val="0"/>
                              <w:marTop w:val="0"/>
                              <w:marBottom w:val="0"/>
                              <w:divBdr>
                                <w:top w:val="none" w:sz="0" w:space="0" w:color="auto"/>
                                <w:left w:val="none" w:sz="0" w:space="0" w:color="auto"/>
                                <w:bottom w:val="none" w:sz="0" w:space="0" w:color="auto"/>
                                <w:right w:val="none" w:sz="0" w:space="0" w:color="auto"/>
                              </w:divBdr>
                              <w:divsChild>
                                <w:div w:id="80762631">
                                  <w:marLeft w:val="0"/>
                                  <w:marRight w:val="0"/>
                                  <w:marTop w:val="0"/>
                                  <w:marBottom w:val="0"/>
                                  <w:divBdr>
                                    <w:top w:val="none" w:sz="0" w:space="0" w:color="auto"/>
                                    <w:left w:val="none" w:sz="0" w:space="0" w:color="auto"/>
                                    <w:bottom w:val="none" w:sz="0" w:space="0" w:color="auto"/>
                                    <w:right w:val="none" w:sz="0" w:space="0" w:color="auto"/>
                                  </w:divBdr>
                                  <w:divsChild>
                                    <w:div w:id="94130452">
                                      <w:marLeft w:val="0"/>
                                      <w:marRight w:val="0"/>
                                      <w:marTop w:val="0"/>
                                      <w:marBottom w:val="0"/>
                                      <w:divBdr>
                                        <w:top w:val="none" w:sz="0" w:space="0" w:color="auto"/>
                                        <w:left w:val="none" w:sz="0" w:space="0" w:color="auto"/>
                                        <w:bottom w:val="none" w:sz="0" w:space="0" w:color="auto"/>
                                        <w:right w:val="none" w:sz="0" w:space="0" w:color="auto"/>
                                      </w:divBdr>
                                      <w:divsChild>
                                        <w:div w:id="1470787191">
                                          <w:marLeft w:val="0"/>
                                          <w:marRight w:val="0"/>
                                          <w:marTop w:val="0"/>
                                          <w:marBottom w:val="0"/>
                                          <w:divBdr>
                                            <w:top w:val="none" w:sz="0" w:space="0" w:color="auto"/>
                                            <w:left w:val="none" w:sz="0" w:space="0" w:color="auto"/>
                                            <w:bottom w:val="none" w:sz="0" w:space="0" w:color="auto"/>
                                            <w:right w:val="none" w:sz="0" w:space="0" w:color="auto"/>
                                          </w:divBdr>
                                          <w:divsChild>
                                            <w:div w:id="3105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5876">
      <w:bodyDiv w:val="1"/>
      <w:marLeft w:val="0"/>
      <w:marRight w:val="0"/>
      <w:marTop w:val="0"/>
      <w:marBottom w:val="0"/>
      <w:divBdr>
        <w:top w:val="none" w:sz="0" w:space="0" w:color="auto"/>
        <w:left w:val="none" w:sz="0" w:space="0" w:color="auto"/>
        <w:bottom w:val="none" w:sz="0" w:space="0" w:color="auto"/>
        <w:right w:val="none" w:sz="0" w:space="0" w:color="auto"/>
      </w:divBdr>
    </w:div>
    <w:div w:id="564216709">
      <w:bodyDiv w:val="1"/>
      <w:marLeft w:val="0"/>
      <w:marRight w:val="0"/>
      <w:marTop w:val="0"/>
      <w:marBottom w:val="0"/>
      <w:divBdr>
        <w:top w:val="none" w:sz="0" w:space="0" w:color="auto"/>
        <w:left w:val="none" w:sz="0" w:space="0" w:color="auto"/>
        <w:bottom w:val="none" w:sz="0" w:space="0" w:color="auto"/>
        <w:right w:val="none" w:sz="0" w:space="0" w:color="auto"/>
      </w:divBdr>
      <w:divsChild>
        <w:div w:id="522400397">
          <w:marLeft w:val="0"/>
          <w:marRight w:val="0"/>
          <w:marTop w:val="0"/>
          <w:marBottom w:val="0"/>
          <w:divBdr>
            <w:top w:val="none" w:sz="0" w:space="0" w:color="auto"/>
            <w:left w:val="none" w:sz="0" w:space="0" w:color="auto"/>
            <w:bottom w:val="none" w:sz="0" w:space="0" w:color="auto"/>
            <w:right w:val="none" w:sz="0" w:space="0" w:color="auto"/>
          </w:divBdr>
          <w:divsChild>
            <w:div w:id="780999399">
              <w:marLeft w:val="0"/>
              <w:marRight w:val="0"/>
              <w:marTop w:val="0"/>
              <w:marBottom w:val="0"/>
              <w:divBdr>
                <w:top w:val="none" w:sz="0" w:space="0" w:color="auto"/>
                <w:left w:val="none" w:sz="0" w:space="0" w:color="auto"/>
                <w:bottom w:val="none" w:sz="0" w:space="0" w:color="auto"/>
                <w:right w:val="none" w:sz="0" w:space="0" w:color="auto"/>
              </w:divBdr>
              <w:divsChild>
                <w:div w:id="561872235">
                  <w:marLeft w:val="0"/>
                  <w:marRight w:val="0"/>
                  <w:marTop w:val="0"/>
                  <w:marBottom w:val="0"/>
                  <w:divBdr>
                    <w:top w:val="none" w:sz="0" w:space="0" w:color="auto"/>
                    <w:left w:val="none" w:sz="0" w:space="0" w:color="auto"/>
                    <w:bottom w:val="none" w:sz="0" w:space="0" w:color="auto"/>
                    <w:right w:val="none" w:sz="0" w:space="0" w:color="auto"/>
                  </w:divBdr>
                  <w:divsChild>
                    <w:div w:id="1155099082">
                      <w:marLeft w:val="0"/>
                      <w:marRight w:val="0"/>
                      <w:marTop w:val="0"/>
                      <w:marBottom w:val="0"/>
                      <w:divBdr>
                        <w:top w:val="none" w:sz="0" w:space="0" w:color="auto"/>
                        <w:left w:val="none" w:sz="0" w:space="0" w:color="auto"/>
                        <w:bottom w:val="none" w:sz="0" w:space="0" w:color="auto"/>
                        <w:right w:val="none" w:sz="0" w:space="0" w:color="auto"/>
                      </w:divBdr>
                      <w:divsChild>
                        <w:div w:id="503862793">
                          <w:marLeft w:val="0"/>
                          <w:marRight w:val="0"/>
                          <w:marTop w:val="0"/>
                          <w:marBottom w:val="0"/>
                          <w:divBdr>
                            <w:top w:val="none" w:sz="0" w:space="0" w:color="auto"/>
                            <w:left w:val="none" w:sz="0" w:space="0" w:color="auto"/>
                            <w:bottom w:val="none" w:sz="0" w:space="0" w:color="auto"/>
                            <w:right w:val="none" w:sz="0" w:space="0" w:color="auto"/>
                          </w:divBdr>
                          <w:divsChild>
                            <w:div w:id="605161633">
                              <w:marLeft w:val="0"/>
                              <w:marRight w:val="0"/>
                              <w:marTop w:val="0"/>
                              <w:marBottom w:val="0"/>
                              <w:divBdr>
                                <w:top w:val="none" w:sz="0" w:space="0" w:color="auto"/>
                                <w:left w:val="none" w:sz="0" w:space="0" w:color="auto"/>
                                <w:bottom w:val="none" w:sz="0" w:space="0" w:color="auto"/>
                                <w:right w:val="none" w:sz="0" w:space="0" w:color="auto"/>
                              </w:divBdr>
                              <w:divsChild>
                                <w:div w:id="1062488873">
                                  <w:marLeft w:val="0"/>
                                  <w:marRight w:val="0"/>
                                  <w:marTop w:val="0"/>
                                  <w:marBottom w:val="0"/>
                                  <w:divBdr>
                                    <w:top w:val="none" w:sz="0" w:space="0" w:color="auto"/>
                                    <w:left w:val="none" w:sz="0" w:space="0" w:color="auto"/>
                                    <w:bottom w:val="none" w:sz="0" w:space="0" w:color="auto"/>
                                    <w:right w:val="none" w:sz="0" w:space="0" w:color="auto"/>
                                  </w:divBdr>
                                  <w:divsChild>
                                    <w:div w:id="391344664">
                                      <w:marLeft w:val="0"/>
                                      <w:marRight w:val="0"/>
                                      <w:marTop w:val="0"/>
                                      <w:marBottom w:val="0"/>
                                      <w:divBdr>
                                        <w:top w:val="none" w:sz="0" w:space="0" w:color="auto"/>
                                        <w:left w:val="none" w:sz="0" w:space="0" w:color="auto"/>
                                        <w:bottom w:val="none" w:sz="0" w:space="0" w:color="auto"/>
                                        <w:right w:val="none" w:sz="0" w:space="0" w:color="auto"/>
                                      </w:divBdr>
                                      <w:divsChild>
                                        <w:div w:id="997226648">
                                          <w:marLeft w:val="0"/>
                                          <w:marRight w:val="0"/>
                                          <w:marTop w:val="0"/>
                                          <w:marBottom w:val="0"/>
                                          <w:divBdr>
                                            <w:top w:val="none" w:sz="0" w:space="0" w:color="auto"/>
                                            <w:left w:val="none" w:sz="0" w:space="0" w:color="auto"/>
                                            <w:bottom w:val="none" w:sz="0" w:space="0" w:color="auto"/>
                                            <w:right w:val="none" w:sz="0" w:space="0" w:color="auto"/>
                                          </w:divBdr>
                                          <w:divsChild>
                                            <w:div w:id="1799303043">
                                              <w:marLeft w:val="0"/>
                                              <w:marRight w:val="0"/>
                                              <w:marTop w:val="0"/>
                                              <w:marBottom w:val="0"/>
                                              <w:divBdr>
                                                <w:top w:val="none" w:sz="0" w:space="0" w:color="auto"/>
                                                <w:left w:val="none" w:sz="0" w:space="0" w:color="auto"/>
                                                <w:bottom w:val="none" w:sz="0" w:space="0" w:color="auto"/>
                                                <w:right w:val="none" w:sz="0" w:space="0" w:color="auto"/>
                                              </w:divBdr>
                                              <w:divsChild>
                                                <w:div w:id="790055607">
                                                  <w:marLeft w:val="0"/>
                                                  <w:marRight w:val="0"/>
                                                  <w:marTop w:val="0"/>
                                                  <w:marBottom w:val="0"/>
                                                  <w:divBdr>
                                                    <w:top w:val="none" w:sz="0" w:space="0" w:color="auto"/>
                                                    <w:left w:val="none" w:sz="0" w:space="0" w:color="auto"/>
                                                    <w:bottom w:val="none" w:sz="0" w:space="0" w:color="auto"/>
                                                    <w:right w:val="none" w:sz="0" w:space="0" w:color="auto"/>
                                                  </w:divBdr>
                                                  <w:divsChild>
                                                    <w:div w:id="1993215161">
                                                      <w:marLeft w:val="0"/>
                                                      <w:marRight w:val="0"/>
                                                      <w:marTop w:val="0"/>
                                                      <w:marBottom w:val="0"/>
                                                      <w:divBdr>
                                                        <w:top w:val="none" w:sz="0" w:space="0" w:color="auto"/>
                                                        <w:left w:val="none" w:sz="0" w:space="0" w:color="auto"/>
                                                        <w:bottom w:val="none" w:sz="0" w:space="0" w:color="auto"/>
                                                        <w:right w:val="none" w:sz="0" w:space="0" w:color="auto"/>
                                                      </w:divBdr>
                                                    </w:div>
                                                  </w:divsChild>
                                                </w:div>
                                                <w:div w:id="71893506">
                                                  <w:marLeft w:val="0"/>
                                                  <w:marRight w:val="0"/>
                                                  <w:marTop w:val="0"/>
                                                  <w:marBottom w:val="0"/>
                                                  <w:divBdr>
                                                    <w:top w:val="none" w:sz="0" w:space="0" w:color="auto"/>
                                                    <w:left w:val="none" w:sz="0" w:space="0" w:color="auto"/>
                                                    <w:bottom w:val="none" w:sz="0" w:space="0" w:color="auto"/>
                                                    <w:right w:val="none" w:sz="0" w:space="0" w:color="auto"/>
                                                  </w:divBdr>
                                                  <w:divsChild>
                                                    <w:div w:id="2112779295">
                                                      <w:marLeft w:val="0"/>
                                                      <w:marRight w:val="0"/>
                                                      <w:marTop w:val="0"/>
                                                      <w:marBottom w:val="0"/>
                                                      <w:divBdr>
                                                        <w:top w:val="none" w:sz="0" w:space="0" w:color="auto"/>
                                                        <w:left w:val="none" w:sz="0" w:space="0" w:color="auto"/>
                                                        <w:bottom w:val="none" w:sz="0" w:space="0" w:color="auto"/>
                                                        <w:right w:val="none" w:sz="0" w:space="0" w:color="auto"/>
                                                      </w:divBdr>
                                                    </w:div>
                                                  </w:divsChild>
                                                </w:div>
                                                <w:div w:id="442115741">
                                                  <w:marLeft w:val="0"/>
                                                  <w:marRight w:val="0"/>
                                                  <w:marTop w:val="0"/>
                                                  <w:marBottom w:val="0"/>
                                                  <w:divBdr>
                                                    <w:top w:val="none" w:sz="0" w:space="0" w:color="auto"/>
                                                    <w:left w:val="none" w:sz="0" w:space="0" w:color="auto"/>
                                                    <w:bottom w:val="none" w:sz="0" w:space="0" w:color="auto"/>
                                                    <w:right w:val="none" w:sz="0" w:space="0" w:color="auto"/>
                                                  </w:divBdr>
                                                  <w:divsChild>
                                                    <w:div w:id="723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347635">
                                  <w:marLeft w:val="0"/>
                                  <w:marRight w:val="0"/>
                                  <w:marTop w:val="0"/>
                                  <w:marBottom w:val="0"/>
                                  <w:divBdr>
                                    <w:top w:val="none" w:sz="0" w:space="0" w:color="auto"/>
                                    <w:left w:val="none" w:sz="0" w:space="0" w:color="auto"/>
                                    <w:bottom w:val="none" w:sz="0" w:space="0" w:color="auto"/>
                                    <w:right w:val="none" w:sz="0" w:space="0" w:color="auto"/>
                                  </w:divBdr>
                                  <w:divsChild>
                                    <w:div w:id="1341815319">
                                      <w:marLeft w:val="0"/>
                                      <w:marRight w:val="0"/>
                                      <w:marTop w:val="0"/>
                                      <w:marBottom w:val="0"/>
                                      <w:divBdr>
                                        <w:top w:val="none" w:sz="0" w:space="0" w:color="auto"/>
                                        <w:left w:val="none" w:sz="0" w:space="0" w:color="auto"/>
                                        <w:bottom w:val="none" w:sz="0" w:space="0" w:color="auto"/>
                                        <w:right w:val="none" w:sz="0" w:space="0" w:color="auto"/>
                                      </w:divBdr>
                                      <w:divsChild>
                                        <w:div w:id="2133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5443">
          <w:marLeft w:val="0"/>
          <w:marRight w:val="0"/>
          <w:marTop w:val="0"/>
          <w:marBottom w:val="0"/>
          <w:divBdr>
            <w:top w:val="none" w:sz="0" w:space="0" w:color="auto"/>
            <w:left w:val="none" w:sz="0" w:space="0" w:color="auto"/>
            <w:bottom w:val="none" w:sz="0" w:space="0" w:color="auto"/>
            <w:right w:val="none" w:sz="0" w:space="0" w:color="auto"/>
          </w:divBdr>
          <w:divsChild>
            <w:div w:id="349141463">
              <w:marLeft w:val="0"/>
              <w:marRight w:val="0"/>
              <w:marTop w:val="0"/>
              <w:marBottom w:val="0"/>
              <w:divBdr>
                <w:top w:val="none" w:sz="0" w:space="0" w:color="auto"/>
                <w:left w:val="none" w:sz="0" w:space="0" w:color="auto"/>
                <w:bottom w:val="none" w:sz="0" w:space="0" w:color="auto"/>
                <w:right w:val="none" w:sz="0" w:space="0" w:color="auto"/>
              </w:divBdr>
              <w:divsChild>
                <w:div w:id="993145390">
                  <w:marLeft w:val="0"/>
                  <w:marRight w:val="0"/>
                  <w:marTop w:val="0"/>
                  <w:marBottom w:val="0"/>
                  <w:divBdr>
                    <w:top w:val="none" w:sz="0" w:space="0" w:color="auto"/>
                    <w:left w:val="none" w:sz="0" w:space="0" w:color="auto"/>
                    <w:bottom w:val="none" w:sz="0" w:space="0" w:color="auto"/>
                    <w:right w:val="none" w:sz="0" w:space="0" w:color="auto"/>
                  </w:divBdr>
                  <w:divsChild>
                    <w:div w:id="641934360">
                      <w:marLeft w:val="0"/>
                      <w:marRight w:val="0"/>
                      <w:marTop w:val="0"/>
                      <w:marBottom w:val="0"/>
                      <w:divBdr>
                        <w:top w:val="none" w:sz="0" w:space="0" w:color="auto"/>
                        <w:left w:val="none" w:sz="0" w:space="0" w:color="auto"/>
                        <w:bottom w:val="none" w:sz="0" w:space="0" w:color="auto"/>
                        <w:right w:val="none" w:sz="0" w:space="0" w:color="auto"/>
                      </w:divBdr>
                      <w:divsChild>
                        <w:div w:id="2036928080">
                          <w:marLeft w:val="0"/>
                          <w:marRight w:val="0"/>
                          <w:marTop w:val="0"/>
                          <w:marBottom w:val="0"/>
                          <w:divBdr>
                            <w:top w:val="none" w:sz="0" w:space="0" w:color="auto"/>
                            <w:left w:val="none" w:sz="0" w:space="0" w:color="auto"/>
                            <w:bottom w:val="none" w:sz="0" w:space="0" w:color="auto"/>
                            <w:right w:val="none" w:sz="0" w:space="0" w:color="auto"/>
                          </w:divBdr>
                          <w:divsChild>
                            <w:div w:id="1787459445">
                              <w:marLeft w:val="0"/>
                              <w:marRight w:val="0"/>
                              <w:marTop w:val="0"/>
                              <w:marBottom w:val="0"/>
                              <w:divBdr>
                                <w:top w:val="none" w:sz="0" w:space="0" w:color="auto"/>
                                <w:left w:val="none" w:sz="0" w:space="0" w:color="auto"/>
                                <w:bottom w:val="none" w:sz="0" w:space="0" w:color="auto"/>
                                <w:right w:val="none" w:sz="0" w:space="0" w:color="auto"/>
                              </w:divBdr>
                              <w:divsChild>
                                <w:div w:id="536742018">
                                  <w:marLeft w:val="0"/>
                                  <w:marRight w:val="0"/>
                                  <w:marTop w:val="0"/>
                                  <w:marBottom w:val="0"/>
                                  <w:divBdr>
                                    <w:top w:val="none" w:sz="0" w:space="0" w:color="auto"/>
                                    <w:left w:val="none" w:sz="0" w:space="0" w:color="auto"/>
                                    <w:bottom w:val="none" w:sz="0" w:space="0" w:color="auto"/>
                                    <w:right w:val="none" w:sz="0" w:space="0" w:color="auto"/>
                                  </w:divBdr>
                                  <w:divsChild>
                                    <w:div w:id="158428061">
                                      <w:marLeft w:val="0"/>
                                      <w:marRight w:val="0"/>
                                      <w:marTop w:val="0"/>
                                      <w:marBottom w:val="0"/>
                                      <w:divBdr>
                                        <w:top w:val="none" w:sz="0" w:space="0" w:color="auto"/>
                                        <w:left w:val="none" w:sz="0" w:space="0" w:color="auto"/>
                                        <w:bottom w:val="none" w:sz="0" w:space="0" w:color="auto"/>
                                        <w:right w:val="none" w:sz="0" w:space="0" w:color="auto"/>
                                      </w:divBdr>
                                      <w:divsChild>
                                        <w:div w:id="199630397">
                                          <w:marLeft w:val="0"/>
                                          <w:marRight w:val="0"/>
                                          <w:marTop w:val="0"/>
                                          <w:marBottom w:val="0"/>
                                          <w:divBdr>
                                            <w:top w:val="none" w:sz="0" w:space="0" w:color="auto"/>
                                            <w:left w:val="none" w:sz="0" w:space="0" w:color="auto"/>
                                            <w:bottom w:val="none" w:sz="0" w:space="0" w:color="auto"/>
                                            <w:right w:val="none" w:sz="0" w:space="0" w:color="auto"/>
                                          </w:divBdr>
                                          <w:divsChild>
                                            <w:div w:id="15855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103190">
      <w:bodyDiv w:val="1"/>
      <w:marLeft w:val="0"/>
      <w:marRight w:val="0"/>
      <w:marTop w:val="0"/>
      <w:marBottom w:val="0"/>
      <w:divBdr>
        <w:top w:val="none" w:sz="0" w:space="0" w:color="auto"/>
        <w:left w:val="none" w:sz="0" w:space="0" w:color="auto"/>
        <w:bottom w:val="none" w:sz="0" w:space="0" w:color="auto"/>
        <w:right w:val="none" w:sz="0" w:space="0" w:color="auto"/>
      </w:divBdr>
    </w:div>
    <w:div w:id="885067228">
      <w:bodyDiv w:val="1"/>
      <w:marLeft w:val="0"/>
      <w:marRight w:val="0"/>
      <w:marTop w:val="0"/>
      <w:marBottom w:val="0"/>
      <w:divBdr>
        <w:top w:val="none" w:sz="0" w:space="0" w:color="auto"/>
        <w:left w:val="none" w:sz="0" w:space="0" w:color="auto"/>
        <w:bottom w:val="none" w:sz="0" w:space="0" w:color="auto"/>
        <w:right w:val="none" w:sz="0" w:space="0" w:color="auto"/>
      </w:divBdr>
    </w:div>
    <w:div w:id="1071122797">
      <w:bodyDiv w:val="1"/>
      <w:marLeft w:val="0"/>
      <w:marRight w:val="0"/>
      <w:marTop w:val="0"/>
      <w:marBottom w:val="0"/>
      <w:divBdr>
        <w:top w:val="none" w:sz="0" w:space="0" w:color="auto"/>
        <w:left w:val="none" w:sz="0" w:space="0" w:color="auto"/>
        <w:bottom w:val="none" w:sz="0" w:space="0" w:color="auto"/>
        <w:right w:val="none" w:sz="0" w:space="0" w:color="auto"/>
      </w:divBdr>
    </w:div>
    <w:div w:id="1125349782">
      <w:bodyDiv w:val="1"/>
      <w:marLeft w:val="0"/>
      <w:marRight w:val="0"/>
      <w:marTop w:val="0"/>
      <w:marBottom w:val="0"/>
      <w:divBdr>
        <w:top w:val="none" w:sz="0" w:space="0" w:color="auto"/>
        <w:left w:val="none" w:sz="0" w:space="0" w:color="auto"/>
        <w:bottom w:val="none" w:sz="0" w:space="0" w:color="auto"/>
        <w:right w:val="none" w:sz="0" w:space="0" w:color="auto"/>
      </w:divBdr>
    </w:div>
    <w:div w:id="1270157603">
      <w:bodyDiv w:val="1"/>
      <w:marLeft w:val="0"/>
      <w:marRight w:val="0"/>
      <w:marTop w:val="0"/>
      <w:marBottom w:val="0"/>
      <w:divBdr>
        <w:top w:val="none" w:sz="0" w:space="0" w:color="auto"/>
        <w:left w:val="none" w:sz="0" w:space="0" w:color="auto"/>
        <w:bottom w:val="none" w:sz="0" w:space="0" w:color="auto"/>
        <w:right w:val="none" w:sz="0" w:space="0" w:color="auto"/>
      </w:divBdr>
    </w:div>
    <w:div w:id="1295330769">
      <w:bodyDiv w:val="1"/>
      <w:marLeft w:val="0"/>
      <w:marRight w:val="0"/>
      <w:marTop w:val="0"/>
      <w:marBottom w:val="0"/>
      <w:divBdr>
        <w:top w:val="none" w:sz="0" w:space="0" w:color="auto"/>
        <w:left w:val="none" w:sz="0" w:space="0" w:color="auto"/>
        <w:bottom w:val="none" w:sz="0" w:space="0" w:color="auto"/>
        <w:right w:val="none" w:sz="0" w:space="0" w:color="auto"/>
      </w:divBdr>
    </w:div>
    <w:div w:id="1641232009">
      <w:bodyDiv w:val="1"/>
      <w:marLeft w:val="0"/>
      <w:marRight w:val="0"/>
      <w:marTop w:val="0"/>
      <w:marBottom w:val="0"/>
      <w:divBdr>
        <w:top w:val="none" w:sz="0" w:space="0" w:color="auto"/>
        <w:left w:val="none" w:sz="0" w:space="0" w:color="auto"/>
        <w:bottom w:val="none" w:sz="0" w:space="0" w:color="auto"/>
        <w:right w:val="none" w:sz="0" w:space="0" w:color="auto"/>
      </w:divBdr>
    </w:div>
    <w:div w:id="1731272742">
      <w:bodyDiv w:val="1"/>
      <w:marLeft w:val="0"/>
      <w:marRight w:val="0"/>
      <w:marTop w:val="0"/>
      <w:marBottom w:val="0"/>
      <w:divBdr>
        <w:top w:val="none" w:sz="0" w:space="0" w:color="auto"/>
        <w:left w:val="none" w:sz="0" w:space="0" w:color="auto"/>
        <w:bottom w:val="none" w:sz="0" w:space="0" w:color="auto"/>
        <w:right w:val="none" w:sz="0" w:space="0" w:color="auto"/>
      </w:divBdr>
    </w:div>
    <w:div w:id="1791124959">
      <w:bodyDiv w:val="1"/>
      <w:marLeft w:val="0"/>
      <w:marRight w:val="0"/>
      <w:marTop w:val="0"/>
      <w:marBottom w:val="0"/>
      <w:divBdr>
        <w:top w:val="none" w:sz="0" w:space="0" w:color="auto"/>
        <w:left w:val="none" w:sz="0" w:space="0" w:color="auto"/>
        <w:bottom w:val="none" w:sz="0" w:space="0" w:color="auto"/>
        <w:right w:val="none" w:sz="0" w:space="0" w:color="auto"/>
      </w:divBdr>
    </w:div>
    <w:div w:id="1944148134">
      <w:bodyDiv w:val="1"/>
      <w:marLeft w:val="0"/>
      <w:marRight w:val="0"/>
      <w:marTop w:val="0"/>
      <w:marBottom w:val="0"/>
      <w:divBdr>
        <w:top w:val="none" w:sz="0" w:space="0" w:color="auto"/>
        <w:left w:val="none" w:sz="0" w:space="0" w:color="auto"/>
        <w:bottom w:val="none" w:sz="0" w:space="0" w:color="auto"/>
        <w:right w:val="none" w:sz="0" w:space="0" w:color="auto"/>
      </w:divBdr>
    </w:div>
    <w:div w:id="1950121967">
      <w:bodyDiv w:val="1"/>
      <w:marLeft w:val="0"/>
      <w:marRight w:val="0"/>
      <w:marTop w:val="0"/>
      <w:marBottom w:val="0"/>
      <w:divBdr>
        <w:top w:val="none" w:sz="0" w:space="0" w:color="auto"/>
        <w:left w:val="none" w:sz="0" w:space="0" w:color="auto"/>
        <w:bottom w:val="none" w:sz="0" w:space="0" w:color="auto"/>
        <w:right w:val="none" w:sz="0" w:space="0" w:color="auto"/>
      </w:divBdr>
    </w:div>
    <w:div w:id="1952010544">
      <w:bodyDiv w:val="1"/>
      <w:marLeft w:val="0"/>
      <w:marRight w:val="0"/>
      <w:marTop w:val="0"/>
      <w:marBottom w:val="0"/>
      <w:divBdr>
        <w:top w:val="none" w:sz="0" w:space="0" w:color="auto"/>
        <w:left w:val="none" w:sz="0" w:space="0" w:color="auto"/>
        <w:bottom w:val="none" w:sz="0" w:space="0" w:color="auto"/>
        <w:right w:val="none" w:sz="0" w:space="0" w:color="auto"/>
      </w:divBdr>
    </w:div>
    <w:div w:id="1953436841">
      <w:bodyDiv w:val="1"/>
      <w:marLeft w:val="0"/>
      <w:marRight w:val="0"/>
      <w:marTop w:val="0"/>
      <w:marBottom w:val="0"/>
      <w:divBdr>
        <w:top w:val="none" w:sz="0" w:space="0" w:color="auto"/>
        <w:left w:val="none" w:sz="0" w:space="0" w:color="auto"/>
        <w:bottom w:val="none" w:sz="0" w:space="0" w:color="auto"/>
        <w:right w:val="none" w:sz="0" w:space="0" w:color="auto"/>
      </w:divBdr>
      <w:divsChild>
        <w:div w:id="1652640912">
          <w:marLeft w:val="0"/>
          <w:marRight w:val="0"/>
          <w:marTop w:val="0"/>
          <w:marBottom w:val="0"/>
          <w:divBdr>
            <w:top w:val="none" w:sz="0" w:space="0" w:color="auto"/>
            <w:left w:val="none" w:sz="0" w:space="0" w:color="auto"/>
            <w:bottom w:val="none" w:sz="0" w:space="0" w:color="auto"/>
            <w:right w:val="none" w:sz="0" w:space="0" w:color="auto"/>
          </w:divBdr>
          <w:divsChild>
            <w:div w:id="329529991">
              <w:marLeft w:val="0"/>
              <w:marRight w:val="0"/>
              <w:marTop w:val="0"/>
              <w:marBottom w:val="0"/>
              <w:divBdr>
                <w:top w:val="none" w:sz="0" w:space="0" w:color="auto"/>
                <w:left w:val="none" w:sz="0" w:space="0" w:color="auto"/>
                <w:bottom w:val="none" w:sz="0" w:space="0" w:color="auto"/>
                <w:right w:val="none" w:sz="0" w:space="0" w:color="auto"/>
              </w:divBdr>
              <w:divsChild>
                <w:div w:id="1149978876">
                  <w:marLeft w:val="0"/>
                  <w:marRight w:val="0"/>
                  <w:marTop w:val="0"/>
                  <w:marBottom w:val="0"/>
                  <w:divBdr>
                    <w:top w:val="none" w:sz="0" w:space="0" w:color="auto"/>
                    <w:left w:val="none" w:sz="0" w:space="0" w:color="auto"/>
                    <w:bottom w:val="none" w:sz="0" w:space="0" w:color="auto"/>
                    <w:right w:val="none" w:sz="0" w:space="0" w:color="auto"/>
                  </w:divBdr>
                  <w:divsChild>
                    <w:div w:id="1661159541">
                      <w:marLeft w:val="0"/>
                      <w:marRight w:val="0"/>
                      <w:marTop w:val="0"/>
                      <w:marBottom w:val="0"/>
                      <w:divBdr>
                        <w:top w:val="none" w:sz="0" w:space="0" w:color="auto"/>
                        <w:left w:val="none" w:sz="0" w:space="0" w:color="auto"/>
                        <w:bottom w:val="none" w:sz="0" w:space="0" w:color="auto"/>
                        <w:right w:val="none" w:sz="0" w:space="0" w:color="auto"/>
                      </w:divBdr>
                      <w:divsChild>
                        <w:div w:id="1163086462">
                          <w:marLeft w:val="0"/>
                          <w:marRight w:val="0"/>
                          <w:marTop w:val="0"/>
                          <w:marBottom w:val="0"/>
                          <w:divBdr>
                            <w:top w:val="none" w:sz="0" w:space="0" w:color="auto"/>
                            <w:left w:val="none" w:sz="0" w:space="0" w:color="auto"/>
                            <w:bottom w:val="none" w:sz="0" w:space="0" w:color="auto"/>
                            <w:right w:val="none" w:sz="0" w:space="0" w:color="auto"/>
                          </w:divBdr>
                          <w:divsChild>
                            <w:div w:id="357195110">
                              <w:marLeft w:val="0"/>
                              <w:marRight w:val="0"/>
                              <w:marTop w:val="0"/>
                              <w:marBottom w:val="0"/>
                              <w:divBdr>
                                <w:top w:val="none" w:sz="0" w:space="0" w:color="auto"/>
                                <w:left w:val="none" w:sz="0" w:space="0" w:color="auto"/>
                                <w:bottom w:val="none" w:sz="0" w:space="0" w:color="auto"/>
                                <w:right w:val="none" w:sz="0" w:space="0" w:color="auto"/>
                              </w:divBdr>
                              <w:divsChild>
                                <w:div w:id="756755947">
                                  <w:marLeft w:val="0"/>
                                  <w:marRight w:val="0"/>
                                  <w:marTop w:val="0"/>
                                  <w:marBottom w:val="0"/>
                                  <w:divBdr>
                                    <w:top w:val="none" w:sz="0" w:space="0" w:color="auto"/>
                                    <w:left w:val="none" w:sz="0" w:space="0" w:color="auto"/>
                                    <w:bottom w:val="none" w:sz="0" w:space="0" w:color="auto"/>
                                    <w:right w:val="none" w:sz="0" w:space="0" w:color="auto"/>
                                  </w:divBdr>
                                  <w:divsChild>
                                    <w:div w:id="1567103593">
                                      <w:marLeft w:val="0"/>
                                      <w:marRight w:val="0"/>
                                      <w:marTop w:val="0"/>
                                      <w:marBottom w:val="0"/>
                                      <w:divBdr>
                                        <w:top w:val="none" w:sz="0" w:space="0" w:color="auto"/>
                                        <w:left w:val="none" w:sz="0" w:space="0" w:color="auto"/>
                                        <w:bottom w:val="none" w:sz="0" w:space="0" w:color="auto"/>
                                        <w:right w:val="none" w:sz="0" w:space="0" w:color="auto"/>
                                      </w:divBdr>
                                      <w:divsChild>
                                        <w:div w:id="82849064">
                                          <w:marLeft w:val="0"/>
                                          <w:marRight w:val="0"/>
                                          <w:marTop w:val="0"/>
                                          <w:marBottom w:val="0"/>
                                          <w:divBdr>
                                            <w:top w:val="none" w:sz="0" w:space="0" w:color="auto"/>
                                            <w:left w:val="none" w:sz="0" w:space="0" w:color="auto"/>
                                            <w:bottom w:val="none" w:sz="0" w:space="0" w:color="auto"/>
                                            <w:right w:val="none" w:sz="0" w:space="0" w:color="auto"/>
                                          </w:divBdr>
                                          <w:divsChild>
                                            <w:div w:id="7976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412715">
          <w:marLeft w:val="0"/>
          <w:marRight w:val="0"/>
          <w:marTop w:val="0"/>
          <w:marBottom w:val="0"/>
          <w:divBdr>
            <w:top w:val="none" w:sz="0" w:space="0" w:color="auto"/>
            <w:left w:val="none" w:sz="0" w:space="0" w:color="auto"/>
            <w:bottom w:val="none" w:sz="0" w:space="0" w:color="auto"/>
            <w:right w:val="none" w:sz="0" w:space="0" w:color="auto"/>
          </w:divBdr>
          <w:divsChild>
            <w:div w:id="417143267">
              <w:marLeft w:val="0"/>
              <w:marRight w:val="0"/>
              <w:marTop w:val="0"/>
              <w:marBottom w:val="0"/>
              <w:divBdr>
                <w:top w:val="none" w:sz="0" w:space="0" w:color="auto"/>
                <w:left w:val="none" w:sz="0" w:space="0" w:color="auto"/>
                <w:bottom w:val="none" w:sz="0" w:space="0" w:color="auto"/>
                <w:right w:val="none" w:sz="0" w:space="0" w:color="auto"/>
              </w:divBdr>
              <w:divsChild>
                <w:div w:id="246773228">
                  <w:marLeft w:val="0"/>
                  <w:marRight w:val="0"/>
                  <w:marTop w:val="0"/>
                  <w:marBottom w:val="0"/>
                  <w:divBdr>
                    <w:top w:val="none" w:sz="0" w:space="0" w:color="auto"/>
                    <w:left w:val="none" w:sz="0" w:space="0" w:color="auto"/>
                    <w:bottom w:val="none" w:sz="0" w:space="0" w:color="auto"/>
                    <w:right w:val="none" w:sz="0" w:space="0" w:color="auto"/>
                  </w:divBdr>
                  <w:divsChild>
                    <w:div w:id="1690528792">
                      <w:marLeft w:val="0"/>
                      <w:marRight w:val="0"/>
                      <w:marTop w:val="0"/>
                      <w:marBottom w:val="0"/>
                      <w:divBdr>
                        <w:top w:val="none" w:sz="0" w:space="0" w:color="auto"/>
                        <w:left w:val="none" w:sz="0" w:space="0" w:color="auto"/>
                        <w:bottom w:val="none" w:sz="0" w:space="0" w:color="auto"/>
                        <w:right w:val="none" w:sz="0" w:space="0" w:color="auto"/>
                      </w:divBdr>
                      <w:divsChild>
                        <w:div w:id="1011024979">
                          <w:marLeft w:val="0"/>
                          <w:marRight w:val="0"/>
                          <w:marTop w:val="0"/>
                          <w:marBottom w:val="0"/>
                          <w:divBdr>
                            <w:top w:val="none" w:sz="0" w:space="0" w:color="auto"/>
                            <w:left w:val="none" w:sz="0" w:space="0" w:color="auto"/>
                            <w:bottom w:val="none" w:sz="0" w:space="0" w:color="auto"/>
                            <w:right w:val="none" w:sz="0" w:space="0" w:color="auto"/>
                          </w:divBdr>
                          <w:divsChild>
                            <w:div w:id="1109545274">
                              <w:marLeft w:val="0"/>
                              <w:marRight w:val="0"/>
                              <w:marTop w:val="0"/>
                              <w:marBottom w:val="0"/>
                              <w:divBdr>
                                <w:top w:val="none" w:sz="0" w:space="0" w:color="auto"/>
                                <w:left w:val="none" w:sz="0" w:space="0" w:color="auto"/>
                                <w:bottom w:val="none" w:sz="0" w:space="0" w:color="auto"/>
                                <w:right w:val="none" w:sz="0" w:space="0" w:color="auto"/>
                              </w:divBdr>
                              <w:divsChild>
                                <w:div w:id="1959023997">
                                  <w:marLeft w:val="0"/>
                                  <w:marRight w:val="0"/>
                                  <w:marTop w:val="0"/>
                                  <w:marBottom w:val="0"/>
                                  <w:divBdr>
                                    <w:top w:val="none" w:sz="0" w:space="0" w:color="auto"/>
                                    <w:left w:val="none" w:sz="0" w:space="0" w:color="auto"/>
                                    <w:bottom w:val="none" w:sz="0" w:space="0" w:color="auto"/>
                                    <w:right w:val="none" w:sz="0" w:space="0" w:color="auto"/>
                                  </w:divBdr>
                                  <w:divsChild>
                                    <w:div w:id="600720595">
                                      <w:marLeft w:val="0"/>
                                      <w:marRight w:val="0"/>
                                      <w:marTop w:val="0"/>
                                      <w:marBottom w:val="0"/>
                                      <w:divBdr>
                                        <w:top w:val="none" w:sz="0" w:space="0" w:color="auto"/>
                                        <w:left w:val="none" w:sz="0" w:space="0" w:color="auto"/>
                                        <w:bottom w:val="none" w:sz="0" w:space="0" w:color="auto"/>
                                        <w:right w:val="none" w:sz="0" w:space="0" w:color="auto"/>
                                      </w:divBdr>
                                      <w:divsChild>
                                        <w:div w:id="590040824">
                                          <w:marLeft w:val="0"/>
                                          <w:marRight w:val="0"/>
                                          <w:marTop w:val="0"/>
                                          <w:marBottom w:val="0"/>
                                          <w:divBdr>
                                            <w:top w:val="none" w:sz="0" w:space="0" w:color="auto"/>
                                            <w:left w:val="none" w:sz="0" w:space="0" w:color="auto"/>
                                            <w:bottom w:val="none" w:sz="0" w:space="0" w:color="auto"/>
                                            <w:right w:val="none" w:sz="0" w:space="0" w:color="auto"/>
                                          </w:divBdr>
                                          <w:divsChild>
                                            <w:div w:id="14339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998A8A5BC74BE4BE28DFC0A2D1F2A8"/>
        <w:category>
          <w:name w:val="General"/>
          <w:gallery w:val="placeholder"/>
        </w:category>
        <w:types>
          <w:type w:val="bbPlcHdr"/>
        </w:types>
        <w:behaviors>
          <w:behavior w:val="content"/>
        </w:behaviors>
        <w:guid w:val="{8E283C26-6841-44DF-ABF5-8A874A92D0C0}"/>
      </w:docPartPr>
      <w:docPartBody>
        <w:p w:rsidR="00327FC2" w:rsidRDefault="00835231" w:rsidP="00835231">
          <w:pPr>
            <w:pStyle w:val="3D998A8A5BC74BE4BE28DFC0A2D1F2A8"/>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5231"/>
    <w:rsid w:val="00327FC2"/>
    <w:rsid w:val="00835231"/>
    <w:rsid w:val="009912CE"/>
    <w:rsid w:val="00B52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998A8A5BC74BE4BE28DFC0A2D1F2A8">
    <w:name w:val="3D998A8A5BC74BE4BE28DFC0A2D1F2A8"/>
    <w:rsid w:val="008352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Manish Pandey</cp:lastModifiedBy>
  <cp:revision>12</cp:revision>
  <dcterms:created xsi:type="dcterms:W3CDTF">2025-09-12T16:12:00Z</dcterms:created>
  <dcterms:modified xsi:type="dcterms:W3CDTF">2026-01-27T05:43:00Z</dcterms:modified>
</cp:coreProperties>
</file>