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B44F3" w14:textId="77777777" w:rsidR="00034239" w:rsidRPr="00034239" w:rsidRDefault="00034239" w:rsidP="00034239">
      <w:pPr>
        <w:jc w:val="center"/>
        <w:rPr>
          <w:b/>
          <w:bCs/>
          <w:sz w:val="28"/>
          <w:szCs w:val="28"/>
        </w:rPr>
      </w:pPr>
      <w:r w:rsidRPr="00034239">
        <w:rPr>
          <w:b/>
          <w:bCs/>
          <w:sz w:val="28"/>
          <w:szCs w:val="28"/>
        </w:rPr>
        <w:t>Board of Trustee Meeting Minutes</w:t>
      </w:r>
    </w:p>
    <w:p w14:paraId="2980DDD1" w14:textId="2769DB2F" w:rsidR="00034239" w:rsidRPr="00034239" w:rsidRDefault="00034239" w:rsidP="00034239">
      <w:pPr>
        <w:jc w:val="center"/>
        <w:rPr>
          <w:b/>
          <w:bCs/>
          <w:sz w:val="28"/>
          <w:szCs w:val="28"/>
        </w:rPr>
      </w:pPr>
      <w:r>
        <w:rPr>
          <w:b/>
          <w:bCs/>
          <w:sz w:val="28"/>
          <w:szCs w:val="28"/>
        </w:rPr>
        <w:t>07-15</w:t>
      </w:r>
      <w:r w:rsidRPr="00034239">
        <w:rPr>
          <w:b/>
          <w:bCs/>
          <w:sz w:val="28"/>
          <w:szCs w:val="28"/>
        </w:rPr>
        <w:t>-2026</w:t>
      </w:r>
    </w:p>
    <w:p w14:paraId="41A292DB" w14:textId="4FCA75F7" w:rsidR="00990DF3" w:rsidRDefault="00034239" w:rsidP="00034239">
      <w:pPr>
        <w:jc w:val="center"/>
        <w:rPr>
          <w:b/>
          <w:bCs/>
          <w:sz w:val="28"/>
          <w:szCs w:val="28"/>
        </w:rPr>
      </w:pPr>
      <w:r w:rsidRPr="00034239">
        <w:rPr>
          <w:b/>
          <w:bCs/>
          <w:sz w:val="28"/>
          <w:szCs w:val="28"/>
        </w:rPr>
        <w:t>Attendance: Heather Bacci, Jim Gilbert, Matt Kretchmer Darin Woeppel, Larry Gilbert</w:t>
      </w:r>
    </w:p>
    <w:p w14:paraId="4469906B" w14:textId="000011F3" w:rsidR="00034239" w:rsidRDefault="00034239" w:rsidP="00034239"/>
    <w:p w14:paraId="082DD976" w14:textId="39219D2D" w:rsidR="00034239" w:rsidRDefault="00034239" w:rsidP="00034239">
      <w:pPr>
        <w:pStyle w:val="ListParagraph"/>
        <w:numPr>
          <w:ilvl w:val="0"/>
          <w:numId w:val="1"/>
        </w:numPr>
      </w:pPr>
      <w:r>
        <w:t>Grants</w:t>
      </w:r>
    </w:p>
    <w:p w14:paraId="27661340" w14:textId="637A1F6A" w:rsidR="00034239" w:rsidRDefault="00034239" w:rsidP="00034239">
      <w:pPr>
        <w:spacing w:after="0"/>
        <w:ind w:left="720"/>
      </w:pPr>
      <w:r>
        <w:t xml:space="preserve">-Makayla </w:t>
      </w:r>
      <w:proofErr w:type="spellStart"/>
      <w:r>
        <w:t>Kombol</w:t>
      </w:r>
      <w:proofErr w:type="spellEnd"/>
      <w:r>
        <w:t xml:space="preserve"> Wicker-Educational-Documentation Provided-Request $3,250</w:t>
      </w:r>
    </w:p>
    <w:p w14:paraId="163E93CA" w14:textId="77777777" w:rsidR="00034239" w:rsidRDefault="00034239" w:rsidP="00034239">
      <w:pPr>
        <w:spacing w:after="0"/>
        <w:ind w:left="1080" w:firstLine="360"/>
      </w:pPr>
    </w:p>
    <w:p w14:paraId="1E9AA79E" w14:textId="087F444A" w:rsidR="00034239" w:rsidRDefault="00034239" w:rsidP="00034239">
      <w:pPr>
        <w:spacing w:after="0"/>
        <w:ind w:left="1440"/>
      </w:pPr>
      <w:r>
        <w:t>Yay-Jim, Larry, Matt, Heather, Darin</w:t>
      </w:r>
    </w:p>
    <w:p w14:paraId="58EC74CE" w14:textId="3F266B5E" w:rsidR="00034239" w:rsidRDefault="00034239" w:rsidP="00034239">
      <w:pPr>
        <w:spacing w:after="0"/>
        <w:ind w:left="1440"/>
      </w:pPr>
      <w:r>
        <w:t>Nay-</w:t>
      </w:r>
    </w:p>
    <w:p w14:paraId="7C9A5005" w14:textId="77777777" w:rsidR="00034239" w:rsidRDefault="00034239" w:rsidP="00034239">
      <w:pPr>
        <w:spacing w:after="0"/>
        <w:ind w:left="1440"/>
      </w:pPr>
    </w:p>
    <w:p w14:paraId="5854F5D3" w14:textId="260A3862" w:rsidR="00034239" w:rsidRDefault="00034239" w:rsidP="00034239">
      <w:pPr>
        <w:spacing w:after="0"/>
        <w:ind w:left="720"/>
      </w:pPr>
      <w:r>
        <w:t>-Morgan</w:t>
      </w:r>
      <w:r w:rsidRPr="00034239">
        <w:t xml:space="preserve"> </w:t>
      </w:r>
      <w:r w:rsidRPr="00034239">
        <w:t>Hubbard-Educational-Documentation Provided-Request $3,250</w:t>
      </w:r>
    </w:p>
    <w:p w14:paraId="77303474" w14:textId="77777777" w:rsidR="00034239" w:rsidRDefault="00034239" w:rsidP="00034239">
      <w:pPr>
        <w:spacing w:after="0"/>
        <w:ind w:left="720"/>
      </w:pPr>
    </w:p>
    <w:p w14:paraId="082F19FD" w14:textId="4E67979D" w:rsidR="00034239" w:rsidRDefault="00034239" w:rsidP="00034239">
      <w:pPr>
        <w:spacing w:after="0"/>
        <w:ind w:left="720" w:firstLine="720"/>
      </w:pPr>
      <w:r>
        <w:t>Yay-Jim, Larry, Matt, Heather, Darin</w:t>
      </w:r>
    </w:p>
    <w:p w14:paraId="6B271FAD" w14:textId="44A027A2" w:rsidR="00034239" w:rsidRDefault="00034239" w:rsidP="00034239">
      <w:pPr>
        <w:spacing w:after="0"/>
        <w:ind w:left="720" w:firstLine="720"/>
      </w:pPr>
      <w:r>
        <w:t>Nay-</w:t>
      </w:r>
      <w:r>
        <w:t xml:space="preserve"> </w:t>
      </w:r>
    </w:p>
    <w:p w14:paraId="2F1097F4" w14:textId="77777777" w:rsidR="00034239" w:rsidRDefault="00034239" w:rsidP="00034239">
      <w:pPr>
        <w:spacing w:after="0"/>
        <w:ind w:left="720" w:firstLine="720"/>
      </w:pPr>
    </w:p>
    <w:p w14:paraId="2AC11A5A" w14:textId="57A31284" w:rsidR="00034239" w:rsidRDefault="00034239" w:rsidP="00034239">
      <w:pPr>
        <w:spacing w:after="0"/>
        <w:ind w:left="720"/>
      </w:pPr>
      <w:r>
        <w:t>-Isaiah Bergren-</w:t>
      </w:r>
      <w:r w:rsidRPr="00034239">
        <w:t>Educational-Documentation Provided-Request $3,250</w:t>
      </w:r>
    </w:p>
    <w:p w14:paraId="17F1BA3C" w14:textId="77777777" w:rsidR="00034239" w:rsidRDefault="00034239" w:rsidP="00034239">
      <w:pPr>
        <w:spacing w:after="0"/>
        <w:ind w:left="720"/>
      </w:pPr>
    </w:p>
    <w:p w14:paraId="5F33120D" w14:textId="77777777" w:rsidR="00034239" w:rsidRDefault="00034239" w:rsidP="00034239">
      <w:pPr>
        <w:spacing w:after="0"/>
        <w:ind w:left="720" w:firstLine="720"/>
      </w:pPr>
      <w:r>
        <w:t>Yay-Jim, Larry, Matt, Heather, Darin</w:t>
      </w:r>
    </w:p>
    <w:p w14:paraId="4477926F" w14:textId="454875E2" w:rsidR="00034239" w:rsidRDefault="00034239" w:rsidP="00034239">
      <w:pPr>
        <w:spacing w:after="0"/>
        <w:ind w:left="720" w:firstLine="720"/>
      </w:pPr>
      <w:r>
        <w:t>Nay-</w:t>
      </w:r>
    </w:p>
    <w:p w14:paraId="37D69280" w14:textId="77777777" w:rsidR="00034239" w:rsidRDefault="00034239" w:rsidP="00034239">
      <w:pPr>
        <w:spacing w:after="0"/>
        <w:ind w:left="720" w:firstLine="720"/>
      </w:pPr>
    </w:p>
    <w:p w14:paraId="66EA3CDE" w14:textId="04C5479C" w:rsidR="00034239" w:rsidRDefault="00034239" w:rsidP="00034239">
      <w:pPr>
        <w:spacing w:after="0"/>
        <w:ind w:left="720"/>
      </w:pPr>
      <w:r>
        <w:t>-Tirzah Bergren-</w:t>
      </w:r>
      <w:r w:rsidRPr="00034239">
        <w:t xml:space="preserve"> </w:t>
      </w:r>
      <w:r w:rsidRPr="00034239">
        <w:t>Educational-</w:t>
      </w:r>
      <w:r>
        <w:t xml:space="preserve">No Application submitted, but was </w:t>
      </w:r>
      <w:r w:rsidRPr="00034239">
        <w:t>Documentation Provided-Request $3,250</w:t>
      </w:r>
    </w:p>
    <w:p w14:paraId="31F0C9E6" w14:textId="77777777" w:rsidR="00034239" w:rsidRDefault="00034239" w:rsidP="00034239">
      <w:pPr>
        <w:spacing w:after="0"/>
        <w:ind w:left="720"/>
      </w:pPr>
    </w:p>
    <w:p w14:paraId="6E728427" w14:textId="42DD9D60" w:rsidR="00034239" w:rsidRDefault="00034239" w:rsidP="00034239">
      <w:pPr>
        <w:spacing w:after="0"/>
        <w:ind w:left="720"/>
      </w:pPr>
      <w:r>
        <w:tab/>
        <w:t xml:space="preserve">The Board discussed the missing application. We were in unanimous agreement that the grant cannot be issued without the missing application, which we require of all applicants. Heather has already responded to Tirzah’s email submission by letting her know that she will need to complete the application and providing her with the link to the trust website so that she may access the application. </w:t>
      </w:r>
    </w:p>
    <w:p w14:paraId="024AC6A2" w14:textId="77777777" w:rsidR="00034239" w:rsidRDefault="00034239" w:rsidP="00034239">
      <w:pPr>
        <w:spacing w:after="0"/>
        <w:ind w:left="720"/>
      </w:pPr>
    </w:p>
    <w:p w14:paraId="305986C0" w14:textId="0FABB851" w:rsidR="00034239" w:rsidRDefault="00034239" w:rsidP="00034239">
      <w:pPr>
        <w:spacing w:after="0"/>
        <w:ind w:left="720"/>
      </w:pPr>
      <w:r>
        <w:t xml:space="preserve">Grant was approved contingent upon receipt of the completed application. </w:t>
      </w:r>
    </w:p>
    <w:p w14:paraId="4210C5FB" w14:textId="77777777" w:rsidR="00034239" w:rsidRDefault="00034239" w:rsidP="00034239">
      <w:pPr>
        <w:spacing w:after="0"/>
        <w:ind w:left="720"/>
      </w:pPr>
    </w:p>
    <w:p w14:paraId="6DB11974" w14:textId="77777777" w:rsidR="00034239" w:rsidRDefault="00034239" w:rsidP="00034239">
      <w:pPr>
        <w:spacing w:after="0"/>
        <w:ind w:left="720" w:firstLine="720"/>
      </w:pPr>
      <w:r>
        <w:t>Yay-Jim, Larry, Matt, Heather, Darin</w:t>
      </w:r>
    </w:p>
    <w:p w14:paraId="36B3F3D3" w14:textId="3E2A70C0" w:rsidR="00034239" w:rsidRDefault="00034239" w:rsidP="00034239">
      <w:pPr>
        <w:spacing w:after="0"/>
        <w:ind w:left="720" w:firstLine="720"/>
      </w:pPr>
      <w:r>
        <w:t>Nay-</w:t>
      </w:r>
    </w:p>
    <w:p w14:paraId="00653CEE" w14:textId="77777777" w:rsidR="00034239" w:rsidRDefault="00034239" w:rsidP="00034239">
      <w:pPr>
        <w:spacing w:after="0"/>
        <w:ind w:left="720" w:firstLine="720"/>
      </w:pPr>
    </w:p>
    <w:p w14:paraId="79251BB2" w14:textId="77777777" w:rsidR="00034239" w:rsidRDefault="00034239" w:rsidP="00034239">
      <w:pPr>
        <w:spacing w:after="0"/>
        <w:ind w:left="720" w:firstLine="720"/>
      </w:pPr>
    </w:p>
    <w:p w14:paraId="035EEEEA" w14:textId="524AAAB2" w:rsidR="00034239" w:rsidRDefault="00034239" w:rsidP="00034239">
      <w:pPr>
        <w:pStyle w:val="ListParagraph"/>
        <w:numPr>
          <w:ilvl w:val="0"/>
          <w:numId w:val="1"/>
        </w:numPr>
        <w:spacing w:after="0"/>
      </w:pPr>
      <w:r>
        <w:t>Tuition Increases/Should we increase grant amount in 2027?</w:t>
      </w:r>
    </w:p>
    <w:p w14:paraId="67C956CF" w14:textId="77777777" w:rsidR="00034239" w:rsidRDefault="00034239" w:rsidP="00034239">
      <w:pPr>
        <w:spacing w:after="0"/>
      </w:pPr>
    </w:p>
    <w:p w14:paraId="6D98326E" w14:textId="525CACCB" w:rsidR="00034239" w:rsidRDefault="00034239" w:rsidP="00034239">
      <w:pPr>
        <w:spacing w:after="0"/>
        <w:ind w:firstLine="720"/>
      </w:pPr>
      <w:r>
        <w:t xml:space="preserve">Heather provided the following information obtained from online. </w:t>
      </w:r>
    </w:p>
    <w:p w14:paraId="5017A651" w14:textId="77777777" w:rsidR="00034239" w:rsidRDefault="00034239" w:rsidP="00034239">
      <w:pPr>
        <w:spacing w:after="0"/>
      </w:pPr>
    </w:p>
    <w:p w14:paraId="27155DF8" w14:textId="77777777" w:rsidR="00034239" w:rsidRDefault="00034239" w:rsidP="00034239">
      <w:pPr>
        <w:spacing w:after="0"/>
        <w:ind w:left="720"/>
      </w:pPr>
      <w:r>
        <w:t>Annual Tuition Growth Over the Years</w:t>
      </w:r>
    </w:p>
    <w:p w14:paraId="79C2B866" w14:textId="77777777" w:rsidR="00034239" w:rsidRDefault="00034239" w:rsidP="00034239">
      <w:pPr>
        <w:spacing w:after="0"/>
        <w:ind w:left="720"/>
      </w:pPr>
      <w:r>
        <w:t>Track public college tuition growth from the 1980-81 academic year to 2024-25 with the chart below.</w:t>
      </w:r>
    </w:p>
    <w:p w14:paraId="0A716696" w14:textId="77777777" w:rsidR="00034239" w:rsidRDefault="00034239" w:rsidP="00034239">
      <w:pPr>
        <w:spacing w:after="0"/>
      </w:pPr>
    </w:p>
    <w:p w14:paraId="4B07917C" w14:textId="3E20C6A4" w:rsidR="00034239" w:rsidRDefault="00034239" w:rsidP="00034239">
      <w:pPr>
        <w:spacing w:after="0"/>
        <w:ind w:left="1440"/>
      </w:pPr>
      <w:r>
        <w:t>ACADEMIC YEAR    UNADJUSTED TUITION GROWTH</w:t>
      </w:r>
    </w:p>
    <w:p w14:paraId="7C651CB5" w14:textId="77777777" w:rsidR="00034239" w:rsidRDefault="00034239" w:rsidP="00034239">
      <w:pPr>
        <w:spacing w:after="0"/>
        <w:ind w:left="1440"/>
      </w:pPr>
      <w:r>
        <w:t>2024-25</w:t>
      </w:r>
    </w:p>
    <w:p w14:paraId="4E0B43B7" w14:textId="77777777" w:rsidR="00034239" w:rsidRDefault="00034239" w:rsidP="00034239">
      <w:pPr>
        <w:spacing w:after="0"/>
        <w:ind w:left="1440"/>
      </w:pPr>
      <w:r>
        <w:t>3.1%</w:t>
      </w:r>
    </w:p>
    <w:p w14:paraId="213195FB" w14:textId="77777777" w:rsidR="00034239" w:rsidRDefault="00034239" w:rsidP="00034239">
      <w:pPr>
        <w:spacing w:after="0"/>
        <w:ind w:left="1440"/>
      </w:pPr>
      <w:r>
        <w:t>2023-24</w:t>
      </w:r>
    </w:p>
    <w:p w14:paraId="06537124" w14:textId="77777777" w:rsidR="00034239" w:rsidRDefault="00034239" w:rsidP="00034239">
      <w:pPr>
        <w:spacing w:after="0"/>
        <w:ind w:left="1440"/>
      </w:pPr>
      <w:r>
        <w:t>2.9%</w:t>
      </w:r>
    </w:p>
    <w:p w14:paraId="4A2812F9" w14:textId="77777777" w:rsidR="00034239" w:rsidRDefault="00034239" w:rsidP="00034239">
      <w:pPr>
        <w:spacing w:after="0"/>
        <w:ind w:left="1440"/>
      </w:pPr>
      <w:r>
        <w:t>2022-23</w:t>
      </w:r>
    </w:p>
    <w:p w14:paraId="7E6CAA54" w14:textId="77777777" w:rsidR="00034239" w:rsidRDefault="00034239" w:rsidP="00034239">
      <w:pPr>
        <w:spacing w:after="0"/>
        <w:ind w:left="1440"/>
      </w:pPr>
      <w:r>
        <w:t>1.60%</w:t>
      </w:r>
    </w:p>
    <w:p w14:paraId="29CF4A7C" w14:textId="77777777" w:rsidR="00034239" w:rsidRDefault="00034239" w:rsidP="00034239">
      <w:pPr>
        <w:spacing w:after="0"/>
        <w:ind w:left="1440"/>
      </w:pPr>
      <w:r>
        <w:t>2021-22</w:t>
      </w:r>
    </w:p>
    <w:p w14:paraId="1069352A" w14:textId="77777777" w:rsidR="00034239" w:rsidRDefault="00034239" w:rsidP="00034239">
      <w:pPr>
        <w:spacing w:after="0"/>
        <w:ind w:left="1440"/>
      </w:pPr>
      <w:r>
        <w:t>2.37%</w:t>
      </w:r>
    </w:p>
    <w:p w14:paraId="2F2955FD" w14:textId="77777777" w:rsidR="00034239" w:rsidRDefault="00034239" w:rsidP="00034239">
      <w:pPr>
        <w:spacing w:after="0"/>
        <w:ind w:left="1440"/>
      </w:pPr>
      <w:r>
        <w:t>2020-21</w:t>
      </w:r>
    </w:p>
    <w:p w14:paraId="5FD49A8F" w14:textId="77777777" w:rsidR="00034239" w:rsidRDefault="00034239" w:rsidP="00034239">
      <w:pPr>
        <w:spacing w:after="0"/>
        <w:ind w:left="1440"/>
      </w:pPr>
      <w:r>
        <w:t>0.27%</w:t>
      </w:r>
    </w:p>
    <w:p w14:paraId="7A3A3D02" w14:textId="77777777" w:rsidR="00034239" w:rsidRDefault="00034239" w:rsidP="00034239">
      <w:pPr>
        <w:spacing w:after="0"/>
        <w:ind w:left="1440"/>
      </w:pPr>
      <w:r>
        <w:t>2019-20</w:t>
      </w:r>
    </w:p>
    <w:p w14:paraId="2743667F" w14:textId="77777777" w:rsidR="00034239" w:rsidRDefault="00034239" w:rsidP="00034239">
      <w:pPr>
        <w:spacing w:after="0"/>
        <w:ind w:left="1440"/>
      </w:pPr>
      <w:r>
        <w:t>1.49%</w:t>
      </w:r>
    </w:p>
    <w:p w14:paraId="5FBFD7D9" w14:textId="77777777" w:rsidR="00034239" w:rsidRDefault="00034239" w:rsidP="00034239">
      <w:pPr>
        <w:spacing w:after="0"/>
        <w:ind w:left="1440"/>
      </w:pPr>
      <w:r>
        <w:t>2018-19</w:t>
      </w:r>
    </w:p>
    <w:p w14:paraId="5DC88522" w14:textId="77777777" w:rsidR="00034239" w:rsidRDefault="00034239" w:rsidP="00034239">
      <w:pPr>
        <w:spacing w:after="0"/>
        <w:ind w:left="1440"/>
      </w:pPr>
      <w:r>
        <w:t>1.94%</w:t>
      </w:r>
    </w:p>
    <w:p w14:paraId="70A8595E" w14:textId="77777777" w:rsidR="00034239" w:rsidRDefault="00034239" w:rsidP="00034239">
      <w:pPr>
        <w:spacing w:after="0"/>
        <w:ind w:left="1440"/>
      </w:pPr>
      <w:r>
        <w:t>2017-18</w:t>
      </w:r>
    </w:p>
    <w:p w14:paraId="05795A32" w14:textId="77777777" w:rsidR="00034239" w:rsidRDefault="00034239" w:rsidP="00034239">
      <w:pPr>
        <w:spacing w:after="0"/>
        <w:ind w:left="1440"/>
      </w:pPr>
      <w:r>
        <w:t>2.63%</w:t>
      </w:r>
    </w:p>
    <w:p w14:paraId="1B85EB23" w14:textId="77777777" w:rsidR="00034239" w:rsidRDefault="00034239" w:rsidP="00034239">
      <w:pPr>
        <w:spacing w:after="0"/>
        <w:ind w:left="1440"/>
      </w:pPr>
      <w:r>
        <w:t>2016-17</w:t>
      </w:r>
    </w:p>
    <w:p w14:paraId="7B9A4F50" w14:textId="77777777" w:rsidR="00034239" w:rsidRDefault="00034239" w:rsidP="00034239">
      <w:pPr>
        <w:spacing w:after="0"/>
        <w:ind w:left="1440"/>
      </w:pPr>
      <w:r>
        <w:t>0.30%</w:t>
      </w:r>
    </w:p>
    <w:p w14:paraId="69E1B9B4" w14:textId="77777777" w:rsidR="00034239" w:rsidRDefault="00034239" w:rsidP="00034239">
      <w:pPr>
        <w:spacing w:after="0"/>
        <w:ind w:left="1440"/>
      </w:pPr>
      <w:r>
        <w:t>2015-16</w:t>
      </w:r>
    </w:p>
    <w:p w14:paraId="139E2228" w14:textId="77777777" w:rsidR="00034239" w:rsidRDefault="00034239" w:rsidP="00034239">
      <w:pPr>
        <w:spacing w:after="0"/>
        <w:ind w:left="1440"/>
      </w:pPr>
      <w:r>
        <w:t>2.75%</w:t>
      </w:r>
    </w:p>
    <w:p w14:paraId="5E7017FD" w14:textId="3491245C" w:rsidR="00034239" w:rsidRDefault="00034239" w:rsidP="00034239">
      <w:pPr>
        <w:spacing w:after="0"/>
        <w:ind w:left="1440"/>
      </w:pPr>
      <w:r>
        <w:t>Source: Educationdata.org, Collegeboard.com</w:t>
      </w:r>
    </w:p>
    <w:p w14:paraId="49255809" w14:textId="44B727DF" w:rsidR="00034239" w:rsidRDefault="00034239" w:rsidP="00034239">
      <w:pPr>
        <w:spacing w:after="0"/>
      </w:pPr>
      <w:r>
        <w:tab/>
      </w:r>
    </w:p>
    <w:p w14:paraId="1D2895D2" w14:textId="07A04703" w:rsidR="00034239" w:rsidRDefault="00034239" w:rsidP="00034239">
      <w:pPr>
        <w:spacing w:after="0"/>
        <w:ind w:left="720"/>
      </w:pPr>
      <w:r>
        <w:t>Our last grant increase was in 2022. If we calculate the amounts of increase since that time, the total percent of increases equates to 9.97% (2.37+1.6+2.9+3.1). These figures cover through 2025 and do not account for 2026. If we consider the 2024-2025 increase to be representative of the increase in 2025-2026, we will calculate an addition 3% bringing the total increase since last grant increase to 12.97%.</w:t>
      </w:r>
    </w:p>
    <w:p w14:paraId="468735D9" w14:textId="77777777" w:rsidR="00034239" w:rsidRDefault="00034239" w:rsidP="00034239">
      <w:pPr>
        <w:spacing w:after="0"/>
      </w:pPr>
    </w:p>
    <w:p w14:paraId="71A354E4" w14:textId="4E1CF1D0" w:rsidR="00034239" w:rsidRDefault="00034239" w:rsidP="00034239">
      <w:pPr>
        <w:spacing w:after="0"/>
        <w:ind w:left="720"/>
      </w:pPr>
      <w:r>
        <w:lastRenderedPageBreak/>
        <w:t>We discussed that these figures are all in arrear and do not fully compensate the recipients for the upcoming years. We agreed that we will consider an annual increase of 3% for the years 2026-27, 2027-28 and 2027-29. This would bring that total inflation increased to 21.97%. Calculating this percentage by the amount of the current grant ($3,250 x 21.97% =$3,964). The board discussed the amount to increase grants in 2027. Matt proposed $4,000, Larry proposed $3,800. A vote was taken on the $4,000 suggestion as follows….</w:t>
      </w:r>
    </w:p>
    <w:p w14:paraId="6C45ACA8" w14:textId="77777777" w:rsidR="00034239" w:rsidRDefault="00034239" w:rsidP="00034239">
      <w:pPr>
        <w:spacing w:after="0"/>
        <w:ind w:left="720"/>
      </w:pPr>
    </w:p>
    <w:p w14:paraId="529D6330" w14:textId="10568C33" w:rsidR="00034239" w:rsidRDefault="00034239" w:rsidP="00034239">
      <w:pPr>
        <w:spacing w:after="0"/>
        <w:ind w:left="720" w:firstLine="720"/>
      </w:pPr>
      <w:r>
        <w:t>Yay-Jim, Matt, Heather, Darin</w:t>
      </w:r>
    </w:p>
    <w:p w14:paraId="7AF31A7A" w14:textId="77777777" w:rsidR="00034239" w:rsidRDefault="00034239" w:rsidP="00034239">
      <w:pPr>
        <w:spacing w:after="0"/>
        <w:ind w:left="720" w:firstLine="720"/>
      </w:pPr>
      <w:r>
        <w:t>Nay-</w:t>
      </w:r>
    </w:p>
    <w:p w14:paraId="688EBD56" w14:textId="3D05BCAC" w:rsidR="00034239" w:rsidRDefault="00034239" w:rsidP="00034239">
      <w:pPr>
        <w:spacing w:after="0"/>
        <w:ind w:left="720" w:firstLine="720"/>
      </w:pPr>
      <w:r>
        <w:t>Sustain-Larry</w:t>
      </w:r>
    </w:p>
    <w:p w14:paraId="1D4ABC89" w14:textId="77777777" w:rsidR="00034239" w:rsidRDefault="00034239" w:rsidP="00034239">
      <w:pPr>
        <w:spacing w:after="0"/>
        <w:ind w:left="720"/>
      </w:pPr>
    </w:p>
    <w:p w14:paraId="54E5D33F" w14:textId="5B831080" w:rsidR="00034239" w:rsidRDefault="00034239" w:rsidP="00034239">
      <w:pPr>
        <w:spacing w:after="0"/>
        <w:ind w:left="720"/>
      </w:pPr>
      <w:r>
        <w:t xml:space="preserve">The board will increase the grant amounts to $4,000 for educational and entrepreneurial expenses incurred in the year starting 2027. All grant request for expenses incurred in the years prior to 2021 will remain at $2,500 and incurred for years 2022-2026 will remain at $3,250. </w:t>
      </w:r>
    </w:p>
    <w:p w14:paraId="2CE9F82F" w14:textId="77777777" w:rsidR="00034239" w:rsidRDefault="00034239" w:rsidP="00034239">
      <w:pPr>
        <w:spacing w:after="0"/>
        <w:ind w:left="720"/>
      </w:pPr>
    </w:p>
    <w:p w14:paraId="6D2D0D41" w14:textId="5EDE429C" w:rsidR="00034239" w:rsidRDefault="00034239" w:rsidP="00034239">
      <w:pPr>
        <w:spacing w:after="0"/>
        <w:ind w:left="720"/>
      </w:pPr>
      <w:r>
        <w:t xml:space="preserve">We will publish this increase on the trust website and on the grant application form. </w:t>
      </w:r>
    </w:p>
    <w:p w14:paraId="2C577247" w14:textId="77777777" w:rsidR="00034239" w:rsidRDefault="00034239" w:rsidP="00034239">
      <w:pPr>
        <w:spacing w:after="0"/>
      </w:pPr>
    </w:p>
    <w:p w14:paraId="58D53426" w14:textId="77777777" w:rsidR="00034239" w:rsidRDefault="00034239" w:rsidP="00034239">
      <w:pPr>
        <w:spacing w:after="0"/>
      </w:pPr>
    </w:p>
    <w:p w14:paraId="267B8587" w14:textId="313D98AF" w:rsidR="00034239" w:rsidRDefault="00034239" w:rsidP="00F6586C">
      <w:pPr>
        <w:pStyle w:val="ListParagraph"/>
        <w:numPr>
          <w:ilvl w:val="0"/>
          <w:numId w:val="1"/>
        </w:numPr>
        <w:spacing w:after="0"/>
      </w:pPr>
      <w:r>
        <w:t>Contact List</w:t>
      </w:r>
    </w:p>
    <w:p w14:paraId="3E143F14" w14:textId="77777777" w:rsidR="00034239" w:rsidRDefault="00034239" w:rsidP="00034239">
      <w:pPr>
        <w:spacing w:after="0"/>
      </w:pPr>
    </w:p>
    <w:p w14:paraId="0F7E35B0" w14:textId="16CE66BD" w:rsidR="00034239" w:rsidRDefault="00034239" w:rsidP="00034239">
      <w:pPr>
        <w:spacing w:after="0"/>
        <w:ind w:left="720"/>
      </w:pPr>
      <w:r>
        <w:t xml:space="preserve">We still need to update our contact list. Heather shared discussion she had with Jim regarding the best means to go about this. We will likely do an email blast to those beneficiaries that we have emails for and will mail a post card to those we do not have email addresses. We will ask them to call Heather to see that our data bases regarding each family is up to date. We will postpone doing this until October 2026 to allow better timing for Heather to handle the incoming calls. </w:t>
      </w:r>
    </w:p>
    <w:p w14:paraId="74786607" w14:textId="77777777" w:rsidR="00034239" w:rsidRDefault="00034239" w:rsidP="00034239">
      <w:pPr>
        <w:spacing w:after="0"/>
        <w:ind w:left="720"/>
      </w:pPr>
    </w:p>
    <w:p w14:paraId="7540BECA" w14:textId="1F2E5EC0" w:rsidR="00034239" w:rsidRDefault="00034239" w:rsidP="00034239">
      <w:pPr>
        <w:spacing w:after="0"/>
        <w:ind w:left="720"/>
      </w:pPr>
      <w:r>
        <w:t xml:space="preserve">Heather also asked the board members to give thought as to whether there is a better, more efficient way to go about this. We will discuss during our next board meeting and will proceed thereafter. </w:t>
      </w:r>
    </w:p>
    <w:p w14:paraId="7B09B8CE" w14:textId="77777777" w:rsidR="00034239" w:rsidRDefault="00034239" w:rsidP="00034239">
      <w:pPr>
        <w:spacing w:after="0"/>
        <w:ind w:left="720"/>
      </w:pPr>
    </w:p>
    <w:p w14:paraId="0DFBFC17" w14:textId="77777777" w:rsidR="00034239" w:rsidRDefault="00034239" w:rsidP="00034239">
      <w:pPr>
        <w:spacing w:after="0"/>
        <w:ind w:left="720"/>
      </w:pPr>
    </w:p>
    <w:p w14:paraId="0382077F" w14:textId="3CF192FB" w:rsidR="00034239" w:rsidRPr="00034239" w:rsidRDefault="00034239" w:rsidP="00F6586C">
      <w:pPr>
        <w:pStyle w:val="ListParagraph"/>
        <w:numPr>
          <w:ilvl w:val="0"/>
          <w:numId w:val="1"/>
        </w:numPr>
        <w:spacing w:after="0"/>
        <w:ind w:left="1080"/>
      </w:pPr>
      <w:r>
        <w:t>Next Board Meeting- October 2026</w:t>
      </w:r>
    </w:p>
    <w:sectPr w:rsidR="00034239" w:rsidRPr="00034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3D0220"/>
    <w:multiLevelType w:val="hybridMultilevel"/>
    <w:tmpl w:val="5C72F82A"/>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6210A6"/>
    <w:multiLevelType w:val="hybridMultilevel"/>
    <w:tmpl w:val="14CE7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1052186">
    <w:abstractNumId w:val="1"/>
  </w:num>
  <w:num w:numId="2" w16cid:durableId="1172648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39"/>
    <w:rsid w:val="00010FBE"/>
    <w:rsid w:val="00034239"/>
    <w:rsid w:val="00595F94"/>
    <w:rsid w:val="00717C29"/>
    <w:rsid w:val="00990DF3"/>
    <w:rsid w:val="00D9430F"/>
    <w:rsid w:val="00E827B5"/>
    <w:rsid w:val="00F65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E31B6"/>
  <w15:chartTrackingRefBased/>
  <w15:docId w15:val="{E5BD70E2-2652-44B1-AB67-0FAFD50E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2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42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42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42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42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42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2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2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2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2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42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42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42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42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42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2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2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239"/>
    <w:rPr>
      <w:rFonts w:eastAsiaTheme="majorEastAsia" w:cstheme="majorBidi"/>
      <w:color w:val="272727" w:themeColor="text1" w:themeTint="D8"/>
    </w:rPr>
  </w:style>
  <w:style w:type="paragraph" w:styleId="Title">
    <w:name w:val="Title"/>
    <w:basedOn w:val="Normal"/>
    <w:next w:val="Normal"/>
    <w:link w:val="TitleChar"/>
    <w:uiPriority w:val="10"/>
    <w:qFormat/>
    <w:rsid w:val="00034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2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2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239"/>
    <w:pPr>
      <w:spacing w:before="160"/>
      <w:jc w:val="center"/>
    </w:pPr>
    <w:rPr>
      <w:i/>
      <w:iCs/>
      <w:color w:val="404040" w:themeColor="text1" w:themeTint="BF"/>
    </w:rPr>
  </w:style>
  <w:style w:type="character" w:customStyle="1" w:styleId="QuoteChar">
    <w:name w:val="Quote Char"/>
    <w:basedOn w:val="DefaultParagraphFont"/>
    <w:link w:val="Quote"/>
    <w:uiPriority w:val="29"/>
    <w:rsid w:val="00034239"/>
    <w:rPr>
      <w:i/>
      <w:iCs/>
      <w:color w:val="404040" w:themeColor="text1" w:themeTint="BF"/>
    </w:rPr>
  </w:style>
  <w:style w:type="paragraph" w:styleId="ListParagraph">
    <w:name w:val="List Paragraph"/>
    <w:basedOn w:val="Normal"/>
    <w:uiPriority w:val="34"/>
    <w:qFormat/>
    <w:rsid w:val="00034239"/>
    <w:pPr>
      <w:ind w:left="720"/>
      <w:contextualSpacing/>
    </w:pPr>
  </w:style>
  <w:style w:type="character" w:styleId="IntenseEmphasis">
    <w:name w:val="Intense Emphasis"/>
    <w:basedOn w:val="DefaultParagraphFont"/>
    <w:uiPriority w:val="21"/>
    <w:qFormat/>
    <w:rsid w:val="00034239"/>
    <w:rPr>
      <w:i/>
      <w:iCs/>
      <w:color w:val="2F5496" w:themeColor="accent1" w:themeShade="BF"/>
    </w:rPr>
  </w:style>
  <w:style w:type="paragraph" w:styleId="IntenseQuote">
    <w:name w:val="Intense Quote"/>
    <w:basedOn w:val="Normal"/>
    <w:next w:val="Normal"/>
    <w:link w:val="IntenseQuoteChar"/>
    <w:uiPriority w:val="30"/>
    <w:qFormat/>
    <w:rsid w:val="000342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4239"/>
    <w:rPr>
      <w:i/>
      <w:iCs/>
      <w:color w:val="2F5496" w:themeColor="accent1" w:themeShade="BF"/>
    </w:rPr>
  </w:style>
  <w:style w:type="character" w:styleId="IntenseReference">
    <w:name w:val="Intense Reference"/>
    <w:basedOn w:val="DefaultParagraphFont"/>
    <w:uiPriority w:val="32"/>
    <w:qFormat/>
    <w:rsid w:val="000342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Bacci</dc:creator>
  <cp:keywords/>
  <dc:description/>
  <cp:lastModifiedBy>Heather Bacci</cp:lastModifiedBy>
  <cp:revision>2</cp:revision>
  <cp:lastPrinted>2026-07-17T01:27:00Z</cp:lastPrinted>
  <dcterms:created xsi:type="dcterms:W3CDTF">2026-07-17T00:47:00Z</dcterms:created>
  <dcterms:modified xsi:type="dcterms:W3CDTF">2026-07-17T01:28:00Z</dcterms:modified>
</cp:coreProperties>
</file>