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To be sent to yout states dept. of justice/law enforcement training email or printed and mailed.</w:t>
      </w:r>
    </w:p>
    <w:p>
      <w:pPr>
        <w:pStyle w:val="Heading1"/>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0" w:name="constitutional-and-statutory-training-st"/>
      <w:bookmarkEnd w:id="0"/>
      <w:r>
        <w:rPr>
          <w:rFonts w:ascii="pplxSerif;pplxSerif;ui-serif;Georgia;Cambria;serif" w:hAnsi="pplxSerif;pplxSerif;ui-serif;Georgia;Cambria;serif"/>
          <w:b/>
          <w:i w:val="false"/>
          <w:caps w:val="false"/>
          <w:smallCaps w:val="false"/>
          <w:color w:val="27251E"/>
          <w:spacing w:val="0"/>
          <w:sz w:val="24"/>
        </w:rPr>
        <w:t>Constitutional and Statutory Training Standard</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 w:name="nonresident-and-external-registration-co"/>
      <w:bookmarkEnd w:id="1"/>
      <w:r>
        <w:rPr>
          <w:rFonts w:ascii="pplxSerif;pplxSerif;ui-serif;Georgia;Cambria;serif" w:hAnsi="pplxSerif;pplxSerif;ui-serif;Georgia;Cambria;serif"/>
          <w:b/>
          <w:i w:val="false"/>
          <w:caps w:val="false"/>
          <w:smallCaps w:val="false"/>
          <w:color w:val="27251E"/>
          <w:spacing w:val="0"/>
          <w:sz w:val="24"/>
        </w:rPr>
        <w:t>Nonresident and External Registration, Constitutional Traffic Enforcement, Property Protection, and Neutral Professional Communication</w:t>
      </w:r>
    </w:p>
    <w:p>
      <w:pPr>
        <w:pStyle w:val="BodyText"/>
        <w:widowControl/>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For law-enforcement agencies, transportation departments, prosecutors, dispatch personnel, supervisors, and legal advisors.</w:t>
      </w:r>
    </w:p>
    <w:p>
      <w:pPr>
        <w:pStyle w:val="Heading2"/>
        <w:widowControl/>
        <w:bidi w:val="0"/>
        <w:spacing w:lineRule="auto" w:line="30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2" w:name="purpose"/>
      <w:bookmarkEnd w:id="2"/>
      <w:r>
        <w:rPr>
          <w:rFonts w:ascii="pplxSerif;pplxSerif;ui-serif;Georgia;Cambria;serif" w:hAnsi="pplxSerif;pplxSerif;ui-serif;Georgia;Cambria;serif"/>
          <w:b/>
          <w:i w:val="false"/>
          <w:caps w:val="false"/>
          <w:smallCaps w:val="false"/>
          <w:color w:val="27251E"/>
          <w:spacing w:val="0"/>
          <w:sz w:val="24"/>
        </w:rPr>
        <w:t>Purpose</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This training establishes a lawful, constitutional, and professional approach to vehicle stops involving:</w:t>
      </w:r>
    </w:p>
    <w:p>
      <w:pPr>
        <w:pStyle w:val="BodyText"/>
        <w:widowControl/>
        <w:numPr>
          <w:ilvl w:val="0"/>
          <w:numId w:val="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Nonresident operators.</w:t>
      </w:r>
    </w:p>
    <w:p>
      <w:pPr>
        <w:pStyle w:val="BodyText"/>
        <w:widowControl/>
        <w:numPr>
          <w:ilvl w:val="0"/>
          <w:numId w:val="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Vehicles registered in another jurisdiction.</w:t>
      </w:r>
    </w:p>
    <w:p>
      <w:pPr>
        <w:pStyle w:val="BodyText"/>
        <w:widowControl/>
        <w:numPr>
          <w:ilvl w:val="0"/>
          <w:numId w:val="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Foreign or external registration.</w:t>
      </w:r>
    </w:p>
    <w:p>
      <w:pPr>
        <w:pStyle w:val="BodyText"/>
        <w:widowControl/>
        <w:numPr>
          <w:ilvl w:val="0"/>
          <w:numId w:val="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Reciprocity or registration-exemption claims.</w:t>
      </w:r>
    </w:p>
    <w:p>
      <w:pPr>
        <w:pStyle w:val="BodyText"/>
        <w:widowControl/>
        <w:numPr>
          <w:ilvl w:val="0"/>
          <w:numId w:val="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Allegations of fictitious registration or fictitious plates.</w:t>
      </w:r>
    </w:p>
    <w:p>
      <w:pPr>
        <w:pStyle w:val="BodyText"/>
        <w:widowControl/>
        <w:numPr>
          <w:ilvl w:val="0"/>
          <w:numId w:val="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Claims concerning private or noncommercial travel.</w:t>
      </w:r>
    </w:p>
    <w:p>
      <w:pPr>
        <w:pStyle w:val="BodyText"/>
        <w:widowControl/>
        <w:numPr>
          <w:ilvl w:val="0"/>
          <w:numId w:val="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Towing, impoundment, plate removal, and other property seizures.</w:t>
      </w:r>
    </w:p>
    <w:p>
      <w:pPr>
        <w:pStyle w:val="BodyText"/>
        <w:widowControl/>
        <w:numPr>
          <w:ilvl w:val="0"/>
          <w:numId w:val="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Use of labels such as “sovereign citizen,” “constitutional traveler,” or similar terminology.</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purpose is not to exempt anyone from lawful traffic, licensing, insurance, equipment, safety, or registration laws. The purpose is to ensure that enforcement is based on the actual statute, its stated elements, applicable exemptions, objective facts, and constitutional limits. A motorist’s unconventional legal language does not create an exemption; likewise, an officer’s unfamiliarity with external documents or legal claims does not create a violation.</w:t>
      </w:r>
    </w:p>
    <w:p>
      <w:pPr>
        <w:pStyle w:val="HorizontalLine"/>
        <w:widowControl/>
        <w:bidi w:val="0"/>
        <w:spacing w:lineRule="auto" w:line="389" w:before="240" w:after="140"/>
        <w:ind w:hanging="0"/>
        <w:jc w:val="start"/>
        <w:rPr/>
      </w:pPr>
      <w:r>
        <w:rPr/>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3" w:name="core-rule"/>
      <w:bookmarkEnd w:id="3"/>
      <w:r>
        <w:rPr>
          <w:rFonts w:ascii="pplxSerif;pplxSerif;ui-serif;Georgia;Cambria;serif" w:hAnsi="pplxSerif;pplxSerif;ui-serif;Georgia;Cambria;serif"/>
          <w:b/>
          <w:i w:val="false"/>
          <w:caps w:val="false"/>
          <w:smallCaps w:val="false"/>
          <w:color w:val="27251E"/>
          <w:spacing w:val="0"/>
          <w:sz w:val="24"/>
        </w:rPr>
        <w:t>Core Rule</w:t>
      </w:r>
    </w:p>
    <w:p>
      <w:pPr>
        <w:pStyle w:val="BodyText"/>
        <w:widowControl/>
        <w:bidi w:val="0"/>
        <w:spacing w:lineRule="auto" w:line="389" w:before="120" w:after="120"/>
        <w:ind w:hanging="0" w:start="567" w:end="567"/>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officer shall enforce the law that actually applies to the facts actually known at the time, while respecting the constitutional limits on government authority.</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registration, licensing, or plate allegation must not be based solely on assumption, unfamiliarity, an unsupported label, disagreement with the motorist’s legal beliefs, or the fact that a plate was issued outside the enforcing state.</w:t>
      </w:r>
    </w:p>
    <w:p>
      <w:pPr>
        <w:pStyle w:val="BodyText"/>
        <w:widowControl/>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Before enforcement action, officers should be able to answer:</w:t>
      </w:r>
    </w:p>
    <w:p>
      <w:pPr>
        <w:pStyle w:val="BodyText"/>
        <w:widowControl/>
        <w:numPr>
          <w:ilvl w:val="0"/>
          <w:numId w:val="2"/>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What exact statute, ordinance, or regulation is implicated?</w:t>
      </w:r>
    </w:p>
    <w:p>
      <w:pPr>
        <w:pStyle w:val="BodyText"/>
        <w:widowControl/>
        <w:numPr>
          <w:ilvl w:val="0"/>
          <w:numId w:val="2"/>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What elements does that law require?</w:t>
      </w:r>
    </w:p>
    <w:p>
      <w:pPr>
        <w:pStyle w:val="BodyText"/>
        <w:widowControl/>
        <w:numPr>
          <w:ilvl w:val="0"/>
          <w:numId w:val="2"/>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What objective facts establish each required element?</w:t>
      </w:r>
    </w:p>
    <w:p>
      <w:pPr>
        <w:pStyle w:val="BodyText"/>
        <w:widowControl/>
        <w:numPr>
          <w:ilvl w:val="0"/>
          <w:numId w:val="2"/>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Does a statutory exemption, reciprocity provision, nonresident rule, or external-registration provision apply?</w:t>
      </w:r>
    </w:p>
    <w:p>
      <w:pPr>
        <w:pStyle w:val="BodyText"/>
        <w:widowControl/>
        <w:numPr>
          <w:ilvl w:val="0"/>
          <w:numId w:val="2"/>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What facts support or defeat the claimed exemption?</w:t>
      </w:r>
    </w:p>
    <w:p>
      <w:pPr>
        <w:pStyle w:val="BodyText"/>
        <w:widowControl/>
        <w:numPr>
          <w:ilvl w:val="0"/>
          <w:numId w:val="2"/>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Is the proposed action—stop, citation, search, arrest, tow, impoundment, or seizure—independently authorized?</w:t>
      </w:r>
    </w:p>
    <w:p>
      <w:pPr>
        <w:pStyle w:val="HorizontalLine"/>
        <w:widowControl/>
        <w:bidi w:val="0"/>
        <w:spacing w:lineRule="auto" w:line="389" w:before="240" w:after="140"/>
        <w:ind w:hanging="0"/>
        <w:jc w:val="start"/>
        <w:rPr/>
      </w:pPr>
      <w:r>
        <w:rPr/>
      </w:r>
    </w:p>
    <w:p>
      <w:pPr>
        <w:pStyle w:val="Heading1"/>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4" w:name="constitutional-oath-and-public-duty"/>
      <w:bookmarkEnd w:id="4"/>
      <w:r>
        <w:rPr>
          <w:rFonts w:ascii="pplxSerif;pplxSerif;ui-serif;Georgia;Cambria;serif" w:hAnsi="pplxSerif;pplxSerif;ui-serif;Georgia;Cambria;serif"/>
          <w:b/>
          <w:i w:val="false"/>
          <w:caps w:val="false"/>
          <w:smallCaps w:val="false"/>
          <w:color w:val="27251E"/>
          <w:spacing w:val="0"/>
          <w:sz w:val="24"/>
        </w:rPr>
        <w:t>Constitutional Oath and Public Duty</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Every sworn officer takes an oath or affirmation to support the Constitution of the United States and the constitution of the officer’s state. The oath is a continuing professional duty, not a ceremonial formality.</w:t>
      </w:r>
    </w:p>
    <w:p>
      <w:pPr>
        <w:pStyle w:val="BodyText"/>
        <w:widowControl/>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That duty requires officers to respect:</w:t>
      </w:r>
    </w:p>
    <w:p>
      <w:pPr>
        <w:pStyle w:val="BodyText"/>
        <w:widowControl/>
        <w:numPr>
          <w:ilvl w:val="0"/>
          <w:numId w:val="3"/>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Fourth Amendment prohibition against unreasonable searches and seizures.</w:t>
      </w:r>
    </w:p>
    <w:p>
      <w:pPr>
        <w:pStyle w:val="BodyText"/>
        <w:widowControl/>
        <w:numPr>
          <w:ilvl w:val="0"/>
          <w:numId w:val="3"/>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Fourteenth Amendment protections of due process and equal protection.</w:t>
      </w:r>
    </w:p>
    <w:p>
      <w:pPr>
        <w:pStyle w:val="BodyText"/>
        <w:widowControl/>
        <w:numPr>
          <w:ilvl w:val="0"/>
          <w:numId w:val="3"/>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State constitutional protections.</w:t>
      </w:r>
    </w:p>
    <w:p>
      <w:pPr>
        <w:pStyle w:val="BodyText"/>
        <w:widowControl/>
        <w:numPr>
          <w:ilvl w:val="0"/>
          <w:numId w:val="3"/>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Statutory rights and exemptions created by the legislature.</w:t>
      </w:r>
    </w:p>
    <w:p>
      <w:pPr>
        <w:pStyle w:val="BodyText"/>
        <w:widowControl/>
        <w:numPr>
          <w:ilvl w:val="0"/>
          <w:numId w:val="3"/>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public’s right to challenge government action through lawful speech, petition, court process, and administrative review.</w:t>
      </w:r>
    </w:p>
    <w:p>
      <w:pPr>
        <w:pStyle w:val="BodyText"/>
        <w:widowControl/>
        <w:numPr>
          <w:ilvl w:val="0"/>
          <w:numId w:val="3"/>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property interests affected by towing, impoundment, plate seizure, fines, and forfeiture.</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traffic stop is a seizure. It must be justified by facts known at the time the stop begins, not by facts learned afterward.</w:t>
      </w:r>
    </w:p>
    <w:p>
      <w:pPr>
        <w:pStyle w:val="BodyText"/>
        <w:widowControl/>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officer’s oath does not require acceptance of every legal argument made roadside. It does require accurate statutory analysis, fair treatment, restraint, and professional conduct.</w:t>
      </w:r>
    </w:p>
    <w:p>
      <w:pPr>
        <w:pStyle w:val="HorizontalLine"/>
        <w:widowControl/>
        <w:bidi w:val="0"/>
        <w:spacing w:lineRule="auto" w:line="389" w:before="240" w:after="140"/>
        <w:ind w:hanging="0"/>
        <w:jc w:val="start"/>
        <w:rPr/>
      </w:pPr>
      <w:r>
        <w:rPr/>
      </w:r>
    </w:p>
    <w:p>
      <w:pPr>
        <w:pStyle w:val="Heading1"/>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5" w:name="definitions"/>
      <w:bookmarkEnd w:id="5"/>
      <w:r>
        <w:rPr>
          <w:rFonts w:ascii="pplxSerif;pplxSerif;ui-serif;Georgia;Cambria;serif" w:hAnsi="pplxSerif;pplxSerif;ui-serif;Georgia;Cambria;serif"/>
          <w:b/>
          <w:i w:val="false"/>
          <w:caps w:val="false"/>
          <w:smallCaps w:val="false"/>
          <w:color w:val="27251E"/>
          <w:spacing w:val="0"/>
          <w:sz w:val="24"/>
        </w:rPr>
        <w:t>Definitions</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6" w:name="traffic-stop"/>
      <w:bookmarkEnd w:id="6"/>
      <w:r>
        <w:rPr>
          <w:rFonts w:ascii="pplxSerif;pplxSerif;ui-serif;Georgia;Cambria;serif" w:hAnsi="pplxSerif;pplxSerif;ui-serif;Georgia;Cambria;serif"/>
          <w:b/>
          <w:i w:val="false"/>
          <w:caps w:val="false"/>
          <w:smallCaps w:val="false"/>
          <w:color w:val="27251E"/>
          <w:spacing w:val="0"/>
          <w:sz w:val="24"/>
        </w:rPr>
        <w:t>Traffic Stop</w:t>
      </w:r>
    </w:p>
    <w:p>
      <w:pPr>
        <w:pStyle w:val="BodyText"/>
        <w:widowControl/>
        <w:bidi w:val="0"/>
        <w:spacing w:lineRule="auto" w:line="389" w:before="12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A </w:t>
      </w:r>
      <w:r>
        <w:rPr>
          <w:rStyle w:val="Strong"/>
          <w:rFonts w:ascii="pplxSerif;pplxSerif;ui-serif;Georgia;Cambria;serif" w:hAnsi="pplxSerif;pplxSerif;ui-serif;Georgia;Cambria;serif"/>
          <w:b/>
          <w:i w:val="false"/>
          <w:caps w:val="false"/>
          <w:smallCaps w:val="false"/>
          <w:color w:val="27251E"/>
          <w:spacing w:val="0"/>
          <w:sz w:val="24"/>
        </w:rPr>
        <w:t>traffic stop</w:t>
      </w:r>
      <w:r>
        <w:rPr>
          <w:rFonts w:ascii="pplxSerif;pplxSerif;ui-serif;Georgia;Cambria;serif" w:hAnsi="pplxSerif;pplxSerif;ui-serif;Georgia;Cambria;serif"/>
          <w:b/>
          <w:i w:val="false"/>
          <w:caps w:val="false"/>
          <w:smallCaps w:val="false"/>
          <w:color w:val="27251E"/>
          <w:spacing w:val="0"/>
          <w:sz w:val="24"/>
        </w:rPr>
        <w:t> is a government seizure of a vehicle and its occupants. It generally occurs when an officer activates emergency equipment, blocks a vehicle, commands a person to stop, or otherwise communicates that a person is not free to leave.</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7" w:name="reasonable-suspicion"/>
      <w:bookmarkEnd w:id="7"/>
      <w:r>
        <w:rPr>
          <w:rFonts w:ascii="pplxSerif;pplxSerif;ui-serif;Georgia;Cambria;serif" w:hAnsi="pplxSerif;pplxSerif;ui-serif;Georgia;Cambria;serif"/>
          <w:b/>
          <w:i w:val="false"/>
          <w:caps w:val="false"/>
          <w:smallCaps w:val="false"/>
          <w:color w:val="27251E"/>
          <w:spacing w:val="0"/>
          <w:sz w:val="24"/>
        </w:rPr>
        <w:t>Reasonable Suspicion</w:t>
      </w:r>
    </w:p>
    <w:p>
      <w:pPr>
        <w:pStyle w:val="BodyText"/>
        <w:widowControl/>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Reasonable suspicion</w:t>
      </w:r>
      <w:r>
        <w:rPr>
          <w:rFonts w:ascii="pplxSerif;pplxSerif;ui-serif;Georgia;Cambria;serif" w:hAnsi="pplxSerif;pplxSerif;ui-serif;Georgia;Cambria;serif"/>
          <w:b/>
          <w:i w:val="false"/>
          <w:caps w:val="false"/>
          <w:smallCaps w:val="false"/>
          <w:color w:val="27251E"/>
          <w:spacing w:val="0"/>
          <w:sz w:val="24"/>
        </w:rPr>
        <w:t> is a particularized and objective basis to suspect that a person has committed, is committing, or is about to commit a violation. It requires more than a hunch, a stereotype, unfamiliarity, or disagreement.</w:t>
      </w:r>
    </w:p>
    <w:p>
      <w:pPr>
        <w:pStyle w:val="BodyText"/>
        <w:widowControl/>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officer should be able to identify:</w:t>
      </w:r>
    </w:p>
    <w:p>
      <w:pPr>
        <w:pStyle w:val="BodyText"/>
        <w:widowControl/>
        <w:numPr>
          <w:ilvl w:val="0"/>
          <w:numId w:val="4"/>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observed fact.</w:t>
      </w:r>
    </w:p>
    <w:p>
      <w:pPr>
        <w:pStyle w:val="BodyText"/>
        <w:widowControl/>
        <w:numPr>
          <w:ilvl w:val="0"/>
          <w:numId w:val="4"/>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time it was observed.</w:t>
      </w:r>
    </w:p>
    <w:p>
      <w:pPr>
        <w:pStyle w:val="BodyText"/>
        <w:widowControl/>
        <w:numPr>
          <w:ilvl w:val="0"/>
          <w:numId w:val="4"/>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law believed to be implicated.</w:t>
      </w:r>
    </w:p>
    <w:p>
      <w:pPr>
        <w:pStyle w:val="BodyText"/>
        <w:widowControl/>
        <w:numPr>
          <w:ilvl w:val="0"/>
          <w:numId w:val="4"/>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connection between the fact and the suspected violation.</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8" w:name="probable-cause"/>
      <w:bookmarkEnd w:id="8"/>
      <w:r>
        <w:rPr>
          <w:rFonts w:ascii="pplxSerif;pplxSerif;ui-serif;Georgia;Cambria;serif" w:hAnsi="pplxSerif;pplxSerif;ui-serif;Georgia;Cambria;serif"/>
          <w:b/>
          <w:i w:val="false"/>
          <w:caps w:val="false"/>
          <w:smallCaps w:val="false"/>
          <w:color w:val="27251E"/>
          <w:spacing w:val="0"/>
          <w:sz w:val="24"/>
        </w:rPr>
        <w:t>Probable Cause</w:t>
      </w:r>
    </w:p>
    <w:p>
      <w:pPr>
        <w:pStyle w:val="BodyText"/>
        <w:widowControl/>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Probable cause</w:t>
      </w:r>
      <w:r>
        <w:rPr>
          <w:rFonts w:ascii="pplxSerif;pplxSerif;ui-serif;Georgia;Cambria;serif" w:hAnsi="pplxSerif;pplxSerif;ui-serif;Georgia;Cambria;serif"/>
          <w:b/>
          <w:i w:val="false"/>
          <w:caps w:val="false"/>
          <w:smallCaps w:val="false"/>
          <w:color w:val="27251E"/>
          <w:spacing w:val="0"/>
          <w:sz w:val="24"/>
        </w:rPr>
        <w:t> is a higher standard than reasonable suspicion. It generally requires facts and circumstances that would lead a reasonable officer to believe an offense occurred and that a person committed it, or that evidence of an offense will be found in a particular place.</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9" w:name="nonresident"/>
      <w:bookmarkEnd w:id="9"/>
      <w:r>
        <w:rPr>
          <w:rFonts w:ascii="pplxSerif;pplxSerif;ui-serif;Georgia;Cambria;serif" w:hAnsi="pplxSerif;pplxSerif;ui-serif;Georgia;Cambria;serif"/>
          <w:b/>
          <w:i w:val="false"/>
          <w:caps w:val="false"/>
          <w:smallCaps w:val="false"/>
          <w:color w:val="27251E"/>
          <w:spacing w:val="0"/>
          <w:sz w:val="24"/>
        </w:rPr>
        <w:t>Nonresident</w:t>
      </w:r>
    </w:p>
    <w:p>
      <w:pPr>
        <w:pStyle w:val="BodyText"/>
        <w:widowControl/>
        <w:bidi w:val="0"/>
        <w:spacing w:lineRule="auto" w:line="389" w:before="12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A </w:t>
      </w:r>
      <w:r>
        <w:rPr>
          <w:rStyle w:val="Strong"/>
          <w:rFonts w:ascii="pplxSerif;pplxSerif;ui-serif;Georgia;Cambria;serif" w:hAnsi="pplxSerif;pplxSerif;ui-serif;Georgia;Cambria;serif"/>
          <w:b/>
          <w:i w:val="false"/>
          <w:caps w:val="false"/>
          <w:smallCaps w:val="false"/>
          <w:color w:val="27251E"/>
          <w:spacing w:val="0"/>
          <w:sz w:val="24"/>
        </w:rPr>
        <w:t>nonresident</w:t>
      </w:r>
      <w:r>
        <w:rPr>
          <w:rFonts w:ascii="pplxSerif;pplxSerif;ui-serif;Georgia;Cambria;serif" w:hAnsi="pplxSerif;pplxSerif;ui-serif;Georgia;Cambria;serif"/>
          <w:b/>
          <w:i w:val="false"/>
          <w:caps w:val="false"/>
          <w:smallCaps w:val="false"/>
          <w:color w:val="27251E"/>
          <w:spacing w:val="0"/>
          <w:sz w:val="24"/>
        </w:rPr>
        <w:t> is a person who does not meet the enforcing state’s statutory definition of resident. A person’s presence in a state during a stop does not, by itself, prove legal residence, domicile, or loss of nonresident status.</w:t>
      </w:r>
    </w:p>
    <w:p>
      <w:pPr>
        <w:pStyle w:val="BodyText"/>
        <w:widowControl/>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governing law may consider factors such as domicile, primary home, duration of residence, employment, vehicle garaging, school enrollment, voter registration, tax status, business location, or a specified time period.</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0" w:name="external-registration"/>
      <w:bookmarkEnd w:id="10"/>
      <w:r>
        <w:rPr>
          <w:rFonts w:ascii="pplxSerif;pplxSerif;ui-serif;Georgia;Cambria;serif" w:hAnsi="pplxSerif;pplxSerif;ui-serif;Georgia;Cambria;serif"/>
          <w:b/>
          <w:i w:val="false"/>
          <w:caps w:val="false"/>
          <w:smallCaps w:val="false"/>
          <w:color w:val="27251E"/>
          <w:spacing w:val="0"/>
          <w:sz w:val="24"/>
        </w:rPr>
        <w:t>External Registration</w:t>
      </w:r>
    </w:p>
    <w:p>
      <w:pPr>
        <w:pStyle w:val="BodyText"/>
        <w:widowControl/>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External registration</w:t>
      </w:r>
      <w:r>
        <w:rPr>
          <w:rFonts w:ascii="pplxSerif;pplxSerif;ui-serif;Georgia;Cambria;serif" w:hAnsi="pplxSerif;pplxSerif;ui-serif;Georgia;Cambria;serif"/>
          <w:b/>
          <w:i w:val="false"/>
          <w:caps w:val="false"/>
          <w:smallCaps w:val="false"/>
          <w:color w:val="27251E"/>
          <w:spacing w:val="0"/>
          <w:sz w:val="24"/>
        </w:rPr>
        <w:t> means registration issued outside the enforcing state by a governmental jurisdiction recognized under applicable law. It may include registration issued by another state, territory, tribal government, province, foreign country, or other recognized authority.</w:t>
      </w:r>
    </w:p>
    <w:p>
      <w:pPr>
        <w:pStyle w:val="BodyText"/>
        <w:widowControl/>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external registration is not automatically valid in every circumstance. It is also not automatically equivalent to “no registration.” Its validity depends on the governing statute and the facts.</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1" w:name="foreign-registration"/>
      <w:bookmarkEnd w:id="11"/>
      <w:r>
        <w:rPr>
          <w:rFonts w:ascii="pplxSerif;pplxSerif;ui-serif;Georgia;Cambria;serif" w:hAnsi="pplxSerif;pplxSerif;ui-serif;Georgia;Cambria;serif"/>
          <w:b/>
          <w:i w:val="false"/>
          <w:caps w:val="false"/>
          <w:smallCaps w:val="false"/>
          <w:color w:val="27251E"/>
          <w:spacing w:val="0"/>
          <w:sz w:val="24"/>
        </w:rPr>
        <w:t>Foreign Registration</w:t>
      </w:r>
    </w:p>
    <w:p>
      <w:pPr>
        <w:pStyle w:val="BodyText"/>
        <w:widowControl/>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Foreign registration</w:t>
      </w:r>
      <w:r>
        <w:rPr>
          <w:rFonts w:ascii="pplxSerif;pplxSerif;ui-serif;Georgia;Cambria;serif" w:hAnsi="pplxSerif;pplxSerif;ui-serif;Georgia;Cambria;serif"/>
          <w:b/>
          <w:i w:val="false"/>
          <w:caps w:val="false"/>
          <w:smallCaps w:val="false"/>
          <w:color w:val="27251E"/>
          <w:spacing w:val="0"/>
          <w:sz w:val="24"/>
        </w:rPr>
        <w:t> means registration issued outside the enforcing state or, in some statutes, outside the United States. Officers must use the definition contained in the controlling statute rather than assume a universal meaning.</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2" w:name="reciprocity"/>
      <w:bookmarkEnd w:id="12"/>
      <w:r>
        <w:rPr>
          <w:rFonts w:ascii="pplxSerif;pplxSerif;ui-serif;Georgia;Cambria;serif" w:hAnsi="pplxSerif;pplxSerif;ui-serif;Georgia;Cambria;serif"/>
          <w:b/>
          <w:i w:val="false"/>
          <w:caps w:val="false"/>
          <w:smallCaps w:val="false"/>
          <w:color w:val="27251E"/>
          <w:spacing w:val="0"/>
          <w:sz w:val="24"/>
        </w:rPr>
        <w:t>Reciprocity</w:t>
      </w:r>
    </w:p>
    <w:p>
      <w:pPr>
        <w:pStyle w:val="BodyText"/>
        <w:widowControl/>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Reciprocity</w:t>
      </w:r>
      <w:r>
        <w:rPr>
          <w:rFonts w:ascii="pplxSerif;pplxSerif;ui-serif;Georgia;Cambria;serif" w:hAnsi="pplxSerif;pplxSerif;ui-serif;Georgia;Cambria;serif"/>
          <w:b/>
          <w:i w:val="false"/>
          <w:caps w:val="false"/>
          <w:smallCaps w:val="false"/>
          <w:color w:val="27251E"/>
          <w:spacing w:val="0"/>
          <w:sz w:val="24"/>
        </w:rPr>
        <w:t> is statutory or administrative recognition of another jurisdiction’s registration, licensing, tax, or vehicle-operating privileges under stated conditions. Reciprocity may depend on the owner’s residency, vehicle use, registration validity, duration of presence, or treatment afforded to vehicles from the enforcing state.</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3" w:name="registration-exemption"/>
      <w:bookmarkEnd w:id="13"/>
      <w:r>
        <w:rPr>
          <w:rFonts w:ascii="pplxSerif;pplxSerif;ui-serif;Georgia;Cambria;serif" w:hAnsi="pplxSerif;pplxSerif;ui-serif;Georgia;Cambria;serif"/>
          <w:b/>
          <w:i w:val="false"/>
          <w:caps w:val="false"/>
          <w:smallCaps w:val="false"/>
          <w:color w:val="27251E"/>
          <w:spacing w:val="0"/>
          <w:sz w:val="24"/>
        </w:rPr>
        <w:t>Registration Exemption</w:t>
      </w:r>
    </w:p>
    <w:p>
      <w:pPr>
        <w:pStyle w:val="BodyText"/>
        <w:widowControl/>
        <w:bidi w:val="0"/>
        <w:spacing w:lineRule="auto" w:line="389" w:before="12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A </w:t>
      </w:r>
      <w:r>
        <w:rPr>
          <w:rStyle w:val="Strong"/>
          <w:rFonts w:ascii="pplxSerif;pplxSerif;ui-serif;Georgia;Cambria;serif" w:hAnsi="pplxSerif;pplxSerif;ui-serif;Georgia;Cambria;serif"/>
          <w:b/>
          <w:i w:val="false"/>
          <w:caps w:val="false"/>
          <w:smallCaps w:val="false"/>
          <w:color w:val="27251E"/>
          <w:spacing w:val="0"/>
          <w:sz w:val="24"/>
        </w:rPr>
        <w:t>registration exemption</w:t>
      </w:r>
      <w:r>
        <w:rPr>
          <w:rFonts w:ascii="pplxSerif;pplxSerif;ui-serif;Georgia;Cambria;serif" w:hAnsi="pplxSerif;pplxSerif;ui-serif;Georgia;Cambria;serif"/>
          <w:b/>
          <w:i w:val="false"/>
          <w:caps w:val="false"/>
          <w:smallCaps w:val="false"/>
          <w:color w:val="27251E"/>
          <w:spacing w:val="0"/>
          <w:sz w:val="24"/>
        </w:rPr>
        <w:t> is a statutory exception that permits operation without otherwise applicable in-state registration when specified conditions are satisfied.</w:t>
      </w:r>
    </w:p>
    <w:p>
      <w:pPr>
        <w:pStyle w:val="BodyText"/>
        <w:widowControl/>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exemption must not be presumed. It also must not be ignored. Officers must evaluate its actual terms.</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4" w:name="fictitious-plate-or-registration"/>
      <w:bookmarkEnd w:id="14"/>
      <w:r>
        <w:rPr>
          <w:rFonts w:ascii="pplxSerif;pplxSerif;ui-serif;Georgia;Cambria;serif" w:hAnsi="pplxSerif;pplxSerif;ui-serif;Georgia;Cambria;serif"/>
          <w:b/>
          <w:i w:val="false"/>
          <w:caps w:val="false"/>
          <w:smallCaps w:val="false"/>
          <w:color w:val="27251E"/>
          <w:spacing w:val="0"/>
          <w:sz w:val="24"/>
        </w:rPr>
        <w:t>Fictitious Plate or Registration</w:t>
      </w:r>
    </w:p>
    <w:p>
      <w:pPr>
        <w:pStyle w:val="BodyText"/>
        <w:widowControl/>
        <w:bidi w:val="0"/>
        <w:spacing w:lineRule="auto" w:line="389" w:before="12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A </w:t>
      </w:r>
      <w:r>
        <w:rPr>
          <w:rStyle w:val="Strong"/>
          <w:rFonts w:ascii="pplxSerif;pplxSerif;ui-serif;Georgia;Cambria;serif" w:hAnsi="pplxSerif;pplxSerif;ui-serif;Georgia;Cambria;serif"/>
          <w:b/>
          <w:i w:val="false"/>
          <w:caps w:val="false"/>
          <w:smallCaps w:val="false"/>
          <w:color w:val="27251E"/>
          <w:spacing w:val="0"/>
          <w:sz w:val="24"/>
        </w:rPr>
        <w:t>fictitious plate</w:t>
      </w:r>
      <w:r>
        <w:rPr>
          <w:rFonts w:ascii="pplxSerif;pplxSerif;ui-serif;Georgia;Cambria;serif" w:hAnsi="pplxSerif;pplxSerif;ui-serif;Georgia;Cambria;serif"/>
          <w:b/>
          <w:i w:val="false"/>
          <w:caps w:val="false"/>
          <w:smallCaps w:val="false"/>
          <w:color w:val="27251E"/>
          <w:spacing w:val="0"/>
          <w:sz w:val="24"/>
        </w:rPr>
        <w:t> or </w:t>
      </w:r>
      <w:r>
        <w:rPr>
          <w:rStyle w:val="Strong"/>
          <w:rFonts w:ascii="pplxSerif;pplxSerif;ui-serif;Georgia;Cambria;serif" w:hAnsi="pplxSerif;pplxSerif;ui-serif;Georgia;Cambria;serif"/>
          <w:b/>
          <w:i w:val="false"/>
          <w:caps w:val="false"/>
          <w:smallCaps w:val="false"/>
          <w:color w:val="27251E"/>
          <w:spacing w:val="0"/>
          <w:sz w:val="24"/>
        </w:rPr>
        <w:t>fictitious registration</w:t>
      </w:r>
      <w:r>
        <w:rPr>
          <w:rFonts w:ascii="pplxSerif;pplxSerif;ui-serif;Georgia;Cambria;serif" w:hAnsi="pplxSerif;pplxSerif;ui-serif;Georgia;Cambria;serif"/>
          <w:b/>
          <w:i w:val="false"/>
          <w:caps w:val="false"/>
          <w:smallCaps w:val="false"/>
          <w:color w:val="27251E"/>
          <w:spacing w:val="0"/>
          <w:sz w:val="24"/>
        </w:rPr>
        <w:t> is a legal allegation that must be tied to a specific statute. Depending on state law, it may involve a counterfeit plate, forged document, fraudulent registration, materially altered plate, plate assigned to another vehicle, false registration application, or unlawful imitation of an official plate.</w:t>
      </w:r>
    </w:p>
    <w:p>
      <w:pPr>
        <w:pStyle w:val="BodyText"/>
        <w:widowControl/>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unusual, homemade, out-of-state, foreign, temporary, tribal, dealer, specialty, or unfamiliar plate is not automatically fictitious.</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5" w:name="search"/>
      <w:bookmarkEnd w:id="15"/>
      <w:r>
        <w:rPr>
          <w:rFonts w:ascii="pplxSerif;pplxSerif;ui-serif;Georgia;Cambria;serif" w:hAnsi="pplxSerif;pplxSerif;ui-serif;Georgia;Cambria;serif"/>
          <w:b/>
          <w:i w:val="false"/>
          <w:caps w:val="false"/>
          <w:smallCaps w:val="false"/>
          <w:color w:val="27251E"/>
          <w:spacing w:val="0"/>
          <w:sz w:val="24"/>
        </w:rPr>
        <w:t>Search</w:t>
      </w:r>
    </w:p>
    <w:p>
      <w:pPr>
        <w:pStyle w:val="BodyText"/>
        <w:widowControl/>
        <w:bidi w:val="0"/>
        <w:spacing w:lineRule="auto" w:line="389" w:before="12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A </w:t>
      </w:r>
      <w:r>
        <w:rPr>
          <w:rStyle w:val="Strong"/>
          <w:rFonts w:ascii="pplxSerif;pplxSerif;ui-serif;Georgia;Cambria;serif" w:hAnsi="pplxSerif;pplxSerif;ui-serif;Georgia;Cambria;serif"/>
          <w:b/>
          <w:i w:val="false"/>
          <w:caps w:val="false"/>
          <w:smallCaps w:val="false"/>
          <w:color w:val="27251E"/>
          <w:spacing w:val="0"/>
          <w:sz w:val="24"/>
        </w:rPr>
        <w:t>search</w:t>
      </w:r>
      <w:r>
        <w:rPr>
          <w:rFonts w:ascii="pplxSerif;pplxSerif;ui-serif;Georgia;Cambria;serif" w:hAnsi="pplxSerif;pplxSerif;ui-serif;Georgia;Cambria;serif"/>
          <w:b/>
          <w:i w:val="false"/>
          <w:caps w:val="false"/>
          <w:smallCaps w:val="false"/>
          <w:color w:val="27251E"/>
          <w:spacing w:val="0"/>
          <w:sz w:val="24"/>
        </w:rPr>
        <w:t> is a government intrusion into a protected privacy interest or protected property interest. A traffic or registration inquiry does not automatically authorize a vehicle search, personal search, phone search, or container search.</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6" w:name="seizure-of-property"/>
      <w:bookmarkEnd w:id="16"/>
      <w:r>
        <w:rPr>
          <w:rFonts w:ascii="pplxSerif;pplxSerif;ui-serif;Georgia;Cambria;serif" w:hAnsi="pplxSerif;pplxSerif;ui-serif;Georgia;Cambria;serif"/>
          <w:b/>
          <w:i w:val="false"/>
          <w:caps w:val="false"/>
          <w:smallCaps w:val="false"/>
          <w:color w:val="27251E"/>
          <w:spacing w:val="0"/>
          <w:sz w:val="24"/>
        </w:rPr>
        <w:t>Seizure of Property</w:t>
      </w:r>
    </w:p>
    <w:p>
      <w:pPr>
        <w:pStyle w:val="BodyText"/>
        <w:widowControl/>
        <w:bidi w:val="0"/>
        <w:spacing w:lineRule="auto" w:line="389" w:before="12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A </w:t>
      </w:r>
      <w:r>
        <w:rPr>
          <w:rStyle w:val="Strong"/>
          <w:rFonts w:ascii="pplxSerif;pplxSerif;ui-serif;Georgia;Cambria;serif" w:hAnsi="pplxSerif;pplxSerif;ui-serif;Georgia;Cambria;serif"/>
          <w:b/>
          <w:i w:val="false"/>
          <w:caps w:val="false"/>
          <w:smallCaps w:val="false"/>
          <w:color w:val="27251E"/>
          <w:spacing w:val="0"/>
          <w:sz w:val="24"/>
        </w:rPr>
        <w:t>seizure of property</w:t>
      </w:r>
      <w:r>
        <w:rPr>
          <w:rFonts w:ascii="pplxSerif;pplxSerif;ui-serif;Georgia;Cambria;serif" w:hAnsi="pplxSerif;pplxSerif;ui-serif;Georgia;Cambria;serif"/>
          <w:b/>
          <w:i w:val="false"/>
          <w:caps w:val="false"/>
          <w:smallCaps w:val="false"/>
          <w:color w:val="27251E"/>
          <w:spacing w:val="0"/>
          <w:sz w:val="24"/>
        </w:rPr>
        <w:t> includes towing, impoundment, plate removal, retention of documents, inventory, forfeiture, or taking custody of a vehicle or personal property.</w:t>
      </w:r>
    </w:p>
    <w:p>
      <w:pPr>
        <w:pStyle w:val="HorizontalLine"/>
        <w:widowControl/>
        <w:bidi w:val="0"/>
        <w:spacing w:lineRule="auto" w:line="389" w:before="240" w:after="140"/>
        <w:ind w:hanging="0"/>
        <w:jc w:val="start"/>
        <w:rPr/>
      </w:pPr>
      <w:r>
        <w:rPr/>
      </w:r>
    </w:p>
    <w:p>
      <w:pPr>
        <w:pStyle w:val="Heading1"/>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7" w:name="external-and-nonresident-registration"/>
      <w:bookmarkEnd w:id="17"/>
      <w:r>
        <w:rPr>
          <w:rFonts w:ascii="pplxSerif;pplxSerif;ui-serif;Georgia;Cambria;serif" w:hAnsi="pplxSerif;pplxSerif;ui-serif;Georgia;Cambria;serif"/>
          <w:b/>
          <w:i w:val="false"/>
          <w:caps w:val="false"/>
          <w:smallCaps w:val="false"/>
          <w:color w:val="27251E"/>
          <w:spacing w:val="0"/>
          <w:sz w:val="24"/>
        </w:rPr>
        <w:t>External and Nonresident Registration</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8" w:name="general-standard"/>
      <w:bookmarkEnd w:id="18"/>
      <w:r>
        <w:rPr>
          <w:rFonts w:ascii="pplxSerif;pplxSerif;ui-serif;Georgia;Cambria;serif" w:hAnsi="pplxSerif;pplxSerif;ui-serif;Georgia;Cambria;serif"/>
          <w:b/>
          <w:i w:val="false"/>
          <w:caps w:val="false"/>
          <w:smallCaps w:val="false"/>
          <w:color w:val="27251E"/>
          <w:spacing w:val="0"/>
          <w:sz w:val="24"/>
        </w:rPr>
        <w:t>General Standard</w:t>
      </w:r>
    </w:p>
    <w:p>
      <w:pPr>
        <w:pStyle w:val="BodyText"/>
        <w:widowControl/>
        <w:bidi w:val="0"/>
        <w:spacing w:lineRule="auto" w:line="389" w:before="12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A nonresident registration, external registration, or foreign registration is </w:t>
      </w:r>
      <w:r>
        <w:rPr>
          <w:rStyle w:val="Strong"/>
          <w:rFonts w:ascii="pplxSerif;pplxSerif;ui-serif;Georgia;Cambria;serif" w:hAnsi="pplxSerif;pplxSerif;ui-serif;Georgia;Cambria;serif"/>
          <w:b/>
          <w:i w:val="false"/>
          <w:caps w:val="false"/>
          <w:smallCaps w:val="false"/>
          <w:color w:val="27251E"/>
          <w:spacing w:val="0"/>
          <w:sz w:val="24"/>
        </w:rPr>
        <w:t>not illegal merely because it was issued outside the enforcing state</w:t>
      </w:r>
      <w:r>
        <w:rPr>
          <w:rFonts w:ascii="pplxSerif;pplxSerif;ui-serif;Georgia;Cambria;serif" w:hAnsi="pplxSerif;pplxSerif;ui-serif;Georgia;Cambria;serif"/>
          <w:b/>
          <w:i w:val="false"/>
          <w:caps w:val="false"/>
          <w:smallCaps w:val="false"/>
          <w:color w:val="27251E"/>
          <w:spacing w:val="0"/>
          <w:sz w:val="24"/>
        </w:rPr>
        <w:t>.</w:t>
      </w:r>
    </w:p>
    <w:p>
      <w:pPr>
        <w:pStyle w:val="BodyText"/>
        <w:widowControl/>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If a vehicle is properly registered in another jurisdiction and the owner or operator satisfies the conditions of the receiving state’s nonresident, reciprocity, or foreign-registration law, the registration may be legally effective in that state.</w:t>
      </w:r>
    </w:p>
    <w:p>
      <w:pPr>
        <w:pStyle w:val="BodyText"/>
        <w:widowControl/>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proper inquiry is not:</w:t>
      </w:r>
    </w:p>
    <w:p>
      <w:pPr>
        <w:pStyle w:val="BodyText"/>
        <w:widowControl/>
        <w:bidi w:val="0"/>
        <w:spacing w:lineRule="auto" w:line="389" w:before="120" w:after="120"/>
        <w:ind w:hanging="0" w:start="567" w:end="567"/>
        <w:jc w:val="start"/>
        <w:rPr>
          <w:caps w:val="false"/>
          <w:smallCaps w:val="false"/>
          <w:color w:val="27251E"/>
          <w:spacing w:val="0"/>
        </w:rPr>
      </w:pPr>
      <w:r>
        <w:rPr>
          <w:caps w:val="false"/>
          <w:smallCaps w:val="false"/>
          <w:color w:val="27251E"/>
          <w:spacing w:val="0"/>
        </w:rPr>
        <w:t>“</w:t>
      </w:r>
      <w:r>
        <w:rPr>
          <w:rFonts w:ascii="pplxSerif;pplxSerif;ui-serif;Georgia;Cambria;serif" w:hAnsi="pplxSerif;pplxSerif;ui-serif;Georgia;Cambria;serif"/>
          <w:b/>
          <w:i w:val="false"/>
          <w:caps w:val="false"/>
          <w:smallCaps w:val="false"/>
          <w:color w:val="27251E"/>
          <w:spacing w:val="0"/>
          <w:sz w:val="24"/>
        </w:rPr>
        <w:t>Is this an in-state plate?”</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proper inquiry is:</w:t>
      </w:r>
    </w:p>
    <w:p>
      <w:pPr>
        <w:pStyle w:val="BodyText"/>
        <w:widowControl/>
        <w:bidi w:val="0"/>
        <w:spacing w:lineRule="auto" w:line="389" w:before="120" w:after="120"/>
        <w:ind w:hanging="0" w:start="567" w:end="567"/>
        <w:jc w:val="start"/>
        <w:rPr>
          <w:caps w:val="false"/>
          <w:smallCaps w:val="false"/>
          <w:color w:val="27251E"/>
          <w:spacing w:val="0"/>
        </w:rPr>
      </w:pPr>
      <w:r>
        <w:rPr>
          <w:caps w:val="false"/>
          <w:smallCaps w:val="false"/>
          <w:color w:val="27251E"/>
          <w:spacing w:val="0"/>
        </w:rPr>
        <w:t>“</w:t>
      </w:r>
      <w:r>
        <w:rPr>
          <w:rFonts w:ascii="pplxSerif;pplxSerif;ui-serif;Georgia;Cambria;serif" w:hAnsi="pplxSerif;pplxSerif;ui-serif;Georgia;Cambria;serif"/>
          <w:b/>
          <w:i w:val="false"/>
          <w:caps w:val="false"/>
          <w:smallCaps w:val="false"/>
          <w:color w:val="27251E"/>
          <w:spacing w:val="0"/>
          <w:sz w:val="24"/>
        </w:rPr>
        <w:t>What does the applicable statute require, and do the known facts meet or defeat that statute’s conditions?”</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19" w:name="relevant-questions"/>
      <w:bookmarkEnd w:id="19"/>
      <w:r>
        <w:rPr>
          <w:rFonts w:ascii="pplxSerif;pplxSerif;ui-serif;Georgia;Cambria;serif" w:hAnsi="pplxSerif;pplxSerif;ui-serif;Georgia;Cambria;serif"/>
          <w:b/>
          <w:i w:val="false"/>
          <w:caps w:val="false"/>
          <w:smallCaps w:val="false"/>
          <w:color w:val="27251E"/>
          <w:spacing w:val="0"/>
          <w:sz w:val="24"/>
        </w:rPr>
        <w:t>Relevant Questions</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When an officer encounters external registration, the officer should determine:</w:t>
      </w:r>
    </w:p>
    <w:p>
      <w:pPr>
        <w:pStyle w:val="BodyText"/>
        <w:widowControl/>
        <w:numPr>
          <w:ilvl w:val="0"/>
          <w:numId w:val="5"/>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Was the registration issued by a governmental authority recognized by law?</w:t>
      </w:r>
    </w:p>
    <w:p>
      <w:pPr>
        <w:pStyle w:val="BodyText"/>
        <w:widowControl/>
        <w:numPr>
          <w:ilvl w:val="0"/>
          <w:numId w:val="5"/>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Is the registration current or valid under the issuing jurisdiction’s law?</w:t>
      </w:r>
    </w:p>
    <w:p>
      <w:pPr>
        <w:pStyle w:val="BodyText"/>
        <w:widowControl/>
        <w:numPr>
          <w:ilvl w:val="0"/>
          <w:numId w:val="5"/>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Does the plate or registration document correspond to the vehicle?</w:t>
      </w:r>
    </w:p>
    <w:p>
      <w:pPr>
        <w:pStyle w:val="BodyText"/>
        <w:widowControl/>
        <w:numPr>
          <w:ilvl w:val="0"/>
          <w:numId w:val="5"/>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Is the owner or operator a nonresident under the receiving state’s statutory definition?</w:t>
      </w:r>
    </w:p>
    <w:p>
      <w:pPr>
        <w:pStyle w:val="BodyText"/>
        <w:widowControl/>
        <w:numPr>
          <w:ilvl w:val="0"/>
          <w:numId w:val="5"/>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Has the owner moved to the enforcing state?</w:t>
      </w:r>
    </w:p>
    <w:p>
      <w:pPr>
        <w:pStyle w:val="BodyText"/>
        <w:widowControl/>
        <w:numPr>
          <w:ilvl w:val="0"/>
          <w:numId w:val="5"/>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Is the vehicle principally garaged or regularly kept in the enforcing state?</w:t>
      </w:r>
    </w:p>
    <w:p>
      <w:pPr>
        <w:pStyle w:val="BodyText"/>
        <w:widowControl/>
        <w:numPr>
          <w:ilvl w:val="0"/>
          <w:numId w:val="5"/>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Has a statutory grace period expired?</w:t>
      </w:r>
    </w:p>
    <w:p>
      <w:pPr>
        <w:pStyle w:val="BodyText"/>
        <w:widowControl/>
        <w:numPr>
          <w:ilvl w:val="0"/>
          <w:numId w:val="5"/>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Is a reciprocity condition satisfied?</w:t>
      </w:r>
    </w:p>
    <w:p>
      <w:pPr>
        <w:pStyle w:val="BodyText"/>
        <w:widowControl/>
        <w:numPr>
          <w:ilvl w:val="0"/>
          <w:numId w:val="5"/>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Is the vehicle involved in commercial activity that triggers a different statutory framework?</w:t>
      </w:r>
    </w:p>
    <w:p>
      <w:pPr>
        <w:pStyle w:val="BodyText"/>
        <w:widowControl/>
        <w:numPr>
          <w:ilvl w:val="0"/>
          <w:numId w:val="5"/>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Does the vehicle’s type, weight, use, ownership, lease status, or insurance status affect the exemption?</w:t>
      </w:r>
    </w:p>
    <w:p>
      <w:pPr>
        <w:pStyle w:val="BodyText"/>
        <w:widowControl/>
        <w:numPr>
          <w:ilvl w:val="0"/>
          <w:numId w:val="5"/>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Has the state identified a specific statutory exception that defeats recognition of the external registration?</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answer must come from the statutory text and reliable evidence, not generalized assumptions about highway use, “private travel,” commerce, or a motorist’s ideology.</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20" w:name="documents-relevant-to-verification"/>
      <w:bookmarkEnd w:id="20"/>
      <w:r>
        <w:rPr>
          <w:rFonts w:ascii="pplxSerif;pplxSerif;ui-serif;Georgia;Cambria;serif" w:hAnsi="pplxSerif;pplxSerif;ui-serif;Georgia;Cambria;serif"/>
          <w:b/>
          <w:i w:val="false"/>
          <w:caps w:val="false"/>
          <w:smallCaps w:val="false"/>
          <w:color w:val="27251E"/>
          <w:spacing w:val="0"/>
          <w:sz w:val="24"/>
        </w:rPr>
        <w:t>Documents Relevant to Verification</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Where lawful and reasonably related to the stop, officers may review:</w:t>
      </w:r>
    </w:p>
    <w:p>
      <w:pPr>
        <w:pStyle w:val="BodyText"/>
        <w:widowControl/>
        <w:numPr>
          <w:ilvl w:val="0"/>
          <w:numId w:val="6"/>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Registration certificate.</w:t>
      </w:r>
    </w:p>
    <w:p>
      <w:pPr>
        <w:pStyle w:val="BodyText"/>
        <w:widowControl/>
        <w:numPr>
          <w:ilvl w:val="0"/>
          <w:numId w:val="6"/>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Plate or temporary operating permit.</w:t>
      </w:r>
    </w:p>
    <w:p>
      <w:pPr>
        <w:pStyle w:val="BodyText"/>
        <w:widowControl/>
        <w:numPr>
          <w:ilvl w:val="0"/>
          <w:numId w:val="6"/>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Vehicle identification number.</w:t>
      </w:r>
    </w:p>
    <w:p>
      <w:pPr>
        <w:pStyle w:val="BodyText"/>
        <w:widowControl/>
        <w:numPr>
          <w:ilvl w:val="0"/>
          <w:numId w:val="6"/>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Title or ownership evidence.</w:t>
      </w:r>
    </w:p>
    <w:p>
      <w:pPr>
        <w:pStyle w:val="BodyText"/>
        <w:widowControl/>
        <w:numPr>
          <w:ilvl w:val="0"/>
          <w:numId w:val="6"/>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Lease documentation.</w:t>
      </w:r>
    </w:p>
    <w:p>
      <w:pPr>
        <w:pStyle w:val="BodyText"/>
        <w:widowControl/>
        <w:numPr>
          <w:ilvl w:val="0"/>
          <w:numId w:val="6"/>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Insurance documentation where required.</w:t>
      </w:r>
    </w:p>
    <w:p>
      <w:pPr>
        <w:pStyle w:val="BodyText"/>
        <w:widowControl/>
        <w:numPr>
          <w:ilvl w:val="0"/>
          <w:numId w:val="6"/>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Driver license or operator credential issued by the person’s home jurisdiction.</w:t>
      </w:r>
    </w:p>
    <w:p>
      <w:pPr>
        <w:pStyle w:val="BodyText"/>
        <w:widowControl/>
        <w:numPr>
          <w:ilvl w:val="0"/>
          <w:numId w:val="6"/>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Documentation establishing a claimed governmental issuer.</w:t>
      </w:r>
    </w:p>
    <w:p>
      <w:pPr>
        <w:pStyle w:val="BodyText"/>
        <w:widowControl/>
        <w:numPr>
          <w:ilvl w:val="0"/>
          <w:numId w:val="6"/>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Commercial credentials, but only when commercial regulation is actually relevant.</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Officers should not demand unnecessary documents merely because a motorist asserts an unfamiliar legal theory.</w:t>
      </w:r>
    </w:p>
    <w:p>
      <w:pPr>
        <w:pStyle w:val="HorizontalLine"/>
        <w:widowControl/>
        <w:bidi w:val="0"/>
        <w:spacing w:lineRule="auto" w:line="389" w:before="240" w:after="140"/>
        <w:ind w:hanging="0"/>
        <w:jc w:val="start"/>
        <w:rPr/>
      </w:pPr>
      <w:r>
        <w:rPr/>
      </w:r>
    </w:p>
    <w:p>
      <w:pPr>
        <w:pStyle w:val="Heading1"/>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21" w:name="what-does-not-create-an-automatic-exempt"/>
      <w:bookmarkEnd w:id="21"/>
      <w:r>
        <w:rPr>
          <w:rFonts w:ascii="pplxSerif;pplxSerif;ui-serif;Georgia;Cambria;serif" w:hAnsi="pplxSerif;pplxSerif;ui-serif;Georgia;Cambria;serif"/>
          <w:b/>
          <w:i w:val="false"/>
          <w:caps w:val="false"/>
          <w:smallCaps w:val="false"/>
          <w:color w:val="27251E"/>
          <w:spacing w:val="0"/>
          <w:sz w:val="24"/>
        </w:rPr>
        <w:t>What Does Not Create an Automatic Exemption</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following facts or claims do not, by themselves, create a statutory registration or licensing exemption:</w:t>
      </w:r>
    </w:p>
    <w:p>
      <w:pPr>
        <w:pStyle w:val="BodyText"/>
        <w:widowControl/>
        <w:numPr>
          <w:ilvl w:val="0"/>
          <w:numId w:val="7"/>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Calling a vehicle “private.”</w:t>
      </w:r>
    </w:p>
    <w:p>
      <w:pPr>
        <w:pStyle w:val="BodyText"/>
        <w:widowControl/>
        <w:numPr>
          <w:ilvl w:val="0"/>
          <w:numId w:val="7"/>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Calling oneself a “traveler.”</w:t>
      </w:r>
    </w:p>
    <w:p>
      <w:pPr>
        <w:pStyle w:val="BodyText"/>
        <w:widowControl/>
        <w:numPr>
          <w:ilvl w:val="0"/>
          <w:numId w:val="7"/>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Claiming noncommercial use.</w:t>
      </w:r>
    </w:p>
    <w:p>
      <w:pPr>
        <w:pStyle w:val="BodyText"/>
        <w:widowControl/>
        <w:numPr>
          <w:ilvl w:val="0"/>
          <w:numId w:val="7"/>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Owning a vehicle through a trust.</w:t>
      </w:r>
    </w:p>
    <w:p>
      <w:pPr>
        <w:pStyle w:val="BodyText"/>
        <w:widowControl/>
        <w:numPr>
          <w:ilvl w:val="0"/>
          <w:numId w:val="7"/>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Using a Uniform Commercial Code filing.</w:t>
      </w:r>
    </w:p>
    <w:p>
      <w:pPr>
        <w:pStyle w:val="BodyText"/>
        <w:widowControl/>
        <w:numPr>
          <w:ilvl w:val="0"/>
          <w:numId w:val="7"/>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Declaring oneself outside state jurisdiction.</w:t>
      </w:r>
    </w:p>
    <w:p>
      <w:pPr>
        <w:pStyle w:val="BodyText"/>
        <w:widowControl/>
        <w:numPr>
          <w:ilvl w:val="0"/>
          <w:numId w:val="7"/>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Declaring oneself a “state national,” “constitutional traveler,” or similar designation.</w:t>
      </w:r>
    </w:p>
    <w:p>
      <w:pPr>
        <w:pStyle w:val="BodyText"/>
        <w:widowControl/>
        <w:numPr>
          <w:ilvl w:val="0"/>
          <w:numId w:val="7"/>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Claiming that a citation is a contract requiring consent.</w:t>
      </w:r>
    </w:p>
    <w:p>
      <w:pPr>
        <w:pStyle w:val="BodyText"/>
        <w:widowControl/>
        <w:numPr>
          <w:ilvl w:val="0"/>
          <w:numId w:val="7"/>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Claiming that all driver licensing and vehicle registration laws apply only to commercial activity.</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These claims may be relevant to the person’s explanation or legal position, but officers must resolve enforcement through the applicable statutes and facts. State motor-vehicle regulation may lawfully apply to private, noncommercial vehicles when the state statute so provides.</w:t>
      </w:r>
    </w:p>
    <w:p>
      <w:pPr>
        <w:pStyle w:val="HorizontalLine"/>
        <w:widowControl/>
        <w:bidi w:val="0"/>
        <w:spacing w:lineRule="auto" w:line="389" w:before="240" w:after="140"/>
        <w:ind w:hanging="0"/>
        <w:jc w:val="start"/>
        <w:rPr/>
      </w:pPr>
      <w:r>
        <w:rPr/>
      </w:r>
    </w:p>
    <w:p>
      <w:pPr>
        <w:pStyle w:val="Heading1"/>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22" w:name="reasonable-suspicion-and-initial-stops"/>
      <w:bookmarkEnd w:id="22"/>
      <w:r>
        <w:rPr>
          <w:rFonts w:ascii="pplxSerif;pplxSerif;ui-serif;Georgia;Cambria;serif" w:hAnsi="pplxSerif;pplxSerif;ui-serif;Georgia;Cambria;serif"/>
          <w:b/>
          <w:i w:val="false"/>
          <w:caps w:val="false"/>
          <w:smallCaps w:val="false"/>
          <w:color w:val="27251E"/>
          <w:spacing w:val="0"/>
          <w:sz w:val="24"/>
        </w:rPr>
        <w:t>Reasonable Suspicion and Initial Stops</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23" w:name="requirement-before-the-stop"/>
      <w:bookmarkEnd w:id="23"/>
      <w:r>
        <w:rPr>
          <w:rFonts w:ascii="pplxSerif;pplxSerif;ui-serif;Georgia;Cambria;serif" w:hAnsi="pplxSerif;pplxSerif;ui-serif;Georgia;Cambria;serif"/>
          <w:b/>
          <w:i w:val="false"/>
          <w:caps w:val="false"/>
          <w:smallCaps w:val="false"/>
          <w:color w:val="27251E"/>
          <w:spacing w:val="0"/>
          <w:sz w:val="24"/>
        </w:rPr>
        <w:t>Requirement Before the Stop</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Before initiating a traffic stop, an officer must possess a specific and objective legal basis. The basis must exist before emergency lights are activated, the vehicle is blocked, a command to stop is issued, or another seizure occurs.</w:t>
      </w:r>
    </w:p>
    <w:p>
      <w:pPr>
        <w:pStyle w:val="BodyText"/>
        <w:widowControl/>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Information discovered after the stop cannot retroactively justify the initial stop.</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24" w:name="insufficient-bases"/>
      <w:bookmarkEnd w:id="24"/>
      <w:r>
        <w:rPr>
          <w:rFonts w:ascii="pplxSerif;pplxSerif;ui-serif;Georgia;Cambria;serif" w:hAnsi="pplxSerif;pplxSerif;ui-serif;Georgia;Cambria;serif"/>
          <w:b/>
          <w:i w:val="false"/>
          <w:caps w:val="false"/>
          <w:smallCaps w:val="false"/>
          <w:color w:val="27251E"/>
          <w:spacing w:val="0"/>
          <w:sz w:val="24"/>
        </w:rPr>
        <w:t>Insufficient Bases</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following circumstances alone are generally insufficient to establish a registration violation:</w:t>
      </w:r>
    </w:p>
    <w:p>
      <w:pPr>
        <w:pStyle w:val="BodyText"/>
        <w:widowControl/>
        <w:numPr>
          <w:ilvl w:val="0"/>
          <w:numId w:val="8"/>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plate is unfamiliar.</w:t>
      </w:r>
    </w:p>
    <w:p>
      <w:pPr>
        <w:pStyle w:val="BodyText"/>
        <w:widowControl/>
        <w:numPr>
          <w:ilvl w:val="0"/>
          <w:numId w:val="8"/>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plate is from another state or country.</w:t>
      </w:r>
    </w:p>
    <w:p>
      <w:pPr>
        <w:pStyle w:val="BodyText"/>
        <w:widowControl/>
        <w:numPr>
          <w:ilvl w:val="0"/>
          <w:numId w:val="8"/>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plate is not immediately returned in a local database.</w:t>
      </w:r>
    </w:p>
    <w:p>
      <w:pPr>
        <w:pStyle w:val="BodyText"/>
        <w:widowControl/>
        <w:numPr>
          <w:ilvl w:val="0"/>
          <w:numId w:val="8"/>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motorist later expresses unconventional legal beliefs.</w:t>
      </w:r>
    </w:p>
    <w:p>
      <w:pPr>
        <w:pStyle w:val="BodyText"/>
        <w:widowControl/>
        <w:numPr>
          <w:ilvl w:val="0"/>
          <w:numId w:val="8"/>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vehicle appears privately owned.</w:t>
      </w:r>
    </w:p>
    <w:p>
      <w:pPr>
        <w:pStyle w:val="BodyText"/>
        <w:widowControl/>
        <w:numPr>
          <w:ilvl w:val="0"/>
          <w:numId w:val="8"/>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officer believes the motorist may identify as a “sovereign citizen.”</w:t>
      </w:r>
    </w:p>
    <w:p>
      <w:pPr>
        <w:pStyle w:val="BodyText"/>
        <w:widowControl/>
        <w:numPr>
          <w:ilvl w:val="0"/>
          <w:numId w:val="8"/>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motorist challenges the officer’s authority.</w:t>
      </w:r>
    </w:p>
    <w:p>
      <w:pPr>
        <w:pStyle w:val="BodyText"/>
        <w:widowControl/>
        <w:numPr>
          <w:ilvl w:val="0"/>
          <w:numId w:val="8"/>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registration document is different from the officer’s usual experience.</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These facts may justify further lawful observation or verification, but they must be connected to an actual statutory offense before a seizure occurs.</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25" w:name="documentation-standard"/>
      <w:bookmarkEnd w:id="25"/>
      <w:r>
        <w:rPr>
          <w:rFonts w:ascii="pplxSerif;pplxSerif;ui-serif;Georgia;Cambria;serif" w:hAnsi="pplxSerif;pplxSerif;ui-serif;Georgia;Cambria;serif"/>
          <w:b/>
          <w:i w:val="false"/>
          <w:caps w:val="false"/>
          <w:smallCaps w:val="false"/>
          <w:color w:val="27251E"/>
          <w:spacing w:val="0"/>
          <w:sz w:val="24"/>
        </w:rPr>
        <w:t>Documentation Standard</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officer report should clearly identify:</w:t>
      </w:r>
    </w:p>
    <w:p>
      <w:pPr>
        <w:pStyle w:val="BodyText"/>
        <w:widowControl/>
        <w:numPr>
          <w:ilvl w:val="0"/>
          <w:numId w:val="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exact reason for the stop.</w:t>
      </w:r>
    </w:p>
    <w:p>
      <w:pPr>
        <w:pStyle w:val="BodyText"/>
        <w:widowControl/>
        <w:numPr>
          <w:ilvl w:val="0"/>
          <w:numId w:val="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time reasonable suspicion formed.</w:t>
      </w:r>
    </w:p>
    <w:p>
      <w:pPr>
        <w:pStyle w:val="BodyText"/>
        <w:widowControl/>
        <w:numPr>
          <w:ilvl w:val="0"/>
          <w:numId w:val="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particular statute or ordinance believed violated.</w:t>
      </w:r>
    </w:p>
    <w:p>
      <w:pPr>
        <w:pStyle w:val="BodyText"/>
        <w:widowControl/>
        <w:numPr>
          <w:ilvl w:val="0"/>
          <w:numId w:val="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observations supporting each element.</w:t>
      </w:r>
    </w:p>
    <w:p>
      <w:pPr>
        <w:pStyle w:val="BodyText"/>
        <w:widowControl/>
        <w:numPr>
          <w:ilvl w:val="0"/>
          <w:numId w:val="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Any records inquiry conducted before the stop.</w:t>
      </w:r>
    </w:p>
    <w:p>
      <w:pPr>
        <w:pStyle w:val="BodyText"/>
        <w:widowControl/>
        <w:numPr>
          <w:ilvl w:val="0"/>
          <w:numId w:val="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Any objective reason an external registration appeared invalid or inapplicable.</w:t>
      </w:r>
    </w:p>
    <w:p>
      <w:pPr>
        <w:pStyle w:val="BodyText"/>
        <w:widowControl/>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Insufficient report language:</w:t>
      </w:r>
    </w:p>
    <w:p>
      <w:pPr>
        <w:pStyle w:val="BodyText"/>
        <w:widowControl/>
        <w:bidi w:val="0"/>
        <w:spacing w:lineRule="auto" w:line="389" w:before="120" w:after="120"/>
        <w:ind w:hanging="0" w:start="567" w:end="567"/>
        <w:jc w:val="start"/>
        <w:rPr>
          <w:caps w:val="false"/>
          <w:smallCaps w:val="false"/>
          <w:color w:val="27251E"/>
          <w:spacing w:val="0"/>
        </w:rPr>
      </w:pPr>
      <w:r>
        <w:rPr>
          <w:caps w:val="false"/>
          <w:smallCaps w:val="false"/>
          <w:color w:val="27251E"/>
          <w:spacing w:val="0"/>
        </w:rPr>
        <w:t>“</w:t>
      </w:r>
      <w:r>
        <w:rPr>
          <w:rFonts w:ascii="pplxSerif;pplxSerif;ui-serif;Georgia;Cambria;serif" w:hAnsi="pplxSerif;pplxSerif;ui-serif;Georgia;Cambria;serif"/>
          <w:b/>
          <w:i w:val="false"/>
          <w:caps w:val="false"/>
          <w:smallCaps w:val="false"/>
          <w:color w:val="27251E"/>
          <w:spacing w:val="0"/>
          <w:sz w:val="24"/>
        </w:rPr>
        <w:t>Stopped the vehicle because it had a private plate.”</w:t>
      </w:r>
    </w:p>
    <w:p>
      <w:pPr>
        <w:pStyle w:val="BodyText"/>
        <w:widowControl/>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More appropriate report language:</w:t>
      </w:r>
    </w:p>
    <w:p>
      <w:pPr>
        <w:pStyle w:val="BodyText"/>
        <w:widowControl/>
        <w:bidi w:val="0"/>
        <w:spacing w:lineRule="auto" w:line="389" w:before="120" w:after="120"/>
        <w:ind w:hanging="0" w:start="567" w:end="567"/>
        <w:jc w:val="start"/>
        <w:rPr>
          <w:caps w:val="false"/>
          <w:smallCaps w:val="false"/>
          <w:color w:val="27251E"/>
          <w:spacing w:val="0"/>
        </w:rPr>
      </w:pPr>
      <w:r>
        <w:rPr>
          <w:caps w:val="false"/>
          <w:smallCaps w:val="false"/>
          <w:color w:val="27251E"/>
          <w:spacing w:val="0"/>
        </w:rPr>
        <w:t>“</w:t>
      </w:r>
      <w:r>
        <w:rPr>
          <w:rFonts w:ascii="pplxSerif;pplxSerif;ui-serif;Georgia;Cambria;serif" w:hAnsi="pplxSerif;pplxSerif;ui-serif;Georgia;Cambria;serif"/>
          <w:b/>
          <w:i w:val="false"/>
          <w:caps w:val="false"/>
          <w:smallCaps w:val="false"/>
          <w:color w:val="27251E"/>
          <w:spacing w:val="0"/>
          <w:sz w:val="24"/>
        </w:rPr>
        <w:t>The displayed plate was presented as issued by a named jurisdiction. Prior to the stop, dispatch confirmed that the claimed issuing authority had no record of the plate number, and the plate number was associated in available records with a different vehicle. Based on those facts, I suspected a violation of [specific statute].”</w:t>
      </w:r>
    </w:p>
    <w:p>
      <w:pPr>
        <w:pStyle w:val="HorizontalLine"/>
        <w:widowControl/>
        <w:bidi w:val="0"/>
        <w:spacing w:lineRule="auto" w:line="389" w:before="240" w:after="140"/>
        <w:ind w:hanging="0"/>
        <w:jc w:val="start"/>
        <w:rPr/>
      </w:pPr>
      <w:r>
        <w:rPr/>
      </w:r>
    </w:p>
    <w:p>
      <w:pPr>
        <w:pStyle w:val="Heading1"/>
        <w:widowControl/>
        <w:bidi w:val="0"/>
        <w:spacing w:lineRule="auto" w:line="420" w:before="240" w:after="120"/>
        <w:ind w:hanging="0" w:start="0" w:end="0"/>
        <w:jc w:val="start"/>
        <w:rPr>
          <w:caps w:val="false"/>
          <w:smallCaps w:val="false"/>
          <w:color w:val="27251E"/>
          <w:spacing w:val="0"/>
        </w:rPr>
      </w:pPr>
      <w:bookmarkStart w:id="26" w:name="fictitious-plate-allegations"/>
      <w:bookmarkEnd w:id="26"/>
      <w:r>
        <w:rPr>
          <w:caps w:val="false"/>
          <w:smallCaps w:val="false"/>
          <w:color w:val="27251E"/>
          <w:spacing w:val="0"/>
        </w:rPr>
        <w:t>“</w:t>
      </w:r>
      <w:r>
        <w:rPr>
          <w:rFonts w:ascii="pplxSerif;pplxSerif;ui-serif;Georgia;Cambria;serif" w:hAnsi="pplxSerif;pplxSerif;ui-serif;Georgia;Cambria;serif"/>
          <w:b/>
          <w:i w:val="false"/>
          <w:caps w:val="false"/>
          <w:smallCaps w:val="false"/>
          <w:color w:val="27251E"/>
          <w:spacing w:val="0"/>
          <w:sz w:val="24"/>
        </w:rPr>
        <w:t>Fictitious Plate” Allegations</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27" w:name="exact-statute-required"/>
      <w:bookmarkEnd w:id="27"/>
      <w:r>
        <w:rPr>
          <w:rFonts w:ascii="pplxSerif;pplxSerif;ui-serif;Georgia;Cambria;serif" w:hAnsi="pplxSerif;pplxSerif;ui-serif;Georgia;Cambria;serif"/>
          <w:b/>
          <w:i w:val="false"/>
          <w:caps w:val="false"/>
          <w:smallCaps w:val="false"/>
          <w:color w:val="27251E"/>
          <w:spacing w:val="0"/>
          <w:sz w:val="24"/>
        </w:rPr>
        <w:t>Exact Statute Required</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Officers must not use “fictitious plate” as a broad label. Before making that allegation, the officer must identify the precise statute and the factual elements of that statute.</w:t>
      </w:r>
    </w:p>
    <w:p>
      <w:pPr>
        <w:pStyle w:val="BodyText"/>
        <w:widowControl/>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Potentially distinct legal theories may include:</w:t>
      </w:r>
    </w:p>
    <w:p>
      <w:pPr>
        <w:pStyle w:val="BodyText"/>
        <w:widowControl/>
        <w:numPr>
          <w:ilvl w:val="0"/>
          <w:numId w:val="10"/>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Counterfeit or fabricated official plate.</w:t>
      </w:r>
    </w:p>
    <w:p>
      <w:pPr>
        <w:pStyle w:val="BodyText"/>
        <w:widowControl/>
        <w:numPr>
          <w:ilvl w:val="0"/>
          <w:numId w:val="10"/>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Forged registration certificate.</w:t>
      </w:r>
    </w:p>
    <w:p>
      <w:pPr>
        <w:pStyle w:val="BodyText"/>
        <w:widowControl/>
        <w:numPr>
          <w:ilvl w:val="0"/>
          <w:numId w:val="10"/>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Altered, obscured, or defaced plate.</w:t>
      </w:r>
    </w:p>
    <w:p>
      <w:pPr>
        <w:pStyle w:val="BodyText"/>
        <w:widowControl/>
        <w:numPr>
          <w:ilvl w:val="0"/>
          <w:numId w:val="10"/>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Plate issued to another vehicle.</w:t>
      </w:r>
    </w:p>
    <w:p>
      <w:pPr>
        <w:pStyle w:val="BodyText"/>
        <w:widowControl/>
        <w:numPr>
          <w:ilvl w:val="0"/>
          <w:numId w:val="10"/>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Plate unlawfully obtained.</w:t>
      </w:r>
    </w:p>
    <w:p>
      <w:pPr>
        <w:pStyle w:val="BodyText"/>
        <w:widowControl/>
        <w:numPr>
          <w:ilvl w:val="0"/>
          <w:numId w:val="10"/>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Registration obtained using materially false information.</w:t>
      </w:r>
    </w:p>
    <w:p>
      <w:pPr>
        <w:pStyle w:val="BodyText"/>
        <w:widowControl/>
        <w:numPr>
          <w:ilvl w:val="0"/>
          <w:numId w:val="10"/>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Improper use of a dealer plate.</w:t>
      </w:r>
    </w:p>
    <w:p>
      <w:pPr>
        <w:pStyle w:val="BodyText"/>
        <w:widowControl/>
        <w:numPr>
          <w:ilvl w:val="0"/>
          <w:numId w:val="10"/>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Improper use of a temporary permit.</w:t>
      </w:r>
    </w:p>
    <w:p>
      <w:pPr>
        <w:pStyle w:val="BodyText"/>
        <w:widowControl/>
        <w:numPr>
          <w:ilvl w:val="0"/>
          <w:numId w:val="10"/>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Imitation of a government-issued plate.</w:t>
      </w:r>
    </w:p>
    <w:p>
      <w:pPr>
        <w:pStyle w:val="BodyText"/>
        <w:widowControl/>
        <w:numPr>
          <w:ilvl w:val="0"/>
          <w:numId w:val="10"/>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Use of an expired or canceled registration.</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phrase “fictitious plate” is not proof. It is a conclusion that requires evidence.</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28" w:name="verification-before-enforcement"/>
      <w:bookmarkEnd w:id="28"/>
      <w:r>
        <w:rPr>
          <w:rFonts w:ascii="pplxSerif;pplxSerif;ui-serif;Georgia;Cambria;serif" w:hAnsi="pplxSerif;pplxSerif;ui-serif;Georgia;Cambria;serif"/>
          <w:b/>
          <w:i w:val="false"/>
          <w:caps w:val="false"/>
          <w:smallCaps w:val="false"/>
          <w:color w:val="27251E"/>
          <w:spacing w:val="0"/>
          <w:sz w:val="24"/>
        </w:rPr>
        <w:t>Verification Before Enforcement</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When practical, officers should:</w:t>
      </w:r>
    </w:p>
    <w:p>
      <w:pPr>
        <w:pStyle w:val="BodyText"/>
        <w:widowControl/>
        <w:numPr>
          <w:ilvl w:val="0"/>
          <w:numId w:val="1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Photograph the plate and documents.</w:t>
      </w:r>
    </w:p>
    <w:p>
      <w:pPr>
        <w:pStyle w:val="BodyText"/>
        <w:widowControl/>
        <w:numPr>
          <w:ilvl w:val="0"/>
          <w:numId w:val="1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Compare the plate, VIN, make, model, and registration information.</w:t>
      </w:r>
    </w:p>
    <w:p>
      <w:pPr>
        <w:pStyle w:val="BodyText"/>
        <w:widowControl/>
        <w:numPr>
          <w:ilvl w:val="0"/>
          <w:numId w:val="1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Use available state and national records systems.</w:t>
      </w:r>
    </w:p>
    <w:p>
      <w:pPr>
        <w:pStyle w:val="BodyText"/>
        <w:widowControl/>
        <w:numPr>
          <w:ilvl w:val="0"/>
          <w:numId w:val="1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Contact dispatch or a responsible issuing agency.</w:t>
      </w:r>
    </w:p>
    <w:p>
      <w:pPr>
        <w:pStyle w:val="BodyText"/>
        <w:widowControl/>
        <w:numPr>
          <w:ilvl w:val="0"/>
          <w:numId w:val="1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Seek supervisory guidance if the registration claim is plausible but unclear.</w:t>
      </w:r>
    </w:p>
    <w:p>
      <w:pPr>
        <w:pStyle w:val="BodyText"/>
        <w:widowControl/>
        <w:numPr>
          <w:ilvl w:val="0"/>
          <w:numId w:val="1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Document the exact results of every verification effort.</w:t>
      </w:r>
    </w:p>
    <w:p>
      <w:pPr>
        <w:pStyle w:val="BodyText"/>
        <w:widowControl/>
        <w:numPr>
          <w:ilvl w:val="0"/>
          <w:numId w:val="1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Preserve relevant camera, dispatch, and database records.</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database non-return may support reasonable inquiry. It does not automatically establish fraud, forgery, counterfeiting, or criminal intent.</w:t>
      </w:r>
    </w:p>
    <w:p>
      <w:pPr>
        <w:pStyle w:val="HorizontalLine"/>
        <w:widowControl/>
        <w:bidi w:val="0"/>
        <w:spacing w:lineRule="auto" w:line="389" w:before="240" w:after="140"/>
        <w:ind w:hanging="0"/>
        <w:jc w:val="start"/>
        <w:rPr/>
      </w:pPr>
      <w:r>
        <w:rPr/>
      </w:r>
    </w:p>
    <w:p>
      <w:pPr>
        <w:pStyle w:val="Heading1"/>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29" w:name="searches-arrests-and-prolonged-detention"/>
      <w:bookmarkEnd w:id="29"/>
      <w:r>
        <w:rPr>
          <w:rFonts w:ascii="pplxSerif;pplxSerif;ui-serif;Georgia;Cambria;serif" w:hAnsi="pplxSerif;pplxSerif;ui-serif;Georgia;Cambria;serif"/>
          <w:b/>
          <w:i w:val="false"/>
          <w:caps w:val="false"/>
          <w:smallCaps w:val="false"/>
          <w:color w:val="27251E"/>
          <w:spacing w:val="0"/>
          <w:sz w:val="24"/>
        </w:rPr>
        <w:t>Searches, Arrests, and Prolonged Detention</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30" w:name="separate-legal-authority"/>
      <w:bookmarkEnd w:id="30"/>
      <w:r>
        <w:rPr>
          <w:rFonts w:ascii="pplxSerif;pplxSerif;ui-serif;Georgia;Cambria;serif" w:hAnsi="pplxSerif;pplxSerif;ui-serif;Georgia;Cambria;serif"/>
          <w:b/>
          <w:i w:val="false"/>
          <w:caps w:val="false"/>
          <w:smallCaps w:val="false"/>
          <w:color w:val="27251E"/>
          <w:spacing w:val="0"/>
          <w:sz w:val="24"/>
        </w:rPr>
        <w:t>Separate Legal Authority</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valid traffic stop does not automatically authorize:</w:t>
      </w:r>
    </w:p>
    <w:p>
      <w:pPr>
        <w:pStyle w:val="BodyText"/>
        <w:widowControl/>
        <w:numPr>
          <w:ilvl w:val="0"/>
          <w:numId w:val="12"/>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frisk.</w:t>
      </w:r>
    </w:p>
    <w:p>
      <w:pPr>
        <w:pStyle w:val="BodyText"/>
        <w:widowControl/>
        <w:numPr>
          <w:ilvl w:val="0"/>
          <w:numId w:val="12"/>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search of the vehicle.</w:t>
      </w:r>
    </w:p>
    <w:p>
      <w:pPr>
        <w:pStyle w:val="BodyText"/>
        <w:widowControl/>
        <w:numPr>
          <w:ilvl w:val="0"/>
          <w:numId w:val="12"/>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search of personal property.</w:t>
      </w:r>
    </w:p>
    <w:p>
      <w:pPr>
        <w:pStyle w:val="BodyText"/>
        <w:widowControl/>
        <w:numPr>
          <w:ilvl w:val="0"/>
          <w:numId w:val="12"/>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search of a phone or digital device.</w:t>
      </w:r>
    </w:p>
    <w:p>
      <w:pPr>
        <w:pStyle w:val="BodyText"/>
        <w:widowControl/>
        <w:numPr>
          <w:ilvl w:val="0"/>
          <w:numId w:val="12"/>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arrest.</w:t>
      </w:r>
    </w:p>
    <w:p>
      <w:pPr>
        <w:pStyle w:val="BodyText"/>
        <w:widowControl/>
        <w:numPr>
          <w:ilvl w:val="0"/>
          <w:numId w:val="12"/>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tow or impoundment.</w:t>
      </w:r>
    </w:p>
    <w:p>
      <w:pPr>
        <w:pStyle w:val="BodyText"/>
        <w:widowControl/>
        <w:numPr>
          <w:ilvl w:val="0"/>
          <w:numId w:val="12"/>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plate seizure.</w:t>
      </w:r>
    </w:p>
    <w:p>
      <w:pPr>
        <w:pStyle w:val="BodyText"/>
        <w:widowControl/>
        <w:numPr>
          <w:ilvl w:val="0"/>
          <w:numId w:val="12"/>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inventory search.</w:t>
      </w:r>
    </w:p>
    <w:p>
      <w:pPr>
        <w:pStyle w:val="BodyText"/>
        <w:widowControl/>
        <w:numPr>
          <w:ilvl w:val="0"/>
          <w:numId w:val="12"/>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Extension of the stop for unrelated investigation.</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Each action requires its own lawful basis.</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31" w:name="stop-duration"/>
      <w:bookmarkEnd w:id="31"/>
      <w:r>
        <w:rPr>
          <w:rFonts w:ascii="pplxSerif;pplxSerif;ui-serif;Georgia;Cambria;serif" w:hAnsi="pplxSerif;pplxSerif;ui-serif;Georgia;Cambria;serif"/>
          <w:b/>
          <w:i w:val="false"/>
          <w:caps w:val="false"/>
          <w:smallCaps w:val="false"/>
          <w:color w:val="27251E"/>
          <w:spacing w:val="0"/>
          <w:sz w:val="24"/>
        </w:rPr>
        <w:t>Stop Duration</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duration of a traffic stop must remain reasonably related to its original mission, such as addressing a traffic or registration concern. An officer may conduct ordinary record checks and related tasks, but cannot extend the stop for unrelated investigation without consent or independent reasonable suspicion.</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32" w:name="arrest"/>
      <w:bookmarkEnd w:id="32"/>
      <w:r>
        <w:rPr>
          <w:rFonts w:ascii="pplxSerif;pplxSerif;ui-serif;Georgia;Cambria;serif" w:hAnsi="pplxSerif;pplxSerif;ui-serif;Georgia;Cambria;serif"/>
          <w:b/>
          <w:i w:val="false"/>
          <w:caps w:val="false"/>
          <w:smallCaps w:val="false"/>
          <w:color w:val="27251E"/>
          <w:spacing w:val="0"/>
          <w:sz w:val="24"/>
        </w:rPr>
        <w:t>Arrest</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arrest must be based on statutory authority and probable cause. An officer shall not arrest a person merely for:</w:t>
      </w:r>
    </w:p>
    <w:p>
      <w:pPr>
        <w:pStyle w:val="BodyText"/>
        <w:widowControl/>
        <w:numPr>
          <w:ilvl w:val="0"/>
          <w:numId w:val="13"/>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Asserting constitutional rights.</w:t>
      </w:r>
    </w:p>
    <w:p>
      <w:pPr>
        <w:pStyle w:val="BodyText"/>
        <w:widowControl/>
        <w:numPr>
          <w:ilvl w:val="0"/>
          <w:numId w:val="13"/>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Refusing consent to search.</w:t>
      </w:r>
    </w:p>
    <w:p>
      <w:pPr>
        <w:pStyle w:val="BodyText"/>
        <w:widowControl/>
        <w:numPr>
          <w:ilvl w:val="0"/>
          <w:numId w:val="13"/>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Using unusual legal terminology.</w:t>
      </w:r>
    </w:p>
    <w:p>
      <w:pPr>
        <w:pStyle w:val="BodyText"/>
        <w:widowControl/>
        <w:numPr>
          <w:ilvl w:val="0"/>
          <w:numId w:val="13"/>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Challenging a legal conclusion.</w:t>
      </w:r>
    </w:p>
    <w:p>
      <w:pPr>
        <w:pStyle w:val="BodyText"/>
        <w:widowControl/>
        <w:numPr>
          <w:ilvl w:val="0"/>
          <w:numId w:val="13"/>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Claiming nonresident or external-registration status.</w:t>
      </w:r>
    </w:p>
    <w:p>
      <w:pPr>
        <w:pStyle w:val="BodyText"/>
        <w:widowControl/>
        <w:numPr>
          <w:ilvl w:val="0"/>
          <w:numId w:val="13"/>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Recording an encounter where legally permitted.</w:t>
      </w:r>
    </w:p>
    <w:p>
      <w:pPr>
        <w:pStyle w:val="BodyText"/>
        <w:widowControl/>
        <w:numPr>
          <w:ilvl w:val="0"/>
          <w:numId w:val="13"/>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Declining to engage in a legal debate.</w:t>
      </w:r>
    </w:p>
    <w:p>
      <w:pPr>
        <w:pStyle w:val="HorizontalLine"/>
        <w:widowControl/>
        <w:bidi w:val="0"/>
        <w:spacing w:lineRule="auto" w:line="389" w:before="240" w:after="140"/>
        <w:ind w:hanging="0"/>
        <w:jc w:val="start"/>
        <w:rPr/>
      </w:pPr>
      <w:r>
        <w:rPr/>
      </w:r>
    </w:p>
    <w:p>
      <w:pPr>
        <w:pStyle w:val="Heading1"/>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33" w:name="towing-impoundment-and-property-rights"/>
      <w:bookmarkEnd w:id="33"/>
      <w:r>
        <w:rPr>
          <w:rFonts w:ascii="pplxSerif;pplxSerif;ui-serif;Georgia;Cambria;serif" w:hAnsi="pplxSerif;pplxSerif;ui-serif;Georgia;Cambria;serif"/>
          <w:b/>
          <w:i w:val="false"/>
          <w:caps w:val="false"/>
          <w:smallCaps w:val="false"/>
          <w:color w:val="27251E"/>
          <w:spacing w:val="0"/>
          <w:sz w:val="24"/>
        </w:rPr>
        <w:t>Towing, Impoundment, and Property Rights</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34" w:name="necessity-and-authority"/>
      <w:bookmarkEnd w:id="34"/>
      <w:r>
        <w:rPr>
          <w:rFonts w:ascii="pplxSerif;pplxSerif;ui-serif;Georgia;Cambria;serif" w:hAnsi="pplxSerif;pplxSerif;ui-serif;Georgia;Cambria;serif"/>
          <w:b/>
          <w:i w:val="false"/>
          <w:caps w:val="false"/>
          <w:smallCaps w:val="false"/>
          <w:color w:val="27251E"/>
          <w:spacing w:val="0"/>
          <w:sz w:val="24"/>
        </w:rPr>
        <w:t>Necessity and Authority</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Towing and impoundment are serious property seizures. They may impose substantial costs, restrict mobility, interfere with employment, and impair access to essential transportation.</w:t>
      </w:r>
    </w:p>
    <w:p>
      <w:pPr>
        <w:pStyle w:val="BodyText"/>
        <w:widowControl/>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Before ordering a tow based on a registration or licensing issue, officers should consider:</w:t>
      </w:r>
    </w:p>
    <w:p>
      <w:pPr>
        <w:pStyle w:val="BodyText"/>
        <w:widowControl/>
        <w:numPr>
          <w:ilvl w:val="0"/>
          <w:numId w:val="14"/>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Does state law require removal?</w:t>
      </w:r>
    </w:p>
    <w:p>
      <w:pPr>
        <w:pStyle w:val="BodyText"/>
        <w:widowControl/>
        <w:numPr>
          <w:ilvl w:val="0"/>
          <w:numId w:val="14"/>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Is the vehicle unsafe or a hazard?</w:t>
      </w:r>
    </w:p>
    <w:p>
      <w:pPr>
        <w:pStyle w:val="BodyText"/>
        <w:widowControl/>
        <w:numPr>
          <w:ilvl w:val="0"/>
          <w:numId w:val="14"/>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Is the vehicle obstructing traffic?</w:t>
      </w:r>
    </w:p>
    <w:p>
      <w:pPr>
        <w:pStyle w:val="BodyText"/>
        <w:widowControl/>
        <w:numPr>
          <w:ilvl w:val="0"/>
          <w:numId w:val="14"/>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Is there written agency policy authorizing removal?</w:t>
      </w:r>
    </w:p>
    <w:p>
      <w:pPr>
        <w:pStyle w:val="BodyText"/>
        <w:widowControl/>
        <w:numPr>
          <w:ilvl w:val="0"/>
          <w:numId w:val="14"/>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Is a licensed driver available?</w:t>
      </w:r>
    </w:p>
    <w:p>
      <w:pPr>
        <w:pStyle w:val="BodyText"/>
        <w:widowControl/>
        <w:numPr>
          <w:ilvl w:val="0"/>
          <w:numId w:val="14"/>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Can the vehicle be lawfully parked and secured?</w:t>
      </w:r>
    </w:p>
    <w:p>
      <w:pPr>
        <w:pStyle w:val="BodyText"/>
        <w:widowControl/>
        <w:numPr>
          <w:ilvl w:val="0"/>
          <w:numId w:val="14"/>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Can the registration issue be resolved through verification, citation, or another less intrusive method?</w:t>
      </w:r>
    </w:p>
    <w:p>
      <w:pPr>
        <w:pStyle w:val="BodyText"/>
        <w:widowControl/>
        <w:numPr>
          <w:ilvl w:val="0"/>
          <w:numId w:val="14"/>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Is impoundment necessary for public safety or lawful evidence preservation?</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35" w:name="due-process"/>
      <w:bookmarkEnd w:id="35"/>
      <w:r>
        <w:rPr>
          <w:rFonts w:ascii="pplxSerif;pplxSerif;ui-serif;Georgia;Cambria;serif" w:hAnsi="pplxSerif;pplxSerif;ui-serif;Georgia;Cambria;serif"/>
          <w:b/>
          <w:i w:val="false"/>
          <w:caps w:val="false"/>
          <w:smallCaps w:val="false"/>
          <w:color w:val="27251E"/>
          <w:spacing w:val="0"/>
          <w:sz w:val="24"/>
        </w:rPr>
        <w:t>Due Process</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When property is towed, impounded, held, or seized, the agency should provide prompt written notice stating:</w:t>
      </w:r>
    </w:p>
    <w:p>
      <w:pPr>
        <w:pStyle w:val="BodyText"/>
        <w:widowControl/>
        <w:numPr>
          <w:ilvl w:val="0"/>
          <w:numId w:val="15"/>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reason for the seizure.</w:t>
      </w:r>
    </w:p>
    <w:p>
      <w:pPr>
        <w:pStyle w:val="BodyText"/>
        <w:widowControl/>
        <w:numPr>
          <w:ilvl w:val="0"/>
          <w:numId w:val="15"/>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legal authority relied upon.</w:t>
      </w:r>
    </w:p>
    <w:p>
      <w:pPr>
        <w:pStyle w:val="BodyText"/>
        <w:widowControl/>
        <w:numPr>
          <w:ilvl w:val="0"/>
          <w:numId w:val="15"/>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location of the property.</w:t>
      </w:r>
    </w:p>
    <w:p>
      <w:pPr>
        <w:pStyle w:val="BodyText"/>
        <w:widowControl/>
        <w:numPr>
          <w:ilvl w:val="0"/>
          <w:numId w:val="15"/>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steps necessary for recovery.</w:t>
      </w:r>
    </w:p>
    <w:p>
      <w:pPr>
        <w:pStyle w:val="BodyText"/>
        <w:widowControl/>
        <w:numPr>
          <w:ilvl w:val="0"/>
          <w:numId w:val="15"/>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Fees, deadlines, and storage information.</w:t>
      </w:r>
    </w:p>
    <w:p>
      <w:pPr>
        <w:pStyle w:val="BodyText"/>
        <w:widowControl/>
        <w:numPr>
          <w:ilvl w:val="0"/>
          <w:numId w:val="15"/>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available administrative or court process for contesting the seizure.</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property seizure must rest on law and policy, not punishment for disagreement, criticism, or unconventional beliefs.</w:t>
      </w:r>
    </w:p>
    <w:p>
      <w:pPr>
        <w:pStyle w:val="Heading2"/>
        <w:widowControl/>
        <w:bidi w:val="0"/>
        <w:spacing w:lineRule="auto" w:line="420" w:before="240" w:after="120"/>
        <w:ind w:hanging="0" w:start="0" w:end="0"/>
        <w:jc w:val="start"/>
        <w:rPr>
          <w:caps w:val="false"/>
          <w:smallCaps w:val="false"/>
          <w:color w:val="27251E"/>
          <w:spacing w:val="0"/>
        </w:rPr>
      </w:pPr>
      <w:bookmarkStart w:id="36" w:name="theft-and-accurate-legal-language"/>
      <w:bookmarkEnd w:id="36"/>
      <w:r>
        <w:rPr>
          <w:caps w:val="false"/>
          <w:smallCaps w:val="false"/>
          <w:color w:val="27251E"/>
          <w:spacing w:val="0"/>
        </w:rPr>
        <w:t>“</w:t>
      </w:r>
      <w:r>
        <w:rPr>
          <w:rFonts w:ascii="pplxSerif;pplxSerif;ui-serif;Georgia;Cambria;serif" w:hAnsi="pplxSerif;pplxSerif;ui-serif;Georgia;Cambria;serif"/>
          <w:b/>
          <w:i w:val="false"/>
          <w:caps w:val="false"/>
          <w:smallCaps w:val="false"/>
          <w:color w:val="27251E"/>
          <w:spacing w:val="0"/>
          <w:sz w:val="24"/>
        </w:rPr>
        <w:t>Theft” and Accurate Legal Language</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Training should avoid declaring that every improper tow, plate removal, or property seizure is automatically “theft.” Whether conduct constitutes theft depends on state criminal statutes, intent, authority, and the facts.</w:t>
      </w:r>
    </w:p>
    <w:p>
      <w:pPr>
        <w:pStyle w:val="BodyText"/>
        <w:widowControl/>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more legally accurate statement is:</w:t>
      </w:r>
    </w:p>
    <w:p>
      <w:pPr>
        <w:pStyle w:val="BodyText"/>
        <w:widowControl/>
        <w:bidi w:val="0"/>
        <w:spacing w:lineRule="auto" w:line="389" w:before="120" w:after="120"/>
        <w:ind w:hanging="0" w:start="567" w:end="567"/>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unauthorized taking, retention, destruction, towing, or impoundment of property may constitute an unlawful seizure, conversion, trespass to chattels, due-process violation, state tort, administrative violation, or other legal wrong depending on the facts and governing law.</w:t>
      </w:r>
    </w:p>
    <w:p>
      <w:pPr>
        <w:pStyle w:val="HorizontalLine"/>
        <w:widowControl/>
        <w:bidi w:val="0"/>
        <w:spacing w:lineRule="auto" w:line="389" w:before="240" w:after="140"/>
        <w:ind w:hanging="0"/>
        <w:jc w:val="start"/>
        <w:rPr/>
      </w:pPr>
      <w:r>
        <w:rPr/>
      </w:r>
    </w:p>
    <w:p>
      <w:pPr>
        <w:pStyle w:val="Heading1"/>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37" w:name="neutral-terminology-and-sovereign-citize"/>
      <w:bookmarkEnd w:id="37"/>
      <w:r>
        <w:rPr>
          <w:rFonts w:ascii="pplxSerif;pplxSerif;ui-serif;Georgia;Cambria;serif" w:hAnsi="pplxSerif;pplxSerif;ui-serif;Georgia;Cambria;serif"/>
          <w:b/>
          <w:i w:val="false"/>
          <w:caps w:val="false"/>
          <w:smallCaps w:val="false"/>
          <w:color w:val="27251E"/>
          <w:spacing w:val="0"/>
          <w:sz w:val="24"/>
        </w:rPr>
        <w:t>Neutral Terminology and “Sovereign Citizen” Labels</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38" w:name="no-ideology-based-enforcement"/>
      <w:bookmarkEnd w:id="38"/>
      <w:r>
        <w:rPr>
          <w:rFonts w:ascii="pplxSerif;pplxSerif;ui-serif;Georgia;Cambria;serif" w:hAnsi="pplxSerif;pplxSerif;ui-serif;Georgia;Cambria;serif"/>
          <w:b/>
          <w:i w:val="false"/>
          <w:caps w:val="false"/>
          <w:smallCaps w:val="false"/>
          <w:color w:val="27251E"/>
          <w:spacing w:val="0"/>
          <w:sz w:val="24"/>
        </w:rPr>
        <w:t>No Ideology-Based Enforcement</w:t>
      </w:r>
    </w:p>
    <w:p>
      <w:pPr>
        <w:pStyle w:val="BodyText"/>
        <w:widowControl/>
        <w:bidi w:val="0"/>
        <w:spacing w:lineRule="auto" w:line="389" w:before="120" w:after="120"/>
        <w:ind w:hanging="0" w:start="0" w:end="0"/>
        <w:jc w:val="start"/>
        <w:rPr/>
      </w:pPr>
      <w:r>
        <w:rPr>
          <w:rFonts w:ascii="pplxSerif;pplxSerif;ui-serif;Georgia;Cambria;serif" w:hAnsi="pplxSerif;pplxSerif;ui-serif;Georgia;Cambria;serif"/>
          <w:b/>
          <w:i w:val="false"/>
          <w:caps w:val="false"/>
          <w:smallCaps w:val="false"/>
          <w:color w:val="27251E"/>
          <w:spacing w:val="0"/>
          <w:sz w:val="24"/>
        </w:rPr>
        <w:t>The phrase </w:t>
      </w:r>
      <w:r>
        <w:rPr>
          <w:rStyle w:val="Strong"/>
          <w:rFonts w:ascii="pplxSerif;pplxSerif;ui-serif;Georgia;Cambria;serif" w:hAnsi="pplxSerif;pplxSerif;ui-serif;Georgia;Cambria;serif"/>
          <w:b/>
          <w:i w:val="false"/>
          <w:caps w:val="false"/>
          <w:smallCaps w:val="false"/>
          <w:color w:val="27251E"/>
          <w:spacing w:val="0"/>
          <w:sz w:val="24"/>
        </w:rPr>
        <w:t>“sovereign citizen”</w:t>
      </w:r>
      <w:r>
        <w:rPr>
          <w:rFonts w:ascii="pplxSerif;pplxSerif;ui-serif;Georgia;Cambria;serif" w:hAnsi="pplxSerif;pplxSerif;ui-serif;Georgia;Cambria;serif"/>
          <w:b/>
          <w:i w:val="false"/>
          <w:caps w:val="false"/>
          <w:smallCaps w:val="false"/>
          <w:color w:val="27251E"/>
          <w:spacing w:val="0"/>
          <w:sz w:val="24"/>
        </w:rPr>
        <w:t> is not a statutory offense, a criminal classification, or evidence that a person is dangerous, dishonest, or unlawful.</w:t>
      </w:r>
    </w:p>
    <w:p>
      <w:pPr>
        <w:pStyle w:val="BodyText"/>
        <w:widowControl/>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officer must not infer criminal conduct, fraudulent intent, dangerousness, lack of cooperation, or lack of constitutional rights from a motorist’s political, legal, or ideological beliefs.</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39" w:name="reporting-standard"/>
      <w:bookmarkEnd w:id="39"/>
      <w:r>
        <w:rPr>
          <w:rFonts w:ascii="pplxSerif;pplxSerif;ui-serif;Georgia;Cambria;serif" w:hAnsi="pplxSerif;pplxSerif;ui-serif;Georgia;Cambria;serif"/>
          <w:b/>
          <w:i w:val="false"/>
          <w:caps w:val="false"/>
          <w:smallCaps w:val="false"/>
          <w:color w:val="27251E"/>
          <w:spacing w:val="0"/>
          <w:sz w:val="24"/>
        </w:rPr>
        <w:t>Reporting Standard</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Officers shall describe observable facts and conduct rather than attach broad ideological labels.</w:t>
      </w:r>
    </w:p>
    <w:p>
      <w:pPr>
        <w:pStyle w:val="BodyText"/>
        <w:widowControl/>
        <w:bidi w:val="0"/>
        <w:spacing w:lineRule="auto" w:line="389" w:before="24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Avoid:</w:t>
      </w:r>
    </w:p>
    <w:p>
      <w:pPr>
        <w:pStyle w:val="BodyText"/>
        <w:widowControl/>
        <w:bidi w:val="0"/>
        <w:spacing w:lineRule="auto" w:line="389" w:before="120" w:after="120"/>
        <w:ind w:hanging="0" w:start="567" w:end="567"/>
        <w:jc w:val="start"/>
        <w:rPr>
          <w:caps w:val="false"/>
          <w:smallCaps w:val="false"/>
          <w:color w:val="27251E"/>
          <w:spacing w:val="0"/>
        </w:rPr>
      </w:pPr>
      <w:r>
        <w:rPr>
          <w:caps w:val="false"/>
          <w:smallCaps w:val="false"/>
          <w:color w:val="27251E"/>
          <w:spacing w:val="0"/>
        </w:rPr>
        <w:t>“</w:t>
      </w:r>
      <w:r>
        <w:rPr>
          <w:rFonts w:ascii="pplxSerif;pplxSerif;ui-serif;Georgia;Cambria;serif" w:hAnsi="pplxSerif;pplxSerif;ui-serif;Georgia;Cambria;serif"/>
          <w:b/>
          <w:i w:val="false"/>
          <w:caps w:val="false"/>
          <w:smallCaps w:val="false"/>
          <w:color w:val="27251E"/>
          <w:spacing w:val="0"/>
          <w:sz w:val="24"/>
        </w:rPr>
        <w:t>The motorist was a sovereign citizen and refused to cooperate.”</w:t>
      </w:r>
    </w:p>
    <w:p>
      <w:pPr>
        <w:pStyle w:val="BodyText"/>
        <w:widowControl/>
        <w:bidi w:val="0"/>
        <w:spacing w:lineRule="auto" w:line="389" w:before="12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Use:</w:t>
      </w:r>
    </w:p>
    <w:p>
      <w:pPr>
        <w:pStyle w:val="BodyText"/>
        <w:widowControl/>
        <w:bidi w:val="0"/>
        <w:spacing w:lineRule="auto" w:line="389" w:before="120" w:after="120"/>
        <w:ind w:hanging="0" w:start="567" w:end="567"/>
        <w:jc w:val="start"/>
        <w:rPr>
          <w:caps w:val="false"/>
          <w:smallCaps w:val="false"/>
          <w:color w:val="27251E"/>
          <w:spacing w:val="0"/>
        </w:rPr>
      </w:pPr>
      <w:r>
        <w:rPr>
          <w:caps w:val="false"/>
          <w:smallCaps w:val="false"/>
          <w:color w:val="27251E"/>
          <w:spacing w:val="0"/>
        </w:rPr>
        <w:t>“</w:t>
      </w:r>
      <w:r>
        <w:rPr>
          <w:rFonts w:ascii="pplxSerif;pplxSerif;ui-serif;Georgia;Cambria;serif" w:hAnsi="pplxSerif;pplxSerif;ui-serif;Georgia;Cambria;serif"/>
          <w:b/>
          <w:i w:val="false"/>
          <w:caps w:val="false"/>
          <w:smallCaps w:val="false"/>
          <w:color w:val="27251E"/>
          <w:spacing w:val="0"/>
          <w:sz w:val="24"/>
        </w:rPr>
        <w:t>The motorist stated that the state’s registration law did not apply to the vehicle, presented a document described as private registration, and declined to provide a state-issued driver license. The motorist remained in the vehicle, did not make threats, and complied with instructions to keep hands visible.”</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40" w:name="defamation-and-bias"/>
      <w:bookmarkEnd w:id="40"/>
      <w:r>
        <w:rPr>
          <w:rFonts w:ascii="pplxSerif;pplxSerif;ui-serif;Georgia;Cambria;serif" w:hAnsi="pplxSerif;pplxSerif;ui-serif;Georgia;Cambria;serif"/>
          <w:b/>
          <w:i w:val="false"/>
          <w:caps w:val="false"/>
          <w:smallCaps w:val="false"/>
          <w:color w:val="27251E"/>
          <w:spacing w:val="0"/>
          <w:sz w:val="24"/>
        </w:rPr>
        <w:t>Defamation and Bias</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Whether a label constitutes legally actionable defamation depends on the words used, whether the statement was false, publication, privilege, harm, intent, state law, and other facts. It should not be treated as automatically defamatory in every instance.</w:t>
      </w:r>
    </w:p>
    <w:p>
      <w:pPr>
        <w:pStyle w:val="BodyText"/>
        <w:widowControl/>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Nonetheless, unsupported labels can damage reputation, affect future encounters, introduce bias, undermine public trust, prejudice legal proceedings, and create avoidable civil exposure. Agencies should therefore prohibit unsupported, derogatory, speculative, or ideology-based entries in reports, dispatch records, intelligence databases, and public statements.</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41" w:name="officer-safety"/>
      <w:bookmarkEnd w:id="41"/>
      <w:r>
        <w:rPr>
          <w:rFonts w:ascii="pplxSerif;pplxSerif;ui-serif;Georgia;Cambria;serif" w:hAnsi="pplxSerif;pplxSerif;ui-serif;Georgia;Cambria;serif"/>
          <w:b/>
          <w:i w:val="false"/>
          <w:caps w:val="false"/>
          <w:smallCaps w:val="false"/>
          <w:color w:val="27251E"/>
          <w:spacing w:val="0"/>
          <w:sz w:val="24"/>
        </w:rPr>
        <w:t>Officer Safety</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Officer safety concerns must be based on articulable behavior, not ideology. Appropriate reportable facts may include:</w:t>
      </w:r>
    </w:p>
    <w:p>
      <w:pPr>
        <w:pStyle w:val="BodyText"/>
        <w:widowControl/>
        <w:numPr>
          <w:ilvl w:val="0"/>
          <w:numId w:val="16"/>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Specific threats.</w:t>
      </w:r>
    </w:p>
    <w:p>
      <w:pPr>
        <w:pStyle w:val="BodyText"/>
        <w:widowControl/>
        <w:numPr>
          <w:ilvl w:val="0"/>
          <w:numId w:val="16"/>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Display or mention of weapons.</w:t>
      </w:r>
    </w:p>
    <w:p>
      <w:pPr>
        <w:pStyle w:val="BodyText"/>
        <w:widowControl/>
        <w:numPr>
          <w:ilvl w:val="0"/>
          <w:numId w:val="16"/>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Attempts to flee.</w:t>
      </w:r>
    </w:p>
    <w:p>
      <w:pPr>
        <w:pStyle w:val="BodyText"/>
        <w:widowControl/>
        <w:numPr>
          <w:ilvl w:val="0"/>
          <w:numId w:val="16"/>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Violence or assault.</w:t>
      </w:r>
    </w:p>
    <w:p>
      <w:pPr>
        <w:pStyle w:val="BodyText"/>
        <w:widowControl/>
        <w:numPr>
          <w:ilvl w:val="0"/>
          <w:numId w:val="16"/>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Coordinated interference.</w:t>
      </w:r>
    </w:p>
    <w:p>
      <w:pPr>
        <w:pStyle w:val="BodyText"/>
        <w:widowControl/>
        <w:numPr>
          <w:ilvl w:val="0"/>
          <w:numId w:val="16"/>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Fraudulent credentials.</w:t>
      </w:r>
    </w:p>
    <w:p>
      <w:pPr>
        <w:pStyle w:val="BodyText"/>
        <w:widowControl/>
        <w:numPr>
          <w:ilvl w:val="0"/>
          <w:numId w:val="16"/>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Obstruction of emergency operations.</w:t>
      </w:r>
    </w:p>
    <w:p>
      <w:pPr>
        <w:pStyle w:val="BodyText"/>
        <w:widowControl/>
        <w:numPr>
          <w:ilvl w:val="0"/>
          <w:numId w:val="16"/>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Conduct indicating immediate danger.</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person’s legal theory, constitutional argument, or use of unconventional language is not itself a safety threat.</w:t>
      </w:r>
    </w:p>
    <w:p>
      <w:pPr>
        <w:pStyle w:val="HorizontalLine"/>
        <w:widowControl/>
        <w:bidi w:val="0"/>
        <w:spacing w:lineRule="auto" w:line="389" w:before="240" w:after="140"/>
        <w:ind w:hanging="0"/>
        <w:jc w:val="start"/>
        <w:rPr/>
      </w:pPr>
      <w:r>
        <w:rPr/>
      </w:r>
    </w:p>
    <w:p>
      <w:pPr>
        <w:pStyle w:val="Heading1"/>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42" w:name="civil-rights-and-state-law-exposure"/>
      <w:bookmarkEnd w:id="42"/>
      <w:r>
        <w:rPr>
          <w:rFonts w:ascii="pplxSerif;pplxSerif;ui-serif;Georgia;Cambria;serif" w:hAnsi="pplxSerif;pplxSerif;ui-serif;Georgia;Cambria;serif"/>
          <w:b/>
          <w:i w:val="false"/>
          <w:caps w:val="false"/>
          <w:smallCaps w:val="false"/>
          <w:color w:val="27251E"/>
          <w:spacing w:val="0"/>
          <w:sz w:val="24"/>
        </w:rPr>
        <w:t>Civil-Rights and State-Law Exposure</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43" w:name="federal-constitutional-claims"/>
      <w:bookmarkEnd w:id="43"/>
      <w:r>
        <w:rPr>
          <w:rFonts w:ascii="pplxSerif;pplxSerif;ui-serif;Georgia;Cambria;serif" w:hAnsi="pplxSerif;pplxSerif;ui-serif;Georgia;Cambria;serif"/>
          <w:b/>
          <w:i w:val="false"/>
          <w:caps w:val="false"/>
          <w:smallCaps w:val="false"/>
          <w:color w:val="27251E"/>
          <w:spacing w:val="0"/>
          <w:sz w:val="24"/>
        </w:rPr>
        <w:t>Federal Constitutional Claims</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Government officials acting under color of state law may face claims under 42 U.S.C. § 1983 when they violate federally protected rights. Potential allegations may involve:</w:t>
      </w:r>
    </w:p>
    <w:p>
      <w:pPr>
        <w:pStyle w:val="BodyText"/>
        <w:widowControl/>
        <w:numPr>
          <w:ilvl w:val="0"/>
          <w:numId w:val="17"/>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unreasonable traffic stop.</w:t>
      </w:r>
    </w:p>
    <w:p>
      <w:pPr>
        <w:pStyle w:val="BodyText"/>
        <w:widowControl/>
        <w:numPr>
          <w:ilvl w:val="0"/>
          <w:numId w:val="17"/>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unlawfully prolonged detention.</w:t>
      </w:r>
    </w:p>
    <w:p>
      <w:pPr>
        <w:pStyle w:val="BodyText"/>
        <w:widowControl/>
        <w:numPr>
          <w:ilvl w:val="0"/>
          <w:numId w:val="17"/>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unlawful search.</w:t>
      </w:r>
    </w:p>
    <w:p>
      <w:pPr>
        <w:pStyle w:val="BodyText"/>
        <w:widowControl/>
        <w:numPr>
          <w:ilvl w:val="0"/>
          <w:numId w:val="17"/>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unlawful arrest.</w:t>
      </w:r>
    </w:p>
    <w:p>
      <w:pPr>
        <w:pStyle w:val="BodyText"/>
        <w:widowControl/>
        <w:numPr>
          <w:ilvl w:val="0"/>
          <w:numId w:val="17"/>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unlawful property seizure.</w:t>
      </w:r>
    </w:p>
    <w:p>
      <w:pPr>
        <w:pStyle w:val="BodyText"/>
        <w:widowControl/>
        <w:numPr>
          <w:ilvl w:val="0"/>
          <w:numId w:val="17"/>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Retaliation for protected speech or recording.</w:t>
      </w:r>
    </w:p>
    <w:p>
      <w:pPr>
        <w:pStyle w:val="BodyText"/>
        <w:widowControl/>
        <w:numPr>
          <w:ilvl w:val="0"/>
          <w:numId w:val="17"/>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Denial of procedural due process.</w:t>
      </w:r>
    </w:p>
    <w:p>
      <w:pPr>
        <w:pStyle w:val="BodyText"/>
        <w:widowControl/>
        <w:numPr>
          <w:ilvl w:val="0"/>
          <w:numId w:val="17"/>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Discriminatory or selective enforcement.</w:t>
      </w:r>
    </w:p>
    <w:p>
      <w:pPr>
        <w:pStyle w:val="BodyText"/>
        <w:widowControl/>
        <w:numPr>
          <w:ilvl w:val="0"/>
          <w:numId w:val="17"/>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Failure to train or supervise.</w:t>
      </w:r>
    </w:p>
    <w:p>
      <w:pPr>
        <w:pStyle w:val="BodyText"/>
        <w:widowControl/>
        <w:numPr>
          <w:ilvl w:val="0"/>
          <w:numId w:val="17"/>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municipal policy or practice causing constitutional injury.</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disagreement with an officer, a citation, or an adverse court decision does not automatically establish a constitutional violation. The question is whether the officer’s conduct violated a right under the facts and law.</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44" w:name="state-law-remedies"/>
      <w:bookmarkEnd w:id="44"/>
      <w:r>
        <w:rPr>
          <w:rFonts w:ascii="pplxSerif;pplxSerif;ui-serif;Georgia;Cambria;serif" w:hAnsi="pplxSerif;pplxSerif;ui-serif;Georgia;Cambria;serif"/>
          <w:b/>
          <w:i w:val="false"/>
          <w:caps w:val="false"/>
          <w:smallCaps w:val="false"/>
          <w:color w:val="27251E"/>
          <w:spacing w:val="0"/>
          <w:sz w:val="24"/>
        </w:rPr>
        <w:t>State-Law Remedies</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State-law remedies may include, depending on the jurisdiction:</w:t>
      </w:r>
    </w:p>
    <w:p>
      <w:pPr>
        <w:pStyle w:val="BodyText"/>
        <w:widowControl/>
        <w:numPr>
          <w:ilvl w:val="0"/>
          <w:numId w:val="18"/>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Administrative review of a tow or impoundment.</w:t>
      </w:r>
    </w:p>
    <w:p>
      <w:pPr>
        <w:pStyle w:val="BodyText"/>
        <w:widowControl/>
        <w:numPr>
          <w:ilvl w:val="0"/>
          <w:numId w:val="18"/>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Return of property.</w:t>
      </w:r>
    </w:p>
    <w:p>
      <w:pPr>
        <w:pStyle w:val="BodyText"/>
        <w:widowControl/>
        <w:numPr>
          <w:ilvl w:val="0"/>
          <w:numId w:val="18"/>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Suppression of unlawfully obtained evidence.</w:t>
      </w:r>
    </w:p>
    <w:p>
      <w:pPr>
        <w:pStyle w:val="BodyText"/>
        <w:widowControl/>
        <w:numPr>
          <w:ilvl w:val="0"/>
          <w:numId w:val="18"/>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Dismissal where the government cannot prove the required elements.</w:t>
      </w:r>
    </w:p>
    <w:p>
      <w:pPr>
        <w:pStyle w:val="BodyText"/>
        <w:widowControl/>
        <w:numPr>
          <w:ilvl w:val="0"/>
          <w:numId w:val="18"/>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Appeal.</w:t>
      </w:r>
    </w:p>
    <w:p>
      <w:pPr>
        <w:pStyle w:val="BodyText"/>
        <w:widowControl/>
        <w:numPr>
          <w:ilvl w:val="0"/>
          <w:numId w:val="18"/>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False arrest or false imprisonment claims.</w:t>
      </w:r>
    </w:p>
    <w:p>
      <w:pPr>
        <w:pStyle w:val="BodyText"/>
        <w:widowControl/>
        <w:numPr>
          <w:ilvl w:val="0"/>
          <w:numId w:val="18"/>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Conversion claims.</w:t>
      </w:r>
    </w:p>
    <w:p>
      <w:pPr>
        <w:pStyle w:val="BodyText"/>
        <w:widowControl/>
        <w:numPr>
          <w:ilvl w:val="0"/>
          <w:numId w:val="18"/>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Trespass to chattels claims.</w:t>
      </w:r>
    </w:p>
    <w:p>
      <w:pPr>
        <w:pStyle w:val="BodyText"/>
        <w:widowControl/>
        <w:numPr>
          <w:ilvl w:val="0"/>
          <w:numId w:val="18"/>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Negligence claims.</w:t>
      </w:r>
    </w:p>
    <w:p>
      <w:pPr>
        <w:pStyle w:val="BodyText"/>
        <w:widowControl/>
        <w:numPr>
          <w:ilvl w:val="0"/>
          <w:numId w:val="18"/>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Statutory civil-rights remedies.</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State immunity laws, notice-of-claim requirements, deadlines, and procedural rules differ. Agency legal counsel should review all policies and training materials.</w:t>
      </w:r>
    </w:p>
    <w:p>
      <w:pPr>
        <w:pStyle w:val="HorizontalLine"/>
        <w:widowControl/>
        <w:bidi w:val="0"/>
        <w:spacing w:lineRule="auto" w:line="389" w:before="240" w:after="140"/>
        <w:ind w:hanging="0"/>
        <w:jc w:val="start"/>
        <w:rPr/>
      </w:pPr>
      <w:r>
        <w:rPr/>
      </w:r>
    </w:p>
    <w:p>
      <w:pPr>
        <w:pStyle w:val="Heading1"/>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45" w:name="officer-decision-protocol"/>
      <w:bookmarkEnd w:id="45"/>
      <w:r>
        <w:rPr>
          <w:rFonts w:ascii="pplxSerif;pplxSerif;ui-serif;Georgia;Cambria;serif" w:hAnsi="pplxSerif;pplxSerif;ui-serif;Georgia;Cambria;serif"/>
          <w:b/>
          <w:i w:val="false"/>
          <w:caps w:val="false"/>
          <w:smallCaps w:val="false"/>
          <w:color w:val="27251E"/>
          <w:spacing w:val="0"/>
          <w:sz w:val="24"/>
        </w:rPr>
        <w:t>Officer Decision Protocol</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46" w:name="step-one-identify-the-legal-basis"/>
      <w:bookmarkEnd w:id="46"/>
      <w:r>
        <w:rPr>
          <w:rFonts w:ascii="pplxSerif;pplxSerif;ui-serif;Georgia;Cambria;serif" w:hAnsi="pplxSerif;pplxSerif;ui-serif;Georgia;Cambria;serif"/>
          <w:b/>
          <w:i w:val="false"/>
          <w:caps w:val="false"/>
          <w:smallCaps w:val="false"/>
          <w:color w:val="27251E"/>
          <w:spacing w:val="0"/>
          <w:sz w:val="24"/>
        </w:rPr>
        <w:t>Step One: Identify the Legal Basis</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Before stopping the vehicle, determine the suspected violation and the specific facts supporting it.</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47" w:name="step-two-confirm-the-scope-of-the-stop"/>
      <w:bookmarkEnd w:id="47"/>
      <w:r>
        <w:rPr>
          <w:rFonts w:ascii="pplxSerif;pplxSerif;ui-serif;Georgia;Cambria;serif" w:hAnsi="pplxSerif;pplxSerif;ui-serif;Georgia;Cambria;serif"/>
          <w:b/>
          <w:i w:val="false"/>
          <w:caps w:val="false"/>
          <w:smallCaps w:val="false"/>
          <w:color w:val="27251E"/>
          <w:spacing w:val="0"/>
          <w:sz w:val="24"/>
        </w:rPr>
        <w:t>Step Two: Confirm the Scope of the Stop</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Once contact occurs, explain the reason for the stop in neutral language.</w:t>
      </w:r>
    </w:p>
    <w:p>
      <w:pPr>
        <w:pStyle w:val="BodyText"/>
        <w:widowControl/>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Example:</w:t>
      </w:r>
    </w:p>
    <w:p>
      <w:pPr>
        <w:pStyle w:val="BodyText"/>
        <w:widowControl/>
        <w:bidi w:val="0"/>
        <w:spacing w:lineRule="auto" w:line="389" w:before="120" w:after="120"/>
        <w:ind w:hanging="0" w:start="567" w:end="567"/>
        <w:jc w:val="start"/>
        <w:rPr>
          <w:caps w:val="false"/>
          <w:smallCaps w:val="false"/>
          <w:color w:val="27251E"/>
          <w:spacing w:val="0"/>
        </w:rPr>
      </w:pPr>
      <w:r>
        <w:rPr>
          <w:caps w:val="false"/>
          <w:smallCaps w:val="false"/>
          <w:color w:val="27251E"/>
          <w:spacing w:val="0"/>
        </w:rPr>
        <w:t>“</w:t>
      </w:r>
      <w:r>
        <w:rPr>
          <w:rFonts w:ascii="pplxSerif;pplxSerif;ui-serif;Georgia;Cambria;serif" w:hAnsi="pplxSerif;pplxSerif;ui-serif;Georgia;Cambria;serif"/>
          <w:b/>
          <w:i w:val="false"/>
          <w:caps w:val="false"/>
          <w:smallCaps w:val="false"/>
          <w:color w:val="27251E"/>
          <w:spacing w:val="0"/>
          <w:sz w:val="24"/>
        </w:rPr>
        <w:t>I am checking the validity of the registration displayed on this vehicle and whether it complies with applicable law.”</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48" w:name="step-three-gather-relevant-documents"/>
      <w:bookmarkEnd w:id="48"/>
      <w:r>
        <w:rPr>
          <w:rFonts w:ascii="pplxSerif;pplxSerif;ui-serif;Georgia;Cambria;serif" w:hAnsi="pplxSerif;pplxSerif;ui-serif;Georgia;Cambria;serif"/>
          <w:b/>
          <w:i w:val="false"/>
          <w:caps w:val="false"/>
          <w:smallCaps w:val="false"/>
          <w:color w:val="27251E"/>
          <w:spacing w:val="0"/>
          <w:sz w:val="24"/>
        </w:rPr>
        <w:t>Step Three: Gather Relevant Documents</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Request only information reasonably related to the lawful purpose of the stop.</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49" w:name="step-four-identify-the-controlling-law"/>
      <w:bookmarkEnd w:id="49"/>
      <w:r>
        <w:rPr>
          <w:rFonts w:ascii="pplxSerif;pplxSerif;ui-serif;Georgia;Cambria;serif" w:hAnsi="pplxSerif;pplxSerif;ui-serif;Georgia;Cambria;serif"/>
          <w:b/>
          <w:i w:val="false"/>
          <w:caps w:val="false"/>
          <w:smallCaps w:val="false"/>
          <w:color w:val="27251E"/>
          <w:spacing w:val="0"/>
          <w:sz w:val="24"/>
        </w:rPr>
        <w:t>Step Four: Identify the Controlling Law</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Determine the exact statute, its elements, relevant definitions, exceptions, exemptions, reciprocity rules, and nonresident provisions.</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50" w:name="step-five-verify-facts"/>
      <w:bookmarkEnd w:id="50"/>
      <w:r>
        <w:rPr>
          <w:rFonts w:ascii="pplxSerif;pplxSerif;ui-serif;Georgia;Cambria;serif" w:hAnsi="pplxSerif;pplxSerif;ui-serif;Georgia;Cambria;serif"/>
          <w:b/>
          <w:i w:val="false"/>
          <w:caps w:val="false"/>
          <w:smallCaps w:val="false"/>
          <w:color w:val="27251E"/>
          <w:spacing w:val="0"/>
          <w:sz w:val="24"/>
        </w:rPr>
        <w:t>Step Five: Verify Facts</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Use available records, dispatch, issuing-jurisdiction contacts, vehicle identifiers, documents, and supervisory consultation.</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51" w:name="step-six-apply-exemptions-and-exceptions"/>
      <w:bookmarkEnd w:id="51"/>
      <w:r>
        <w:rPr>
          <w:rFonts w:ascii="pplxSerif;pplxSerif;ui-serif;Georgia;Cambria;serif" w:hAnsi="pplxSerif;pplxSerif;ui-serif;Georgia;Cambria;serif"/>
          <w:b/>
          <w:i w:val="false"/>
          <w:caps w:val="false"/>
          <w:smallCaps w:val="false"/>
          <w:color w:val="27251E"/>
          <w:spacing w:val="0"/>
          <w:sz w:val="24"/>
        </w:rPr>
        <w:t>Step Six: Apply Exemptions and Exceptions</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If the facts establish that the person or vehicle qualifies under a statutory exemption, do not issue an inapplicable citation.</w:t>
      </w:r>
    </w:p>
    <w:p>
      <w:pPr>
        <w:pStyle w:val="BodyText"/>
        <w:widowControl/>
        <w:bidi w:val="0"/>
        <w:spacing w:lineRule="auto" w:line="389"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If the exemption does not apply, document the exact statutory reason and factual basis.</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52" w:name="step-seven-evaluate-additional-actions-s"/>
      <w:bookmarkEnd w:id="52"/>
      <w:r>
        <w:rPr>
          <w:rFonts w:ascii="pplxSerif;pplxSerif;ui-serif;Georgia;Cambria;serif" w:hAnsi="pplxSerif;pplxSerif;ui-serif;Georgia;Cambria;serif"/>
          <w:b/>
          <w:i w:val="false"/>
          <w:caps w:val="false"/>
          <w:smallCaps w:val="false"/>
          <w:color w:val="27251E"/>
          <w:spacing w:val="0"/>
          <w:sz w:val="24"/>
        </w:rPr>
        <w:t>Step Seven: Evaluate Additional Actions Separately</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Before searching, arresting, towing, impounding, or extending a detention, identify separate legal authority.</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53" w:name="step-eight-document-neutrally"/>
      <w:bookmarkEnd w:id="53"/>
      <w:r>
        <w:rPr>
          <w:rFonts w:ascii="pplxSerif;pplxSerif;ui-serif;Georgia;Cambria;serif" w:hAnsi="pplxSerif;pplxSerif;ui-serif;Georgia;Cambria;serif"/>
          <w:b/>
          <w:i w:val="false"/>
          <w:caps w:val="false"/>
          <w:smallCaps w:val="false"/>
          <w:color w:val="27251E"/>
          <w:spacing w:val="0"/>
          <w:sz w:val="24"/>
        </w:rPr>
        <w:t>Step Eight: Document Neutrally</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Report objective observations, documents presented, verification efforts, relevant statements, legal authority, and the timeline of events.</w:t>
      </w:r>
    </w:p>
    <w:p>
      <w:pPr>
        <w:pStyle w:val="HorizontalLine"/>
        <w:widowControl/>
        <w:bidi w:val="0"/>
        <w:spacing w:lineRule="auto" w:line="389" w:before="240" w:after="140"/>
        <w:ind w:hanging="0"/>
        <w:jc w:val="start"/>
        <w:rPr/>
      </w:pPr>
      <w:r>
        <w:rPr/>
      </w:r>
    </w:p>
    <w:p>
      <w:pPr>
        <w:pStyle w:val="Heading1"/>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54" w:name="required-report-elements"/>
      <w:bookmarkEnd w:id="54"/>
      <w:r>
        <w:rPr>
          <w:rFonts w:ascii="pplxSerif;pplxSerif;ui-serif;Georgia;Cambria;serif" w:hAnsi="pplxSerif;pplxSerif;ui-serif;Georgia;Cambria;serif"/>
          <w:b/>
          <w:i w:val="false"/>
          <w:caps w:val="false"/>
          <w:smallCaps w:val="false"/>
          <w:color w:val="27251E"/>
          <w:spacing w:val="0"/>
          <w:sz w:val="24"/>
        </w:rPr>
        <w:t>Required Report Elements</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For every incident involving claimed nonresident status, external registration, foreign registration, or disputed registration authority, officers should document:</w:t>
      </w:r>
    </w:p>
    <w:p>
      <w:pPr>
        <w:pStyle w:val="BodyText"/>
        <w:widowControl/>
        <w:numPr>
          <w:ilvl w:val="0"/>
          <w:numId w:val="1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Date, time, and location.</w:t>
      </w:r>
    </w:p>
    <w:p>
      <w:pPr>
        <w:pStyle w:val="BodyText"/>
        <w:widowControl/>
        <w:numPr>
          <w:ilvl w:val="0"/>
          <w:numId w:val="1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Exact pre-stop basis.</w:t>
      </w:r>
    </w:p>
    <w:p>
      <w:pPr>
        <w:pStyle w:val="BodyText"/>
        <w:widowControl/>
        <w:numPr>
          <w:ilvl w:val="0"/>
          <w:numId w:val="1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Statute or ordinance believed violated.</w:t>
      </w:r>
    </w:p>
    <w:p>
      <w:pPr>
        <w:pStyle w:val="BodyText"/>
        <w:widowControl/>
        <w:numPr>
          <w:ilvl w:val="0"/>
          <w:numId w:val="1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Plate description and photographs.</w:t>
      </w:r>
    </w:p>
    <w:p>
      <w:pPr>
        <w:pStyle w:val="BodyText"/>
        <w:widowControl/>
        <w:numPr>
          <w:ilvl w:val="0"/>
          <w:numId w:val="1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Vehicle description and VIN.</w:t>
      </w:r>
    </w:p>
    <w:p>
      <w:pPr>
        <w:pStyle w:val="BodyText"/>
        <w:widowControl/>
        <w:numPr>
          <w:ilvl w:val="0"/>
          <w:numId w:val="1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Identity of claimed issuing jurisdiction.</w:t>
      </w:r>
    </w:p>
    <w:p>
      <w:pPr>
        <w:pStyle w:val="BodyText"/>
        <w:widowControl/>
        <w:numPr>
          <w:ilvl w:val="0"/>
          <w:numId w:val="1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Registration documents presented.</w:t>
      </w:r>
    </w:p>
    <w:p>
      <w:pPr>
        <w:pStyle w:val="BodyText"/>
        <w:widowControl/>
        <w:numPr>
          <w:ilvl w:val="0"/>
          <w:numId w:val="1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Operator credential presented.</w:t>
      </w:r>
    </w:p>
    <w:p>
      <w:pPr>
        <w:pStyle w:val="BodyText"/>
        <w:widowControl/>
        <w:numPr>
          <w:ilvl w:val="0"/>
          <w:numId w:val="1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Verification efforts and results.</w:t>
      </w:r>
    </w:p>
    <w:p>
      <w:pPr>
        <w:pStyle w:val="BodyText"/>
        <w:widowControl/>
        <w:numPr>
          <w:ilvl w:val="0"/>
          <w:numId w:val="1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Claimed exemption or exception.</w:t>
      </w:r>
    </w:p>
    <w:p>
      <w:pPr>
        <w:pStyle w:val="BodyText"/>
        <w:widowControl/>
        <w:numPr>
          <w:ilvl w:val="0"/>
          <w:numId w:val="1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Facts supporting or defeating the exemption.</w:t>
      </w:r>
    </w:p>
    <w:p>
      <w:pPr>
        <w:pStyle w:val="BodyText"/>
        <w:widowControl/>
        <w:numPr>
          <w:ilvl w:val="0"/>
          <w:numId w:val="1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Legal basis for citation.</w:t>
      </w:r>
    </w:p>
    <w:p>
      <w:pPr>
        <w:pStyle w:val="BodyText"/>
        <w:widowControl/>
        <w:numPr>
          <w:ilvl w:val="0"/>
          <w:numId w:val="1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Legal basis for any search, arrest, tow, impoundment, or plate seizure.</w:t>
      </w:r>
    </w:p>
    <w:p>
      <w:pPr>
        <w:pStyle w:val="BodyText"/>
        <w:widowControl/>
        <w:numPr>
          <w:ilvl w:val="0"/>
          <w:numId w:val="1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Duration of detention.</w:t>
      </w:r>
    </w:p>
    <w:p>
      <w:pPr>
        <w:pStyle w:val="BodyText"/>
        <w:widowControl/>
        <w:numPr>
          <w:ilvl w:val="0"/>
          <w:numId w:val="1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Supervisor consultation.</w:t>
      </w:r>
    </w:p>
    <w:p>
      <w:pPr>
        <w:pStyle w:val="BodyText"/>
        <w:widowControl/>
        <w:numPr>
          <w:ilvl w:val="0"/>
          <w:numId w:val="19"/>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Notice provided regarding property recovery or review procedures.</w:t>
      </w:r>
    </w:p>
    <w:p>
      <w:pPr>
        <w:pStyle w:val="HorizontalLine"/>
        <w:widowControl/>
        <w:bidi w:val="0"/>
        <w:spacing w:lineRule="auto" w:line="389" w:before="240" w:after="140"/>
        <w:ind w:hanging="0"/>
        <w:jc w:val="start"/>
        <w:rPr/>
      </w:pPr>
      <w:r>
        <w:rPr/>
      </w:r>
    </w:p>
    <w:p>
      <w:pPr>
        <w:pStyle w:val="Heading1"/>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55" w:name="supervisor-review-triggers"/>
      <w:bookmarkEnd w:id="55"/>
      <w:r>
        <w:rPr>
          <w:rFonts w:ascii="pplxSerif;pplxSerif;ui-serif;Georgia;Cambria;serif" w:hAnsi="pplxSerif;pplxSerif;ui-serif;Georgia;Cambria;serif"/>
          <w:b/>
          <w:i w:val="false"/>
          <w:caps w:val="false"/>
          <w:smallCaps w:val="false"/>
          <w:color w:val="27251E"/>
          <w:spacing w:val="0"/>
          <w:sz w:val="24"/>
        </w:rPr>
        <w:t>Supervisor Review Triggers</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supervisor should review incidents involving:</w:t>
      </w:r>
    </w:p>
    <w:p>
      <w:pPr>
        <w:pStyle w:val="BodyText"/>
        <w:widowControl/>
        <w:numPr>
          <w:ilvl w:val="0"/>
          <w:numId w:val="20"/>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External, foreign, or nonresident registration.</w:t>
      </w:r>
    </w:p>
    <w:p>
      <w:pPr>
        <w:pStyle w:val="BodyText"/>
        <w:widowControl/>
        <w:numPr>
          <w:ilvl w:val="0"/>
          <w:numId w:val="20"/>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allegation of a fictitious plate or fraudulent registration.</w:t>
      </w:r>
    </w:p>
    <w:p>
      <w:pPr>
        <w:pStyle w:val="BodyText"/>
        <w:widowControl/>
        <w:numPr>
          <w:ilvl w:val="0"/>
          <w:numId w:val="20"/>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vehicle tow or impoundment.</w:t>
      </w:r>
    </w:p>
    <w:p>
      <w:pPr>
        <w:pStyle w:val="BodyText"/>
        <w:widowControl/>
        <w:numPr>
          <w:ilvl w:val="0"/>
          <w:numId w:val="20"/>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arrest primarily related to registration or licensing.</w:t>
      </w:r>
    </w:p>
    <w:p>
      <w:pPr>
        <w:pStyle w:val="BodyText"/>
        <w:widowControl/>
        <w:numPr>
          <w:ilvl w:val="0"/>
          <w:numId w:val="20"/>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search conducted during a registration-related stop.</w:t>
      </w:r>
    </w:p>
    <w:p>
      <w:pPr>
        <w:pStyle w:val="BodyText"/>
        <w:widowControl/>
        <w:numPr>
          <w:ilvl w:val="0"/>
          <w:numId w:val="20"/>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Detention beyond ordinary traffic processing.</w:t>
      </w:r>
    </w:p>
    <w:p>
      <w:pPr>
        <w:pStyle w:val="BodyText"/>
        <w:widowControl/>
        <w:numPr>
          <w:ilvl w:val="0"/>
          <w:numId w:val="20"/>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Use of ideology-based terminology.</w:t>
      </w:r>
    </w:p>
    <w:p>
      <w:pPr>
        <w:pStyle w:val="BodyText"/>
        <w:widowControl/>
        <w:numPr>
          <w:ilvl w:val="0"/>
          <w:numId w:val="20"/>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complaint alleging constitutional violations, property deprivation, defamation, retaliation, or selective enforcement.</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If an exemption was ignored, the wrong statute was cited, a seizure lacked authority, or a report used prejudicial language, the agency should correct the matter promptly and preserve all evidence.</w:t>
      </w:r>
    </w:p>
    <w:p>
      <w:pPr>
        <w:pStyle w:val="HorizontalLine"/>
        <w:widowControl/>
        <w:bidi w:val="0"/>
        <w:spacing w:lineRule="auto" w:line="389" w:before="240" w:after="140"/>
        <w:ind w:hanging="0"/>
        <w:jc w:val="start"/>
        <w:rPr/>
      </w:pPr>
      <w:r>
        <w:rPr/>
      </w:r>
    </w:p>
    <w:p>
      <w:pPr>
        <w:pStyle w:val="Heading1"/>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56" w:name="training-scenarios"/>
      <w:bookmarkEnd w:id="56"/>
      <w:r>
        <w:rPr>
          <w:rFonts w:ascii="pplxSerif;pplxSerif;ui-serif;Georgia;Cambria;serif" w:hAnsi="pplxSerif;pplxSerif;ui-serif;Georgia;Cambria;serif"/>
          <w:b/>
          <w:i w:val="false"/>
          <w:caps w:val="false"/>
          <w:smallCaps w:val="false"/>
          <w:color w:val="27251E"/>
          <w:spacing w:val="0"/>
          <w:sz w:val="24"/>
        </w:rPr>
        <w:t>Training Scenarios</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57" w:name="scenario-one-valid-external-registration"/>
      <w:bookmarkEnd w:id="57"/>
      <w:r>
        <w:rPr>
          <w:rFonts w:ascii="pplxSerif;pplxSerif;ui-serif;Georgia;Cambria;serif" w:hAnsi="pplxSerif;pplxSerif;ui-serif;Georgia;Cambria;serif"/>
          <w:b/>
          <w:i w:val="false"/>
          <w:caps w:val="false"/>
          <w:smallCaps w:val="false"/>
          <w:color w:val="27251E"/>
          <w:spacing w:val="0"/>
          <w:sz w:val="24"/>
        </w:rPr>
        <w:t>Scenario One: Valid External Registration</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vehicle displays a current plate from another jurisdiction. The operator provides a registration certificate that matches the vehicle and a valid credential issued by that jurisdiction. The operator states that they are temporarily present and not a resident of the enforcing state.</w:t>
      </w:r>
    </w:p>
    <w:p>
      <w:pPr>
        <w:pStyle w:val="BodyText"/>
        <w:widowControl/>
        <w:bidi w:val="0"/>
        <w:spacing w:lineRule="auto" w:line="389" w:before="24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Training response:</w:t>
      </w:r>
      <w:r>
        <w:rPr>
          <w:rFonts w:ascii="pplxSerif;pplxSerif;ui-serif;Georgia;Cambria;serif" w:hAnsi="pplxSerif;pplxSerif;ui-serif;Georgia;Cambria;serif"/>
          <w:b/>
          <w:i w:val="false"/>
          <w:caps w:val="false"/>
          <w:smallCaps w:val="false"/>
          <w:color w:val="27251E"/>
          <w:spacing w:val="0"/>
          <w:sz w:val="24"/>
        </w:rPr>
        <w:t> Review the state’s nonresident and reciprocity provisions. Do not treat the plate as invalid merely because it was issued elsewhere. Determine whether a statutory condition defeats recognition.</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58" w:name="scenario-two-homemade-private-plate"/>
      <w:bookmarkEnd w:id="58"/>
      <w:r>
        <w:rPr>
          <w:rFonts w:ascii="pplxSerif;pplxSerif;ui-serif;Georgia;Cambria;serif" w:hAnsi="pplxSerif;pplxSerif;ui-serif;Georgia;Cambria;serif"/>
          <w:b/>
          <w:i w:val="false"/>
          <w:caps w:val="false"/>
          <w:smallCaps w:val="false"/>
          <w:color w:val="27251E"/>
          <w:spacing w:val="0"/>
          <w:sz w:val="24"/>
        </w:rPr>
        <w:t>Scenario Two: Homemade “Private” Plate</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vehicle displays a plate reading “Private Traveler” and the operator cannot provide government-issued registration documentation. The operator claims vehicle-registration laws apply only to commercial activity.</w:t>
      </w:r>
    </w:p>
    <w:p>
      <w:pPr>
        <w:pStyle w:val="BodyText"/>
        <w:widowControl/>
        <w:bidi w:val="0"/>
        <w:spacing w:lineRule="auto" w:line="389" w:before="24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Training response:</w:t>
      </w:r>
      <w:r>
        <w:rPr>
          <w:rFonts w:ascii="pplxSerif;pplxSerif;ui-serif;Georgia;Cambria;serif" w:hAnsi="pplxSerif;pplxSerif;ui-serif;Georgia;Cambria;serif"/>
          <w:b/>
          <w:i w:val="false"/>
          <w:caps w:val="false"/>
          <w:smallCaps w:val="false"/>
          <w:color w:val="27251E"/>
          <w:spacing w:val="0"/>
          <w:sz w:val="24"/>
        </w:rPr>
        <w:t> The claim does not itself establish an exemption. Identify the actual plate-display and registration law. Do not mock, stereotype, or extend the stop merely to debate ideology. Take enforcement action only if the elements of a specific law are established.</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59" w:name="scenario-three-valid-external-plate-pote"/>
      <w:bookmarkEnd w:id="59"/>
      <w:r>
        <w:rPr>
          <w:rFonts w:ascii="pplxSerif;pplxSerif;ui-serif;Georgia;Cambria;serif" w:hAnsi="pplxSerif;pplxSerif;ui-serif;Georgia;Cambria;serif"/>
          <w:b/>
          <w:i w:val="false"/>
          <w:caps w:val="false"/>
          <w:smallCaps w:val="false"/>
          <w:color w:val="27251E"/>
          <w:spacing w:val="0"/>
          <w:sz w:val="24"/>
        </w:rPr>
        <w:t>Scenario Three: Valid External Plate, Potential Residency Issue</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vehicle displays apparently valid external registration, but records and observations reasonably indicate the owner has established residency in the enforcing state beyond the statutory deadline.</w:t>
      </w:r>
    </w:p>
    <w:p>
      <w:pPr>
        <w:pStyle w:val="BodyText"/>
        <w:widowControl/>
        <w:bidi w:val="0"/>
        <w:spacing w:lineRule="auto" w:line="389" w:before="24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Training response:</w:t>
      </w:r>
      <w:r>
        <w:rPr>
          <w:rFonts w:ascii="pplxSerif;pplxSerif;ui-serif;Georgia;Cambria;serif" w:hAnsi="pplxSerif;pplxSerif;ui-serif;Georgia;Cambria;serif"/>
          <w:b/>
          <w:i w:val="false"/>
          <w:caps w:val="false"/>
          <w:smallCaps w:val="false"/>
          <w:color w:val="27251E"/>
          <w:spacing w:val="0"/>
          <w:sz w:val="24"/>
        </w:rPr>
        <w:t> Determine the relevant statutory definition of resident and the applicable registration deadline. Document evidence carefully. External registration is not inherently unlawful, but it may not remain sufficient if a state-law exemption no longer applies.</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60" w:name="scenario-four-database-non-return"/>
      <w:bookmarkEnd w:id="60"/>
      <w:r>
        <w:rPr>
          <w:rFonts w:ascii="pplxSerif;pplxSerif;ui-serif;Georgia;Cambria;serif" w:hAnsi="pplxSerif;pplxSerif;ui-serif;Georgia;Cambria;serif"/>
          <w:b/>
          <w:i w:val="false"/>
          <w:caps w:val="false"/>
          <w:smallCaps w:val="false"/>
          <w:color w:val="27251E"/>
          <w:spacing w:val="0"/>
          <w:sz w:val="24"/>
        </w:rPr>
        <w:t>Scenario Four: Database Non-Return</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external plate does not return through available databases. The operator presents a registration certificate, but the issuing agency cannot be immediately contacted.</w:t>
      </w:r>
    </w:p>
    <w:p>
      <w:pPr>
        <w:pStyle w:val="BodyText"/>
        <w:widowControl/>
        <w:bidi w:val="0"/>
        <w:spacing w:lineRule="auto" w:line="389" w:before="24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Training response:</w:t>
      </w:r>
      <w:r>
        <w:rPr>
          <w:rFonts w:ascii="pplxSerif;pplxSerif;ui-serif;Georgia;Cambria;serif" w:hAnsi="pplxSerif;pplxSerif;ui-serif;Georgia;Cambria;serif"/>
          <w:b/>
          <w:i w:val="false"/>
          <w:caps w:val="false"/>
          <w:smallCaps w:val="false"/>
          <w:color w:val="27251E"/>
          <w:spacing w:val="0"/>
          <w:sz w:val="24"/>
        </w:rPr>
        <w:t> A non-return creates a verification issue, not automatic proof of fraud. Preserve documents and records, consult dispatch or a supervisor, and determine whether the totality of facts supports a specific statute before escalating enforcement.</w:t>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61" w:name="scenario-five-unconventional-legal-claim"/>
      <w:bookmarkEnd w:id="61"/>
      <w:r>
        <w:rPr>
          <w:rFonts w:ascii="pplxSerif;pplxSerif;ui-serif;Georgia;Cambria;serif" w:hAnsi="pplxSerif;pplxSerif;ui-serif;Georgia;Cambria;serif"/>
          <w:b/>
          <w:i w:val="false"/>
          <w:caps w:val="false"/>
          <w:smallCaps w:val="false"/>
          <w:color w:val="27251E"/>
          <w:spacing w:val="0"/>
          <w:sz w:val="24"/>
        </w:rPr>
        <w:t>Scenario Five: Unconventional Legal Claims</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motorist identifies as a “state national,” denies state jurisdiction, and argues that licensing laws do not apply. The motorist remains calm and produces requested documents.</w:t>
      </w:r>
    </w:p>
    <w:p>
      <w:pPr>
        <w:pStyle w:val="BodyText"/>
        <w:widowControl/>
        <w:bidi w:val="0"/>
        <w:spacing w:lineRule="auto" w:line="389" w:before="240" w:after="120"/>
        <w:ind w:hanging="0" w:start="0" w:end="0"/>
        <w:jc w:val="start"/>
        <w:rPr/>
      </w:pPr>
      <w:r>
        <w:rPr>
          <w:rStyle w:val="Strong"/>
          <w:rFonts w:ascii="pplxSerif;pplxSerif;ui-serif;Georgia;Cambria;serif" w:hAnsi="pplxSerif;pplxSerif;ui-serif;Georgia;Cambria;serif"/>
          <w:b/>
          <w:i w:val="false"/>
          <w:caps w:val="false"/>
          <w:smallCaps w:val="false"/>
          <w:color w:val="27251E"/>
          <w:spacing w:val="0"/>
          <w:sz w:val="24"/>
        </w:rPr>
        <w:t>Training response:</w:t>
      </w:r>
      <w:r>
        <w:rPr>
          <w:rFonts w:ascii="pplxSerif;pplxSerif;ui-serif;Georgia;Cambria;serif" w:hAnsi="pplxSerif;pplxSerif;ui-serif;Georgia;Cambria;serif"/>
          <w:b/>
          <w:i w:val="false"/>
          <w:caps w:val="false"/>
          <w:smallCaps w:val="false"/>
          <w:color w:val="27251E"/>
          <w:spacing w:val="0"/>
          <w:sz w:val="24"/>
        </w:rPr>
        <w:t> Do not use an ideological label. Do not escalate due to the argument alone. Complete the lawful traffic-related mission, document only relevant facts, and explain that legal challenges may be presented through court or administrative procedures.</w:t>
      </w:r>
    </w:p>
    <w:p>
      <w:pPr>
        <w:pStyle w:val="HorizontalLine"/>
        <w:widowControl/>
        <w:bidi w:val="0"/>
        <w:spacing w:lineRule="auto" w:line="389" w:before="240" w:after="140"/>
        <w:ind w:hanging="0"/>
        <w:jc w:val="start"/>
        <w:rPr/>
      </w:pPr>
      <w:r>
        <w:rPr/>
      </w:r>
    </w:p>
    <w:p>
      <w:pPr>
        <w:pStyle w:val="Heading1"/>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62" w:name="model-policy-language"/>
      <w:bookmarkEnd w:id="62"/>
      <w:r>
        <w:rPr>
          <w:rFonts w:ascii="pplxSerif;pplxSerif;ui-serif;Georgia;Cambria;serif" w:hAnsi="pplxSerif;pplxSerif;ui-serif;Georgia;Cambria;serif"/>
          <w:b/>
          <w:i w:val="false"/>
          <w:caps w:val="false"/>
          <w:smallCaps w:val="false"/>
          <w:color w:val="27251E"/>
          <w:spacing w:val="0"/>
          <w:sz w:val="24"/>
        </w:rPr>
        <w:t>Model Policy Language</w:t>
      </w:r>
    </w:p>
    <w:p>
      <w:pPr>
        <w:pStyle w:val="BodyText"/>
        <w:widowControl/>
        <w:bidi w:val="0"/>
        <w:spacing w:lineRule="auto" w:line="389" w:before="120" w:after="120"/>
        <w:ind w:hanging="0" w:start="567" w:end="567"/>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Officers shall enforce motor-vehicle laws impartially, professionally, and in conformity with the United States Constitution, the state constitution, applicable statutes, agency policy, and controlling judicial decisions.</w:t>
      </w:r>
    </w:p>
    <w:p>
      <w:pPr>
        <w:pStyle w:val="BodyText"/>
        <w:widowControl/>
        <w:bidi w:val="0"/>
        <w:spacing w:lineRule="auto" w:line="389" w:before="120" w:after="120"/>
        <w:ind w:hanging="0" w:start="567" w:end="567"/>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registration issued by another jurisdiction shall not be treated as invalid solely because it was not issued by this State, is unfamiliar to the officer, or does not appear in a local database. Officers shall evaluate nonresident, reciprocity, external-registration, and foreign-registration provisions according to their statutory terms.</w:t>
      </w:r>
    </w:p>
    <w:p>
      <w:pPr>
        <w:pStyle w:val="BodyText"/>
        <w:widowControl/>
        <w:bidi w:val="0"/>
        <w:spacing w:lineRule="auto" w:line="389" w:before="120" w:after="120"/>
        <w:ind w:hanging="0" w:start="567" w:end="567"/>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officer shall not describe a plate, registration, or document as fictitious, fraudulent, counterfeit, forged, or unlawfully issued without identifying the specific statute and facts supporting each required element.</w:t>
      </w:r>
    </w:p>
    <w:p>
      <w:pPr>
        <w:pStyle w:val="BodyText"/>
        <w:widowControl/>
        <w:bidi w:val="0"/>
        <w:spacing w:lineRule="auto" w:line="389" w:before="120" w:after="120"/>
        <w:ind w:hanging="0" w:start="567" w:end="567"/>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claim of private travel, noncommercial activity, constitutional travel, trust ownership, or nonresident status does not itself create an exemption from valid motor-vehicle laws. Such claims shall be evaluated under the actual statute and evidence.</w:t>
      </w:r>
    </w:p>
    <w:p>
      <w:pPr>
        <w:pStyle w:val="BodyText"/>
        <w:widowControl/>
        <w:bidi w:val="0"/>
        <w:spacing w:lineRule="auto" w:line="389" w:before="120" w:after="120"/>
        <w:ind w:hanging="0" w:start="567" w:end="567"/>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traffic or registration issue does not independently authorize a search, arrest, tow, impoundment, plate seizure, or prolonged detention. Each additional action requires separate legal authority.</w:t>
      </w:r>
    </w:p>
    <w:p>
      <w:pPr>
        <w:pStyle w:val="BodyText"/>
        <w:widowControl/>
        <w:bidi w:val="0"/>
        <w:spacing w:lineRule="auto" w:line="389" w:before="120" w:after="120"/>
        <w:ind w:hanging="0" w:start="567" w:end="567"/>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Reports shall describe conduct, documents, objective observations, and verification results. Unsupported ideology-based labels, including “sovereign citizen,” shall not be used as substitutes for facts.</w:t>
      </w:r>
    </w:p>
    <w:p>
      <w:pPr>
        <w:pStyle w:val="BodyText"/>
        <w:widowControl/>
        <w:bidi w:val="0"/>
        <w:spacing w:lineRule="auto" w:line="389" w:before="120" w:after="120"/>
        <w:ind w:hanging="0" w:start="567" w:end="567"/>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Officers shall remember that the authority to enforce the law is limited by the constitutional rights they swore to support and defend.</w:t>
      </w:r>
    </w:p>
    <w:p>
      <w:pPr>
        <w:pStyle w:val="HorizontalLine"/>
        <w:widowControl/>
        <w:bidi w:val="0"/>
        <w:spacing w:lineRule="auto" w:line="389" w:before="240" w:after="140"/>
        <w:ind w:hanging="0"/>
        <w:jc w:val="start"/>
        <w:rPr/>
      </w:pPr>
      <w:r>
        <w:rPr/>
      </w:r>
    </w:p>
    <w:p>
      <w:pPr>
        <w:pStyle w:val="Heading2"/>
        <w:widowControl/>
        <w:bidi w:val="0"/>
        <w:spacing w:lineRule="auto" w:line="420" w:before="240" w:after="120"/>
        <w:ind w:hanging="0" w:start="0" w:end="0"/>
        <w:jc w:val="start"/>
        <w:rPr>
          <w:rFonts w:ascii="pplxSerif;pplxSerif;ui-serif;Georgia;Cambria;serif" w:hAnsi="pplxSerif;pplxSerif;ui-serif;Georgia;Cambria;serif"/>
          <w:b/>
          <w:i w:val="false"/>
          <w:caps w:val="false"/>
          <w:smallCaps w:val="false"/>
          <w:color w:val="27251E"/>
          <w:spacing w:val="0"/>
          <w:sz w:val="24"/>
        </w:rPr>
      </w:pPr>
      <w:bookmarkStart w:id="63" w:name="officer-acknowledgment"/>
      <w:bookmarkEnd w:id="63"/>
      <w:r>
        <w:rPr>
          <w:rFonts w:ascii="pplxSerif;pplxSerif;ui-serif;Georgia;Cambria;serif" w:hAnsi="pplxSerif;pplxSerif;ui-serif;Georgia;Cambria;serif"/>
          <w:b/>
          <w:i w:val="false"/>
          <w:caps w:val="false"/>
          <w:smallCaps w:val="false"/>
          <w:color w:val="27251E"/>
          <w:spacing w:val="0"/>
          <w:sz w:val="24"/>
        </w:rPr>
        <w:t>Officer Acknowledgment</w:t>
      </w:r>
    </w:p>
    <w:p>
      <w:pPr>
        <w:pStyle w:val="BodyText"/>
        <w:widowControl/>
        <w:bidi w:val="0"/>
        <w:spacing w:lineRule="auto" w:line="389" w:before="120" w:after="12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By completing this training, the officer acknowledges:</w:t>
      </w:r>
    </w:p>
    <w:p>
      <w:pPr>
        <w:pStyle w:val="BodyText"/>
        <w:widowControl/>
        <w:numPr>
          <w:ilvl w:val="0"/>
          <w:numId w:val="2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External or nonresident registration may be lawful when statutory conditions are met.</w:t>
      </w:r>
    </w:p>
    <w:p>
      <w:pPr>
        <w:pStyle w:val="BodyText"/>
        <w:widowControl/>
        <w:numPr>
          <w:ilvl w:val="0"/>
          <w:numId w:val="2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An unfamiliar plate is not automatically a fictitious or unlawful plate.</w:t>
      </w:r>
    </w:p>
    <w:p>
      <w:pPr>
        <w:pStyle w:val="BodyText"/>
        <w:widowControl/>
        <w:numPr>
          <w:ilvl w:val="0"/>
          <w:numId w:val="2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Reasonable suspicion must exist before a traffic stop begins.</w:t>
      </w:r>
    </w:p>
    <w:p>
      <w:pPr>
        <w:pStyle w:val="BodyText"/>
        <w:widowControl/>
        <w:numPr>
          <w:ilvl w:val="0"/>
          <w:numId w:val="2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A stop must not be expanded without independent legal justification.</w:t>
      </w:r>
    </w:p>
    <w:p>
      <w:pPr>
        <w:pStyle w:val="BodyText"/>
        <w:widowControl/>
        <w:numPr>
          <w:ilvl w:val="0"/>
          <w:numId w:val="2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Searches, arrests, towing, impoundment, and property seizures require separate authority.</w:t>
      </w:r>
    </w:p>
    <w:p>
      <w:pPr>
        <w:pStyle w:val="BodyText"/>
        <w:widowControl/>
        <w:numPr>
          <w:ilvl w:val="0"/>
          <w:numId w:val="2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Reports must be factual, neutral, and free from unsupported ideological labels.</w:t>
      </w:r>
    </w:p>
    <w:p>
      <w:pPr>
        <w:pStyle w:val="BodyText"/>
        <w:widowControl/>
        <w:numPr>
          <w:ilvl w:val="0"/>
          <w:numId w:val="2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Constitutional and statutory exemptions must be evaluated according to their actual terms.</w:t>
      </w:r>
    </w:p>
    <w:p>
      <w:pPr>
        <w:pStyle w:val="BodyText"/>
        <w:widowControl/>
        <w:numPr>
          <w:ilvl w:val="0"/>
          <w:numId w:val="21"/>
        </w:numPr>
        <w:tabs>
          <w:tab w:val="clear" w:pos="709"/>
          <w:tab w:val="left" w:pos="0" w:leader="none"/>
        </w:tabs>
        <w:bidi w:val="0"/>
        <w:spacing w:lineRule="auto" w:line="389" w:before="0" w:after="120"/>
        <w:ind w:hanging="283"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officer’s oath requires faithful adherence to constitutional limits and lawful statutory enforcement.</w:t>
      </w:r>
    </w:p>
    <w:p>
      <w:pPr>
        <w:pStyle w:val="BodyText"/>
        <w:widowControl/>
        <w:bidi w:val="0"/>
        <w:spacing w:lineRule="auto" w:line="389" w:before="120" w:after="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r>
    </w:p>
    <w:p>
      <w:pPr>
        <w:pStyle w:val="BodyText"/>
        <w:widowControl/>
        <w:bidi w:val="0"/>
        <w:spacing w:lineRule="auto" w:line="389" w:before="120" w:after="0"/>
        <w:ind w:hanging="0" w:start="0" w:end="0"/>
        <w:jc w:val="start"/>
        <w:rPr>
          <w:rFonts w:ascii="pplxSerif;pplxSerif;ui-serif;Georgia;Cambria;serif" w:hAnsi="pplxSerif;pplxSerif;ui-serif;Georgia;Cambria;serif"/>
          <w:b/>
          <w:i w:val="false"/>
          <w:caps w:val="false"/>
          <w:smallCaps w:val="false"/>
          <w:color w:val="27251E"/>
          <w:spacing w:val="0"/>
          <w:sz w:val="24"/>
        </w:rPr>
      </w:pPr>
      <w:hyperlink r:id="rId2">
        <w:r>
          <w:rPr>
            <w:rStyle w:val="Hyperlink"/>
            <w:rFonts w:ascii="pplxSerif;pplxSerif;ui-serif;Georgia;Cambria;serif" w:hAnsi="pplxSerif;pplxSerif;ui-serif;Georgia;Cambria;serif"/>
            <w:b/>
            <w:i w:val="false"/>
            <w:caps w:val="false"/>
            <w:smallCaps w:val="false"/>
            <w:color w:val="27251E"/>
            <w:spacing w:val="0"/>
            <w:sz w:val="24"/>
          </w:rPr>
          <w:t>https://www.youtube.com/playlist?list=PL-G0NYJYCRZBLhUBkCbiWZtuCQc9vtjUh</w:t>
        </w:r>
      </w:hyperlink>
    </w:p>
    <w:p>
      <w:pPr>
        <w:pStyle w:val="BodyText"/>
        <w:widowControl/>
        <w:bidi w:val="0"/>
        <w:spacing w:lineRule="auto" w:line="389" w:before="120" w:after="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Right to Travel Video Course on the FULL Lawful Travel Step by Step to be in Compliance.</w:t>
      </w:r>
    </w:p>
    <w:p>
      <w:pPr>
        <w:pStyle w:val="BodyText"/>
        <w:widowControl/>
        <w:bidi w:val="0"/>
        <w:spacing w:lineRule="auto" w:line="389" w:before="120" w:after="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r>
    </w:p>
    <w:p>
      <w:pPr>
        <w:pStyle w:val="BodyText"/>
        <w:widowControl/>
        <w:bidi w:val="0"/>
        <w:spacing w:lineRule="auto" w:line="389" w:before="120" w:after="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The Agencies should be updating the Police Edu Dept on all this material and the Cases being won by Private Citizens / 8 USC 1401 Nationals of the united states to prevent additional personal and municipal lawsuits.</w:t>
      </w:r>
    </w:p>
    <w:p>
      <w:pPr>
        <w:pStyle w:val="BodyText"/>
        <w:widowControl/>
        <w:bidi w:val="0"/>
        <w:spacing w:lineRule="auto" w:line="389" w:before="120" w:after="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r>
    </w:p>
    <w:p>
      <w:pPr>
        <w:pStyle w:val="BodyText"/>
        <w:widowControl/>
        <w:bidi w:val="0"/>
        <w:spacing w:lineRule="auto" w:line="389" w:before="120" w:after="0"/>
        <w:ind w:hanging="0" w:start="0" w:end="0"/>
        <w:jc w:val="start"/>
        <w:rPr>
          <w:rFonts w:ascii="pplxSerif;pplxSerif;ui-serif;Georgia;Cambria;serif" w:hAnsi="pplxSerif;pplxSerif;ui-serif;Georgia;Cambria;serif"/>
          <w:b/>
          <w:i w:val="false"/>
          <w:caps w:val="false"/>
          <w:smallCaps w:val="false"/>
          <w:color w:val="27251E"/>
          <w:spacing w:val="0"/>
          <w:sz w:val="24"/>
        </w:rPr>
      </w:pPr>
      <w:r>
        <w:rPr>
          <w:rFonts w:ascii="pplxSerif;pplxSerif;ui-serif;Georgia;Cambria;serif" w:hAnsi="pplxSerif;pplxSerif;ui-serif;Georgia;Cambria;serif"/>
          <w:b/>
          <w:i w:val="false"/>
          <w:caps w:val="false"/>
          <w:smallCaps w:val="false"/>
          <w:color w:val="27251E"/>
          <w:spacing w:val="0"/>
          <w:sz w:val="24"/>
        </w:rPr>
        <w:t>Full Distribution Authorized. No Copyright USA.</w:t>
      </w:r>
    </w:p>
    <w:p>
      <w:pPr>
        <w:pStyle w:val="BodyText"/>
        <w:bidi w:val="0"/>
        <w:spacing w:before="0" w:after="140"/>
        <w:ind w:hanging="0" w:start="0" w:end="0"/>
        <w:rPr/>
      </w:pPr>
      <w:r>
        <w:rPr/>
        <w:br/>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roman"/>
    <w:pitch w:val="variable"/>
  </w:font>
  <w:font w:name="Liberation Sans">
    <w:altName w:val="Arial"/>
    <w:charset w:val="01"/>
    <w:family w:val="swiss"/>
    <w:pitch w:val="variable"/>
  </w:font>
  <w:font w:name="pplxSerif">
    <w:charset w:val="01"/>
    <w:family w:val="roman"/>
    <w:pitch w:val="variable"/>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0" w:hanging="283"/>
      </w:pPr>
      <w:rPr>
        <w:rFonts w:ascii="Wingdings" w:hAnsi="Wingdings" w:cs="Wingdings"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decimal"/>
      <w:lvlText w:val="%1."/>
      <w:lvlJc w:val="start"/>
      <w:pPr>
        <w:tabs>
          <w:tab w:val="num" w:pos="0"/>
        </w:tabs>
        <w:ind w:start="0"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bullet"/>
      <w:lvlText w:val=""/>
      <w:lvlJc w:val="start"/>
      <w:pPr>
        <w:tabs>
          <w:tab w:val="num" w:pos="0"/>
        </w:tabs>
        <w:ind w:start="0" w:hanging="283"/>
      </w:pPr>
      <w:rPr>
        <w:rFonts w:ascii="Wingdings" w:hAnsi="Wingdings" w:cs="Wingdings"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0"/>
        </w:tabs>
        <w:ind w:start="0" w:hanging="283"/>
      </w:pPr>
      <w:rPr>
        <w:rFonts w:ascii="Wingdings" w:hAnsi="Wingdings" w:cs="Wingdings"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bullet"/>
      <w:lvlText w:val=""/>
      <w:lvlJc w:val="start"/>
      <w:pPr>
        <w:tabs>
          <w:tab w:val="num" w:pos="0"/>
        </w:tabs>
        <w:ind w:start="0" w:hanging="283"/>
      </w:pPr>
      <w:rPr>
        <w:rFonts w:ascii="Wingdings" w:hAnsi="Wingdings" w:cs="Wingdings"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
    <w:lvl w:ilvl="0">
      <w:start w:val="1"/>
      <w:numFmt w:val="bullet"/>
      <w:lvlText w:val=""/>
      <w:lvlJc w:val="start"/>
      <w:pPr>
        <w:tabs>
          <w:tab w:val="num" w:pos="0"/>
        </w:tabs>
        <w:ind w:start="0" w:hanging="283"/>
      </w:pPr>
      <w:rPr>
        <w:rFonts w:ascii="Wingdings" w:hAnsi="Wingdings" w:cs="Wingdings"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
    <w:lvl w:ilvl="0">
      <w:start w:val="1"/>
      <w:numFmt w:val="bullet"/>
      <w:lvlText w:val=""/>
      <w:lvlJc w:val="start"/>
      <w:pPr>
        <w:tabs>
          <w:tab w:val="num" w:pos="0"/>
        </w:tabs>
        <w:ind w:start="0" w:hanging="283"/>
      </w:pPr>
      <w:rPr>
        <w:rFonts w:ascii="Wingdings" w:hAnsi="Wingdings" w:cs="Wingdings"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8">
    <w:lvl w:ilvl="0">
      <w:start w:val="1"/>
      <w:numFmt w:val="bullet"/>
      <w:lvlText w:val=""/>
      <w:lvlJc w:val="start"/>
      <w:pPr>
        <w:tabs>
          <w:tab w:val="num" w:pos="0"/>
        </w:tabs>
        <w:ind w:start="0" w:hanging="283"/>
      </w:pPr>
      <w:rPr>
        <w:rFonts w:ascii="Wingdings" w:hAnsi="Wingdings" w:cs="Wingdings"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9">
    <w:lvl w:ilvl="0">
      <w:start w:val="1"/>
      <w:numFmt w:val="bullet"/>
      <w:lvlText w:val=""/>
      <w:lvlJc w:val="start"/>
      <w:pPr>
        <w:tabs>
          <w:tab w:val="num" w:pos="0"/>
        </w:tabs>
        <w:ind w:start="0" w:hanging="283"/>
      </w:pPr>
      <w:rPr>
        <w:rFonts w:ascii="Wingdings" w:hAnsi="Wingdings" w:cs="Wingdings"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0">
    <w:lvl w:ilvl="0">
      <w:start w:val="1"/>
      <w:numFmt w:val="bullet"/>
      <w:lvlText w:val=""/>
      <w:lvlJc w:val="start"/>
      <w:pPr>
        <w:tabs>
          <w:tab w:val="num" w:pos="0"/>
        </w:tabs>
        <w:ind w:start="0" w:hanging="283"/>
      </w:pPr>
      <w:rPr>
        <w:rFonts w:ascii="Wingdings" w:hAnsi="Wingdings" w:cs="Wingdings"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1">
    <w:lvl w:ilvl="0">
      <w:start w:val="1"/>
      <w:numFmt w:val="decimal"/>
      <w:lvlText w:val="%1."/>
      <w:lvlJc w:val="start"/>
      <w:pPr>
        <w:tabs>
          <w:tab w:val="num" w:pos="0"/>
        </w:tabs>
        <w:ind w:start="0"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12">
    <w:lvl w:ilvl="0">
      <w:start w:val="1"/>
      <w:numFmt w:val="bullet"/>
      <w:lvlText w:val=""/>
      <w:lvlJc w:val="start"/>
      <w:pPr>
        <w:tabs>
          <w:tab w:val="num" w:pos="0"/>
        </w:tabs>
        <w:ind w:start="0" w:hanging="283"/>
      </w:pPr>
      <w:rPr>
        <w:rFonts w:ascii="Wingdings" w:hAnsi="Wingdings" w:cs="Wingdings"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3">
    <w:lvl w:ilvl="0">
      <w:start w:val="1"/>
      <w:numFmt w:val="bullet"/>
      <w:lvlText w:val=""/>
      <w:lvlJc w:val="start"/>
      <w:pPr>
        <w:tabs>
          <w:tab w:val="num" w:pos="0"/>
        </w:tabs>
        <w:ind w:start="0" w:hanging="283"/>
      </w:pPr>
      <w:rPr>
        <w:rFonts w:ascii="Wingdings" w:hAnsi="Wingdings" w:cs="Wingdings"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4">
    <w:lvl w:ilvl="0">
      <w:start w:val="1"/>
      <w:numFmt w:val="bullet"/>
      <w:lvlText w:val=""/>
      <w:lvlJc w:val="start"/>
      <w:pPr>
        <w:tabs>
          <w:tab w:val="num" w:pos="0"/>
        </w:tabs>
        <w:ind w:start="0" w:hanging="283"/>
      </w:pPr>
      <w:rPr>
        <w:rFonts w:ascii="Wingdings" w:hAnsi="Wingdings" w:cs="Wingdings"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5">
    <w:lvl w:ilvl="0">
      <w:start w:val="1"/>
      <w:numFmt w:val="bullet"/>
      <w:lvlText w:val=""/>
      <w:lvlJc w:val="start"/>
      <w:pPr>
        <w:tabs>
          <w:tab w:val="num" w:pos="0"/>
        </w:tabs>
        <w:ind w:start="0" w:hanging="283"/>
      </w:pPr>
      <w:rPr>
        <w:rFonts w:ascii="Wingdings" w:hAnsi="Wingdings" w:cs="Wingdings"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6">
    <w:lvl w:ilvl="0">
      <w:start w:val="1"/>
      <w:numFmt w:val="bullet"/>
      <w:lvlText w:val=""/>
      <w:lvlJc w:val="start"/>
      <w:pPr>
        <w:tabs>
          <w:tab w:val="num" w:pos="0"/>
        </w:tabs>
        <w:ind w:start="0" w:hanging="283"/>
      </w:pPr>
      <w:rPr>
        <w:rFonts w:ascii="Wingdings" w:hAnsi="Wingdings" w:cs="Wingdings"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7">
    <w:lvl w:ilvl="0">
      <w:start w:val="1"/>
      <w:numFmt w:val="bullet"/>
      <w:lvlText w:val=""/>
      <w:lvlJc w:val="start"/>
      <w:pPr>
        <w:tabs>
          <w:tab w:val="num" w:pos="0"/>
        </w:tabs>
        <w:ind w:start="0" w:hanging="283"/>
      </w:pPr>
      <w:rPr>
        <w:rFonts w:ascii="Wingdings" w:hAnsi="Wingdings" w:cs="Wingdings"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8">
    <w:lvl w:ilvl="0">
      <w:start w:val="1"/>
      <w:numFmt w:val="bullet"/>
      <w:lvlText w:val=""/>
      <w:lvlJc w:val="start"/>
      <w:pPr>
        <w:tabs>
          <w:tab w:val="num" w:pos="0"/>
        </w:tabs>
        <w:ind w:start="0" w:hanging="283"/>
      </w:pPr>
      <w:rPr>
        <w:rFonts w:ascii="Wingdings" w:hAnsi="Wingdings" w:cs="Wingdings"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9">
    <w:lvl w:ilvl="0">
      <w:start w:val="1"/>
      <w:numFmt w:val="bullet"/>
      <w:lvlText w:val=""/>
      <w:lvlJc w:val="start"/>
      <w:pPr>
        <w:tabs>
          <w:tab w:val="num" w:pos="0"/>
        </w:tabs>
        <w:ind w:start="0" w:hanging="283"/>
      </w:pPr>
      <w:rPr>
        <w:rFonts w:ascii="Wingdings" w:hAnsi="Wingdings" w:cs="Wingdings"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0">
    <w:lvl w:ilvl="0">
      <w:start w:val="1"/>
      <w:numFmt w:val="bullet"/>
      <w:lvlText w:val=""/>
      <w:lvlJc w:val="start"/>
      <w:pPr>
        <w:tabs>
          <w:tab w:val="num" w:pos="0"/>
        </w:tabs>
        <w:ind w:start="0" w:hanging="283"/>
      </w:pPr>
      <w:rPr>
        <w:rFonts w:ascii="Wingdings" w:hAnsi="Wingdings" w:cs="Wingdings"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1">
    <w:lvl w:ilvl="0">
      <w:start w:val="1"/>
      <w:numFmt w:val="decimal"/>
      <w:lvlText w:val="%1."/>
      <w:lvlJc w:val="start"/>
      <w:pPr>
        <w:tabs>
          <w:tab w:val="num" w:pos="0"/>
        </w:tabs>
        <w:ind w:start="0"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2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100"/>
  <w:defaultTabStop w:val="709"/>
  <w:autoHyphenation w:val="true"/>
  <w:hyphenationZone w:val="0"/>
  <w:compat>
    <w:adjustLineHeightInTable/>
    <w:doNotUseHTMLParagraphAutoSpacing/>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Liberation Serif" w:hAnsi="Liberation Serif" w:eastAsia="NSimSun" w:cs="Lucida Sans"/>
      <w:color w:val="auto"/>
      <w:kern w:val="2"/>
      <w:sz w:val="24"/>
      <w:szCs w:val="24"/>
      <w:lang w:val="en-US" w:eastAsia="zh-CN" w:bidi="hi-IN"/>
    </w:rPr>
  </w:style>
  <w:style w:type="paragraph" w:styleId="Heading1">
    <w:name w:val="heading 1"/>
    <w:basedOn w:val="Heading"/>
    <w:next w:val="BodyText"/>
    <w:qFormat/>
    <w:pPr>
      <w:numPr>
        <w:ilvl w:val="0"/>
        <w:numId w:val="0"/>
      </w:numPr>
      <w:spacing w:before="240" w:after="120"/>
      <w:outlineLvl w:val="0"/>
    </w:pPr>
    <w:rPr>
      <w:rFonts w:ascii="Liberation Serif" w:hAnsi="Liberation Serif" w:eastAsia="NSimSun" w:cs="Lucida Sans"/>
      <w:b/>
      <w:bCs/>
      <w:sz w:val="48"/>
      <w:szCs w:val="48"/>
    </w:rPr>
  </w:style>
  <w:style w:type="paragraph" w:styleId="Heading2">
    <w:name w:val="heading 2"/>
    <w:basedOn w:val="Heading"/>
    <w:next w:val="BodyText"/>
    <w:qFormat/>
    <w:pPr>
      <w:numPr>
        <w:ilvl w:val="0"/>
        <w:numId w:val="0"/>
      </w:numPr>
      <w:spacing w:before="200" w:after="120"/>
      <w:outlineLvl w:val="1"/>
    </w:pPr>
    <w:rPr>
      <w:rFonts w:ascii="Liberation Serif" w:hAnsi="Liberation Serif" w:eastAsia="NSimSun" w:cs="Lucida Sans"/>
      <w:b/>
      <w:bCs/>
      <w:sz w:val="36"/>
      <w:szCs w:val="36"/>
    </w:rPr>
  </w:style>
  <w:style w:type="character" w:styleId="Strong">
    <w:name w:val="Strong"/>
    <w:qFormat/>
    <w:rPr>
      <w:b/>
      <w:bCs/>
    </w:rPr>
  </w:style>
  <w:style w:type="character" w:styleId="Bulletsuser">
    <w:name w:val="Bullets (user)"/>
    <w:qFormat/>
    <w:rPr>
      <w:rFonts w:ascii="OpenSymbol" w:hAnsi="OpenSymbol" w:eastAsia="OpenSymbol" w:cs="OpenSymbol"/>
    </w:rPr>
  </w:style>
  <w:style w:type="character" w:styleId="NumberingSymbols">
    <w:name w:val="Numbering Symbols"/>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 w:type="paragraph" w:styleId="BlockQuotationuser">
    <w:name w:val="Block Quotation (user)"/>
    <w:basedOn w:val="Normal"/>
    <w:qFormat/>
    <w:pPr>
      <w:spacing w:before="0" w:after="283"/>
      <w:ind w:hanging="0" w:start="567" w:end="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youtube.com/playlist?list=PL-G0NYJYCRZBLhUBkCbiWZtuCQc9vtjUh"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TotalTime>
  <Application>LibreOffice/26.8.0.3$Windows_X86_64 LibreOffice_project/bce0998afefdbc355585ca324285661a2170ba77</Application>
  <AppVersion>15.0000</AppVersion>
  <Pages>26</Pages>
  <Words>4054</Words>
  <Characters>24522</Characters>
  <CharactersWithSpaces>28048</CharactersWithSpaces>
  <Paragraphs>354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2026-09-19T15:16:16Z</dcterms:created>
  <dc:creator/>
  <dc:description/>
  <dc:language>en-US</dc:language>
  <cp:lastModifiedBy/>
  <dcterms:modified xsi:type="dcterms:W3CDTF">2026-09-19T15:44:03Z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