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4E" w:rsidRPr="00407FD0" w:rsidRDefault="005B494E" w:rsidP="005B494E">
      <w:pPr>
        <w:tabs>
          <w:tab w:val="left" w:pos="360"/>
          <w:tab w:val="left" w:pos="720"/>
          <w:tab w:val="left" w:pos="1440"/>
          <w:tab w:val="left" w:pos="2160"/>
        </w:tabs>
        <w:ind w:left="360" w:hanging="360"/>
        <w:rPr>
          <w:color w:val="000000"/>
          <w:sz w:val="20"/>
        </w:rPr>
      </w:pPr>
      <w:r w:rsidRPr="00D95AD0">
        <w:rPr>
          <w:rFonts w:ascii="Arial" w:hAnsi="Arial"/>
          <w:color w:val="000000"/>
          <w:sz w:val="18"/>
          <w:szCs w:val="20"/>
        </w:rPr>
        <w:t xml:space="preserve">            </w:t>
      </w:r>
    </w:p>
    <w:p w:rsidR="005B494E" w:rsidRPr="00407FD0"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s>
        <w:jc w:val="center"/>
        <w:rPr>
          <w:b/>
          <w:color w:val="000000"/>
          <w:sz w:val="20"/>
          <w:szCs w:val="20"/>
        </w:rPr>
      </w:pPr>
      <w:r>
        <w:rPr>
          <w:b/>
          <w:color w:val="000000"/>
          <w:sz w:val="20"/>
          <w:szCs w:val="20"/>
        </w:rPr>
        <w:t>Part 2A</w:t>
      </w:r>
      <w:r w:rsidRPr="00407FD0">
        <w:rPr>
          <w:b/>
          <w:color w:val="000000"/>
          <w:sz w:val="20"/>
          <w:szCs w:val="20"/>
        </w:rPr>
        <w:t xml:space="preserve"> of Form ADV:  </w:t>
      </w:r>
      <w:r>
        <w:rPr>
          <w:b/>
          <w:color w:val="000000"/>
          <w:sz w:val="20"/>
          <w:szCs w:val="20"/>
        </w:rPr>
        <w:t xml:space="preserve">Firm </w:t>
      </w:r>
      <w:r w:rsidRPr="00407FD0">
        <w:rPr>
          <w:b/>
          <w:i/>
          <w:color w:val="000000"/>
          <w:sz w:val="20"/>
          <w:szCs w:val="20"/>
        </w:rPr>
        <w:t>Brochure</w:t>
      </w:r>
    </w:p>
    <w:p w:rsidR="005B494E" w:rsidRPr="00407FD0"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s>
        <w:rPr>
          <w:color w:val="000000"/>
          <w:sz w:val="20"/>
          <w:szCs w:val="20"/>
        </w:rPr>
      </w:pPr>
    </w:p>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4E"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B37E2F" w:rsidRPr="00B37E2F" w:rsidRDefault="00B37E2F" w:rsidP="00B37E2F">
            <w:pPr>
              <w:keepNext/>
              <w:rPr>
                <w:color w:val="000000"/>
                <w:sz w:val="20"/>
                <w:szCs w:val="20"/>
                <w:u w:val="single"/>
              </w:rPr>
            </w:pPr>
            <w:r w:rsidRPr="00B37E2F">
              <w:rPr>
                <w:color w:val="000000"/>
                <w:sz w:val="20"/>
                <w:szCs w:val="20"/>
                <w:u w:val="single"/>
              </w:rPr>
              <w:t>Item 1</w:t>
            </w:r>
            <w:r w:rsidRPr="00B37E2F">
              <w:rPr>
                <w:color w:val="000000"/>
                <w:sz w:val="20"/>
                <w:szCs w:val="20"/>
                <w:u w:val="single"/>
              </w:rPr>
              <w:tab/>
              <w:t>Cover Page</w:t>
            </w: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895A0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May </w:t>
            </w:r>
            <w:r w:rsidR="002D331E">
              <w:rPr>
                <w:color w:val="000000"/>
                <w:sz w:val="20"/>
              </w:rPr>
              <w:t>11</w:t>
            </w:r>
            <w:r>
              <w:rPr>
                <w:color w:val="000000"/>
                <w:sz w:val="20"/>
              </w:rPr>
              <w:t>, 201</w:t>
            </w:r>
            <w:r w:rsidR="002D331E">
              <w:rPr>
                <w:color w:val="000000"/>
                <w:sz w:val="20"/>
              </w:rPr>
              <w:t>8</w:t>
            </w: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Raleigh Investment Advisors, Inc.</w:t>
            </w: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smartTag w:uri="urn:schemas-microsoft-com:office:smarttags" w:element="Street">
              <w:smartTag w:uri="urn:schemas-microsoft-com:office:smarttags" w:element="address">
                <w:r>
                  <w:rPr>
                    <w:color w:val="000000"/>
                    <w:sz w:val="20"/>
                  </w:rPr>
                  <w:t>505 Oberlin Road, Suite 153</w:t>
                </w:r>
              </w:smartTag>
            </w:smartTag>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smartTag w:uri="urn:schemas-microsoft-com:office:smarttags" w:element="place">
              <w:smartTag w:uri="urn:schemas-microsoft-com:office:smarttags" w:element="City">
                <w:r>
                  <w:rPr>
                    <w:color w:val="000000"/>
                    <w:sz w:val="20"/>
                  </w:rPr>
                  <w:t>Raleigh</w:t>
                </w:r>
              </w:smartTag>
              <w:r>
                <w:rPr>
                  <w:color w:val="000000"/>
                  <w:sz w:val="20"/>
                </w:rPr>
                <w:t xml:space="preserve">, </w:t>
              </w:r>
              <w:smartTag w:uri="urn:schemas-microsoft-com:office:smarttags" w:element="State">
                <w:r>
                  <w:rPr>
                    <w:color w:val="000000"/>
                    <w:sz w:val="20"/>
                  </w:rPr>
                  <w:t>North Carolina</w:t>
                </w:r>
              </w:smartTag>
              <w:r>
                <w:rPr>
                  <w:color w:val="000000"/>
                  <w:sz w:val="20"/>
                </w:rPr>
                <w:t xml:space="preserve"> </w:t>
              </w:r>
              <w:smartTag w:uri="urn:schemas-microsoft-com:office:smarttags" w:element="PostalCode">
                <w:r>
                  <w:rPr>
                    <w:color w:val="000000"/>
                    <w:sz w:val="20"/>
                  </w:rPr>
                  <w:t>27605</w:t>
                </w:r>
              </w:smartTag>
            </w:smartTag>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Telephone: 919-783-9700</w:t>
            </w: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Fax: 877-514-9093</w:t>
            </w: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Website: </w:t>
            </w:r>
            <w:hyperlink r:id="rId7" w:history="1">
              <w:r w:rsidRPr="002438CA">
                <w:rPr>
                  <w:rStyle w:val="Hyperlink"/>
                  <w:sz w:val="20"/>
                </w:rPr>
                <w:t>www.raleighinvest.com</w:t>
              </w:r>
            </w:hyperlink>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F232A7">
            <w:pPr>
              <w:pStyle w:val="Default"/>
              <w:rPr>
                <w:sz w:val="20"/>
                <w:szCs w:val="20"/>
              </w:rPr>
            </w:pPr>
            <w:r>
              <w:rPr>
                <w:b/>
                <w:bCs/>
                <w:sz w:val="20"/>
                <w:szCs w:val="20"/>
              </w:rPr>
              <w:t xml:space="preserve">This brochure provides information about the qualifications and </w:t>
            </w:r>
            <w:r w:rsidR="00F24C2F">
              <w:rPr>
                <w:b/>
                <w:bCs/>
                <w:sz w:val="20"/>
                <w:szCs w:val="20"/>
              </w:rPr>
              <w:t>business practices of Raleigh Investment Advisors</w:t>
            </w:r>
            <w:r w:rsidR="00A60526">
              <w:rPr>
                <w:b/>
                <w:bCs/>
                <w:sz w:val="20"/>
                <w:szCs w:val="20"/>
              </w:rPr>
              <w:t>,</w:t>
            </w:r>
            <w:r w:rsidR="00F24C2F">
              <w:rPr>
                <w:b/>
                <w:bCs/>
                <w:sz w:val="20"/>
                <w:szCs w:val="20"/>
              </w:rPr>
              <w:t xml:space="preserve"> Inc</w:t>
            </w:r>
            <w:r>
              <w:rPr>
                <w:b/>
                <w:bCs/>
                <w:sz w:val="20"/>
                <w:szCs w:val="20"/>
              </w:rPr>
              <w:t>.</w:t>
            </w:r>
            <w:r w:rsidR="00F24C2F">
              <w:rPr>
                <w:b/>
                <w:bCs/>
                <w:sz w:val="20"/>
                <w:szCs w:val="20"/>
              </w:rPr>
              <w:t xml:space="preserve"> </w:t>
            </w:r>
            <w:r>
              <w:rPr>
                <w:b/>
                <w:bCs/>
                <w:sz w:val="20"/>
                <w:szCs w:val="20"/>
              </w:rPr>
              <w:t xml:space="preserve"> If you have any questions about the contents of this brochure, please contact us at </w:t>
            </w:r>
            <w:r w:rsidR="007769FB">
              <w:rPr>
                <w:b/>
                <w:bCs/>
                <w:sz w:val="20"/>
                <w:szCs w:val="20"/>
              </w:rPr>
              <w:t>919-783-9700 or mikedunne@raleighinvest.com</w:t>
            </w:r>
            <w:r>
              <w:rPr>
                <w:b/>
                <w:bCs/>
                <w:sz w:val="20"/>
                <w:szCs w:val="20"/>
              </w:rPr>
              <w:t xml:space="preserve">. The information in this brochure has not been approved or verified by the </w:t>
            </w:r>
            <w:smartTag w:uri="urn:schemas-microsoft-com:office:smarttags" w:element="country-region">
              <w:smartTag w:uri="urn:schemas-microsoft-com:office:smarttags" w:element="place">
                <w:r>
                  <w:rPr>
                    <w:b/>
                    <w:bCs/>
                    <w:sz w:val="20"/>
                    <w:szCs w:val="20"/>
                  </w:rPr>
                  <w:t>United States</w:t>
                </w:r>
              </w:smartTag>
            </w:smartTag>
            <w:r>
              <w:rPr>
                <w:b/>
                <w:bCs/>
                <w:sz w:val="20"/>
                <w:szCs w:val="20"/>
              </w:rPr>
              <w:t xml:space="preserve"> Securities and Exchange Commission or by any state securities authority. </w:t>
            </w:r>
          </w:p>
          <w:p w:rsidR="00F232A7" w:rsidRDefault="00F232A7" w:rsidP="00F232A7">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b/>
                <w:bCs/>
                <w:sz w:val="20"/>
                <w:szCs w:val="20"/>
              </w:rPr>
              <w:t>Addition</w:t>
            </w:r>
            <w:r w:rsidR="00670A84">
              <w:rPr>
                <w:b/>
                <w:bCs/>
                <w:sz w:val="20"/>
                <w:szCs w:val="20"/>
              </w:rPr>
              <w:t>al information about Raleigh Investment Advisors, Inc</w:t>
            </w:r>
            <w:r w:rsidR="00735CB0">
              <w:rPr>
                <w:b/>
                <w:bCs/>
                <w:sz w:val="20"/>
                <w:szCs w:val="20"/>
              </w:rPr>
              <w:t>.</w:t>
            </w:r>
            <w:r>
              <w:rPr>
                <w:b/>
                <w:bCs/>
                <w:sz w:val="20"/>
                <w:szCs w:val="20"/>
              </w:rPr>
              <w:t xml:space="preserve"> also is available on the SEC’s website at www.adviserinfo.sec.gov.</w:t>
            </w: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Pr="00B66A1D"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c>
      </w:tr>
    </w:tbl>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4E"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Pr="0037680C" w:rsidRDefault="00B37E2F" w:rsidP="00B37E2F">
            <w:pPr>
              <w:keepNext/>
              <w:rPr>
                <w:color w:val="000000"/>
                <w:sz w:val="20"/>
                <w:u w:val="single"/>
              </w:rPr>
            </w:pPr>
            <w:r w:rsidRPr="0037680C">
              <w:rPr>
                <w:color w:val="000000"/>
                <w:sz w:val="20"/>
                <w:u w:val="single"/>
              </w:rPr>
              <w:t>Item 2</w:t>
            </w:r>
            <w:r w:rsidRPr="0037680C">
              <w:rPr>
                <w:color w:val="000000"/>
                <w:sz w:val="20"/>
                <w:u w:val="single"/>
              </w:rPr>
              <w:tab/>
              <w:t>Material Changes</w:t>
            </w: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B37E2F" w:rsidRDefault="00B37E2F"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Pr="00B66A1D" w:rsidRDefault="00DA3E2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This is an updated</w:t>
            </w:r>
            <w:r w:rsidR="00F232A7">
              <w:rPr>
                <w:color w:val="000000"/>
                <w:sz w:val="20"/>
              </w:rPr>
              <w:t xml:space="preserve"> brochure.</w:t>
            </w:r>
          </w:p>
        </w:tc>
      </w:tr>
    </w:tbl>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Default="005B494E" w:rsidP="005B494E">
      <w:pPr>
        <w:keepNext/>
        <w:rPr>
          <w:color w:val="000000"/>
          <w:sz w:val="20"/>
        </w:rPr>
      </w:pPr>
    </w:p>
    <w:p w:rsidR="005B494E" w:rsidRDefault="005B494E" w:rsidP="005B494E">
      <w:pPr>
        <w:keepNext/>
        <w:rPr>
          <w:color w:val="000000"/>
          <w:sz w:val="20"/>
        </w:rPr>
      </w:pPr>
    </w:p>
    <w:p w:rsidR="005B494E" w:rsidRDefault="005B494E" w:rsidP="005B494E">
      <w:pPr>
        <w:tabs>
          <w:tab w:val="center" w:pos="-2070"/>
        </w:tabs>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4E"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5D00C8" w:rsidRDefault="005D00C8" w:rsidP="005D00C8">
            <w:pPr>
              <w:keepNext/>
              <w:jc w:val="center"/>
              <w:rPr>
                <w:color w:val="000000"/>
                <w:sz w:val="20"/>
                <w:u w:val="single"/>
              </w:rPr>
            </w:pPr>
          </w:p>
          <w:p w:rsidR="005D00C8" w:rsidRDefault="005D00C8" w:rsidP="005D00C8">
            <w:pPr>
              <w:keepNext/>
              <w:jc w:val="center"/>
              <w:rPr>
                <w:color w:val="000000"/>
                <w:sz w:val="20"/>
                <w:u w:val="single"/>
              </w:rPr>
            </w:pPr>
          </w:p>
          <w:p w:rsidR="00B37E2F" w:rsidRDefault="00B37E2F" w:rsidP="005D00C8">
            <w:pPr>
              <w:keepNext/>
              <w:jc w:val="center"/>
              <w:rPr>
                <w:color w:val="000000"/>
                <w:sz w:val="20"/>
                <w:u w:val="single"/>
              </w:rPr>
            </w:pPr>
            <w:r w:rsidRPr="0037680C">
              <w:rPr>
                <w:color w:val="000000"/>
                <w:sz w:val="20"/>
                <w:u w:val="single"/>
              </w:rPr>
              <w:t>Table of Contents</w:t>
            </w:r>
          </w:p>
          <w:p w:rsidR="003F3D3E" w:rsidRDefault="003F3D3E" w:rsidP="00B37E2F">
            <w:pPr>
              <w:keepNext/>
              <w:rPr>
                <w:color w:val="000000"/>
                <w:sz w:val="20"/>
                <w:u w:val="single"/>
              </w:rPr>
            </w:pPr>
          </w:p>
          <w:p w:rsidR="003F3D3E" w:rsidRDefault="003F3D3E" w:rsidP="00B37E2F">
            <w:pPr>
              <w:keepNext/>
              <w:rPr>
                <w:color w:val="000000"/>
                <w:sz w:val="20"/>
                <w:u w:val="single"/>
              </w:rPr>
            </w:pPr>
          </w:p>
          <w:p w:rsidR="003F3D3E" w:rsidRPr="00787BC3" w:rsidRDefault="00787BC3" w:rsidP="00B37E2F">
            <w:pPr>
              <w:keepNext/>
              <w:rPr>
                <w:color w:val="000000"/>
                <w:sz w:val="20"/>
              </w:rPr>
            </w:pPr>
            <w:r>
              <w:rPr>
                <w:color w:val="000000"/>
                <w:sz w:val="20"/>
                <w:u w:val="single"/>
              </w:rPr>
              <w:t xml:space="preserve">                                                                                                                                                            Page</w:t>
            </w:r>
          </w:p>
          <w:p w:rsidR="006449F0" w:rsidRDefault="003F3D3E" w:rsidP="00B37E2F">
            <w:pPr>
              <w:keepNext/>
              <w:rPr>
                <w:sz w:val="20"/>
                <w:szCs w:val="20"/>
              </w:rPr>
            </w:pPr>
            <w:r>
              <w:rPr>
                <w:sz w:val="20"/>
                <w:szCs w:val="20"/>
              </w:rPr>
              <w:t>Item 1 Cover Page</w:t>
            </w:r>
            <w:r w:rsidR="00787BC3">
              <w:rPr>
                <w:sz w:val="20"/>
                <w:szCs w:val="20"/>
              </w:rPr>
              <w:t xml:space="preserve">                                                                                                                                 1</w:t>
            </w:r>
          </w:p>
          <w:p w:rsidR="006449F0" w:rsidRDefault="006449F0" w:rsidP="00B37E2F">
            <w:pPr>
              <w:keepNext/>
              <w:rPr>
                <w:sz w:val="20"/>
                <w:szCs w:val="20"/>
              </w:rPr>
            </w:pPr>
          </w:p>
          <w:p w:rsidR="006449F0" w:rsidRDefault="006449F0" w:rsidP="00B37E2F">
            <w:pPr>
              <w:keepNext/>
              <w:rPr>
                <w:sz w:val="20"/>
                <w:szCs w:val="20"/>
              </w:rPr>
            </w:pPr>
            <w:r>
              <w:rPr>
                <w:sz w:val="20"/>
                <w:szCs w:val="20"/>
              </w:rPr>
              <w:t>Item 2 Material Changes</w:t>
            </w:r>
            <w:r w:rsidR="00787BC3">
              <w:rPr>
                <w:sz w:val="20"/>
                <w:szCs w:val="20"/>
              </w:rPr>
              <w:t xml:space="preserve">                                                                                                                        2</w:t>
            </w:r>
          </w:p>
          <w:p w:rsidR="006449F0" w:rsidRDefault="006449F0" w:rsidP="00B37E2F">
            <w:pPr>
              <w:keepNext/>
              <w:rPr>
                <w:sz w:val="20"/>
                <w:szCs w:val="20"/>
              </w:rPr>
            </w:pPr>
          </w:p>
          <w:p w:rsidR="009D42C1" w:rsidRDefault="006449F0" w:rsidP="00B37E2F">
            <w:pPr>
              <w:keepNext/>
              <w:rPr>
                <w:sz w:val="20"/>
                <w:szCs w:val="20"/>
              </w:rPr>
            </w:pPr>
            <w:r>
              <w:rPr>
                <w:sz w:val="20"/>
                <w:szCs w:val="20"/>
              </w:rPr>
              <w:t>Item 3 Table of Contents</w:t>
            </w:r>
            <w:r w:rsidR="00787BC3">
              <w:rPr>
                <w:sz w:val="20"/>
                <w:szCs w:val="20"/>
              </w:rPr>
              <w:t xml:space="preserve">                                                                                                                       </w:t>
            </w:r>
            <w:r w:rsidR="00FE535F">
              <w:rPr>
                <w:sz w:val="20"/>
                <w:szCs w:val="20"/>
              </w:rPr>
              <w:t xml:space="preserve"> 3</w:t>
            </w:r>
          </w:p>
          <w:p w:rsidR="009D42C1" w:rsidRPr="0037680C" w:rsidRDefault="009D42C1" w:rsidP="00B37E2F">
            <w:pPr>
              <w:keepNext/>
              <w:rPr>
                <w:color w:val="000000"/>
                <w:sz w:val="20"/>
                <w:u w:val="single"/>
              </w:rPr>
            </w:pPr>
          </w:p>
          <w:p w:rsidR="005B494E" w:rsidRDefault="009D42C1"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4 Advisory Business</w:t>
            </w:r>
            <w:r w:rsidR="00787BC3">
              <w:rPr>
                <w:sz w:val="20"/>
                <w:szCs w:val="20"/>
              </w:rPr>
              <w:t xml:space="preserve">                                                                                                                      4</w:t>
            </w:r>
          </w:p>
          <w:p w:rsidR="0072378D" w:rsidRDefault="0072378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72378D" w:rsidRDefault="0072378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5 Fees and Compensation</w:t>
            </w:r>
            <w:r w:rsidR="00787BC3">
              <w:rPr>
                <w:sz w:val="20"/>
                <w:szCs w:val="20"/>
              </w:rPr>
              <w:t xml:space="preserve">                                                                                                              5</w:t>
            </w:r>
          </w:p>
          <w:p w:rsidR="00EF7054" w:rsidRDefault="00EF705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EF7054" w:rsidRDefault="00EF705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Item 6 </w:t>
            </w:r>
            <w:r>
              <w:rPr>
                <w:i/>
                <w:iCs/>
                <w:sz w:val="20"/>
                <w:szCs w:val="20"/>
              </w:rPr>
              <w:t xml:space="preserve">Performance-Based Fees </w:t>
            </w:r>
            <w:r>
              <w:rPr>
                <w:sz w:val="20"/>
                <w:szCs w:val="20"/>
              </w:rPr>
              <w:t>and Side-By-Side Management</w:t>
            </w:r>
            <w:r w:rsidR="00787BC3">
              <w:rPr>
                <w:sz w:val="20"/>
                <w:szCs w:val="20"/>
              </w:rPr>
              <w:t xml:space="preserve">                                                         5</w:t>
            </w:r>
          </w:p>
          <w:p w:rsidR="00C50402" w:rsidRDefault="00C5040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C50402" w:rsidRPr="00787BC3" w:rsidRDefault="009E719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Pr>
                <w:sz w:val="20"/>
                <w:szCs w:val="20"/>
              </w:rPr>
              <w:t xml:space="preserve">Item 7 Types of </w:t>
            </w:r>
            <w:r>
              <w:rPr>
                <w:i/>
                <w:iCs/>
                <w:sz w:val="20"/>
                <w:szCs w:val="20"/>
              </w:rPr>
              <w:t>Clients</w:t>
            </w:r>
            <w:r w:rsidR="00787BC3">
              <w:rPr>
                <w:iCs/>
                <w:sz w:val="20"/>
                <w:szCs w:val="20"/>
              </w:rPr>
              <w:t xml:space="preserve">                                                                                    </w:t>
            </w:r>
            <w:r w:rsidR="00AE43F2">
              <w:rPr>
                <w:iCs/>
                <w:sz w:val="20"/>
                <w:szCs w:val="20"/>
              </w:rPr>
              <w:t xml:space="preserve">                               </w:t>
            </w:r>
            <w:r w:rsidR="00787BC3">
              <w:rPr>
                <w:iCs/>
                <w:sz w:val="20"/>
                <w:szCs w:val="20"/>
              </w:rPr>
              <w:t xml:space="preserve">       6</w:t>
            </w:r>
          </w:p>
          <w:p w:rsidR="009E7198" w:rsidRDefault="009E719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rPr>
            </w:pPr>
          </w:p>
          <w:p w:rsidR="009E7198" w:rsidRDefault="009E719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8 Methods of Analysis, Investment Strategies and Risk of Loss</w:t>
            </w:r>
            <w:r w:rsidR="00787BC3">
              <w:rPr>
                <w:sz w:val="20"/>
                <w:szCs w:val="20"/>
              </w:rPr>
              <w:t xml:space="preserve">                                                   6</w:t>
            </w:r>
          </w:p>
          <w:p w:rsidR="00F617AA" w:rsidRDefault="00F617A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F617AA" w:rsidRDefault="00F617A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9 Disciplinary Information</w:t>
            </w:r>
            <w:r w:rsidR="00787BC3">
              <w:rPr>
                <w:sz w:val="20"/>
                <w:szCs w:val="20"/>
              </w:rPr>
              <w:t xml:space="preserve">                                                                                                             7</w:t>
            </w:r>
          </w:p>
          <w:p w:rsidR="00F617AA" w:rsidRDefault="00F617A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F617AA" w:rsidRDefault="00F617A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10 Other Financial Industry Activities and Affiliations</w:t>
            </w:r>
            <w:r w:rsidR="00787BC3">
              <w:rPr>
                <w:sz w:val="20"/>
                <w:szCs w:val="20"/>
              </w:rPr>
              <w:t xml:space="preserve">                                                                 7</w:t>
            </w:r>
          </w:p>
          <w:p w:rsidR="000C305D" w:rsidRDefault="000C305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C305D" w:rsidRDefault="000C305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Item 11 Code of Ethics, Participation or Interest in </w:t>
            </w:r>
            <w:r>
              <w:rPr>
                <w:i/>
                <w:iCs/>
                <w:sz w:val="20"/>
                <w:szCs w:val="20"/>
              </w:rPr>
              <w:t xml:space="preserve">Client </w:t>
            </w:r>
            <w:r>
              <w:rPr>
                <w:sz w:val="20"/>
                <w:szCs w:val="20"/>
              </w:rPr>
              <w:t>Transactions and Personal Trading</w:t>
            </w:r>
            <w:r w:rsidR="00787BC3">
              <w:rPr>
                <w:sz w:val="20"/>
                <w:szCs w:val="20"/>
              </w:rPr>
              <w:t xml:space="preserve">            7</w:t>
            </w:r>
          </w:p>
          <w:p w:rsidR="00BF1B22" w:rsidRDefault="00BF1B2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F1B22" w:rsidRDefault="00BF1B2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12 Brokerage Practices</w:t>
            </w:r>
            <w:r w:rsidR="00787BC3">
              <w:rPr>
                <w:sz w:val="20"/>
                <w:szCs w:val="20"/>
              </w:rPr>
              <w:t xml:space="preserve">                                                                              </w:t>
            </w:r>
            <w:r w:rsidR="00AE43F2">
              <w:rPr>
                <w:sz w:val="20"/>
                <w:szCs w:val="20"/>
              </w:rPr>
              <w:t xml:space="preserve">                               </w:t>
            </w:r>
            <w:r w:rsidR="00787BC3">
              <w:rPr>
                <w:sz w:val="20"/>
                <w:szCs w:val="20"/>
              </w:rPr>
              <w:t xml:space="preserve">      8</w:t>
            </w:r>
          </w:p>
          <w:p w:rsidR="001E5D1C" w:rsidRDefault="001E5D1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E5D1C" w:rsidRDefault="001E5D1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13 Review of Accounts</w:t>
            </w:r>
            <w:r w:rsidR="00787BC3">
              <w:rPr>
                <w:sz w:val="20"/>
                <w:szCs w:val="20"/>
              </w:rPr>
              <w:t xml:space="preserve">                                                                                                 </w:t>
            </w:r>
            <w:r w:rsidR="00AE43F2">
              <w:rPr>
                <w:sz w:val="20"/>
                <w:szCs w:val="20"/>
              </w:rPr>
              <w:t xml:space="preserve">             </w:t>
            </w:r>
            <w:r w:rsidR="00787BC3">
              <w:rPr>
                <w:sz w:val="20"/>
                <w:szCs w:val="20"/>
              </w:rPr>
              <w:t xml:space="preserve">    8</w:t>
            </w:r>
          </w:p>
          <w:p w:rsidR="001C3AE5" w:rsidRDefault="001C3AE5"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C3AE5" w:rsidRDefault="001C3AE5"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Item 14 </w:t>
            </w:r>
            <w:r>
              <w:rPr>
                <w:i/>
                <w:iCs/>
                <w:sz w:val="20"/>
                <w:szCs w:val="20"/>
              </w:rPr>
              <w:t xml:space="preserve">Client </w:t>
            </w:r>
            <w:r>
              <w:rPr>
                <w:sz w:val="20"/>
                <w:szCs w:val="20"/>
              </w:rPr>
              <w:t>Referrals and Other Compensation</w:t>
            </w:r>
            <w:r w:rsidR="00953EC6">
              <w:rPr>
                <w:sz w:val="20"/>
                <w:szCs w:val="20"/>
              </w:rPr>
              <w:t xml:space="preserve">                                                                                 9</w:t>
            </w:r>
          </w:p>
          <w:p w:rsidR="009C5FF6" w:rsidRDefault="009C5FF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9C5FF6" w:rsidRPr="00953EC6" w:rsidRDefault="009C5FF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Pr>
                <w:sz w:val="20"/>
                <w:szCs w:val="20"/>
              </w:rPr>
              <w:t xml:space="preserve">Item 15 </w:t>
            </w:r>
            <w:r>
              <w:rPr>
                <w:i/>
                <w:iCs/>
                <w:sz w:val="20"/>
                <w:szCs w:val="20"/>
              </w:rPr>
              <w:t>Custody</w:t>
            </w:r>
            <w:r w:rsidR="00953EC6">
              <w:rPr>
                <w:i/>
                <w:iCs/>
                <w:sz w:val="20"/>
                <w:szCs w:val="20"/>
              </w:rPr>
              <w:t xml:space="preserve">         </w:t>
            </w:r>
            <w:r w:rsidR="00953EC6">
              <w:rPr>
                <w:iCs/>
                <w:sz w:val="20"/>
                <w:szCs w:val="20"/>
              </w:rPr>
              <w:t xml:space="preserve">                                                                                                                             9</w:t>
            </w:r>
          </w:p>
          <w:p w:rsidR="00B24256" w:rsidRDefault="00B2425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rPr>
            </w:pPr>
          </w:p>
          <w:p w:rsidR="00B24256" w:rsidRDefault="00B2425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16 Investment Discretion</w:t>
            </w:r>
            <w:r w:rsidR="00953EC6">
              <w:rPr>
                <w:sz w:val="20"/>
                <w:szCs w:val="20"/>
              </w:rPr>
              <w:t xml:space="preserve">                                                                               </w:t>
            </w:r>
            <w:r w:rsidR="00717F0E">
              <w:rPr>
                <w:sz w:val="20"/>
                <w:szCs w:val="20"/>
              </w:rPr>
              <w:t xml:space="preserve">                               </w:t>
            </w:r>
            <w:r w:rsidR="00953EC6">
              <w:rPr>
                <w:sz w:val="20"/>
                <w:szCs w:val="20"/>
              </w:rPr>
              <w:t>10</w:t>
            </w:r>
          </w:p>
          <w:p w:rsidR="001676F7" w:rsidRDefault="001676F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676F7" w:rsidRDefault="001676F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Item 17 Voting </w:t>
            </w:r>
            <w:r>
              <w:rPr>
                <w:i/>
                <w:iCs/>
                <w:sz w:val="20"/>
                <w:szCs w:val="20"/>
              </w:rPr>
              <w:t xml:space="preserve">Client </w:t>
            </w:r>
            <w:r>
              <w:rPr>
                <w:sz w:val="20"/>
                <w:szCs w:val="20"/>
              </w:rPr>
              <w:t>Securities</w:t>
            </w:r>
            <w:r w:rsidR="00953EC6">
              <w:rPr>
                <w:sz w:val="20"/>
                <w:szCs w:val="20"/>
              </w:rPr>
              <w:t xml:space="preserve">                                                                          </w:t>
            </w:r>
            <w:r w:rsidR="00717F0E">
              <w:rPr>
                <w:sz w:val="20"/>
                <w:szCs w:val="20"/>
              </w:rPr>
              <w:t xml:space="preserve">                               </w:t>
            </w:r>
            <w:r w:rsidR="00953EC6">
              <w:rPr>
                <w:sz w:val="20"/>
                <w:szCs w:val="20"/>
              </w:rPr>
              <w:t xml:space="preserve">  10 </w:t>
            </w:r>
          </w:p>
          <w:p w:rsidR="001676F7" w:rsidRDefault="001676F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676F7" w:rsidRDefault="001676F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18 Financial Information</w:t>
            </w:r>
            <w:r w:rsidR="002F0D18">
              <w:rPr>
                <w:sz w:val="20"/>
                <w:szCs w:val="20"/>
              </w:rPr>
              <w:t xml:space="preserve">                                                                                                               10</w:t>
            </w:r>
          </w:p>
          <w:p w:rsidR="00276AFB" w:rsidRDefault="00276AFB"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76AFB" w:rsidRPr="00B24256" w:rsidRDefault="00276AFB"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Item 19 Requirements for State-Registered Advisers</w:t>
            </w:r>
            <w:r w:rsidR="002F0D18">
              <w:rPr>
                <w:sz w:val="20"/>
                <w:szCs w:val="20"/>
              </w:rPr>
              <w:t xml:space="preserve">                                                                            10  </w:t>
            </w:r>
          </w:p>
          <w:p w:rsidR="001E5D1C" w:rsidRDefault="001E5D1C" w:rsidP="001E5D1C">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C305D" w:rsidRDefault="000C305D"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F617AA" w:rsidRPr="009E7198" w:rsidRDefault="00F617A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c>
      </w:tr>
      <w:tr w:rsidR="00787BC3"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2A4688" w:rsidRPr="00B37E2F" w:rsidRDefault="002A4688" w:rsidP="002A4688">
            <w:pPr>
              <w:keepNext/>
              <w:widowControl w:val="0"/>
              <w:rPr>
                <w:color w:val="000000"/>
                <w:sz w:val="20"/>
                <w:szCs w:val="20"/>
                <w:u w:val="single"/>
              </w:rPr>
            </w:pPr>
            <w:r w:rsidRPr="00B37E2F">
              <w:rPr>
                <w:color w:val="000000"/>
                <w:sz w:val="20"/>
                <w:u w:val="single"/>
              </w:rPr>
              <w:lastRenderedPageBreak/>
              <w:t>Item 4</w:t>
            </w:r>
            <w:r w:rsidRPr="00B37E2F">
              <w:rPr>
                <w:color w:val="000000"/>
                <w:sz w:val="20"/>
                <w:u w:val="single"/>
              </w:rPr>
              <w:tab/>
              <w:t>Advisory Business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Michael C. Dunne, founder, owner (100% of shares), and President, launched Raleigh Investment Advisors, Inc. in 1999. Raleigh Investment Advisors, Inc. mission is to guide clients along their unique path to achieve their financial goals.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RIA utilizes Charles Schwab as custodian of funds. RIA utilizes the following investment vehicles: mutual funds, stocks, bonds, Certificates of Deposit, Exchange Traded Funds, and money markets. RIA does not offer puts, calls, or hedge funds. Ninety-nine percent of funds are invested in mutual funds. Individual stocks are purchased if client instructs RIA to do so.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787BC3" w:rsidRDefault="00895A09" w:rsidP="002A4688">
            <w:pPr>
              <w:keepNext/>
              <w:rPr>
                <w:color w:val="000000"/>
                <w:sz w:val="20"/>
                <w:u w:val="single"/>
              </w:rPr>
            </w:pPr>
            <w:r>
              <w:rPr>
                <w:color w:val="000000"/>
                <w:sz w:val="20"/>
              </w:rPr>
              <w:t xml:space="preserve">As of </w:t>
            </w:r>
            <w:proofErr w:type="gramStart"/>
            <w:r>
              <w:rPr>
                <w:color w:val="000000"/>
                <w:sz w:val="20"/>
              </w:rPr>
              <w:t xml:space="preserve">May </w:t>
            </w:r>
            <w:r w:rsidR="002D331E">
              <w:rPr>
                <w:color w:val="000000"/>
                <w:sz w:val="20"/>
              </w:rPr>
              <w:t>11</w:t>
            </w:r>
            <w:r>
              <w:rPr>
                <w:color w:val="000000"/>
                <w:sz w:val="20"/>
              </w:rPr>
              <w:t>, 201</w:t>
            </w:r>
            <w:r w:rsidR="002D331E">
              <w:rPr>
                <w:color w:val="000000"/>
                <w:sz w:val="20"/>
              </w:rPr>
              <w:t>8</w:t>
            </w:r>
            <w:proofErr w:type="gramEnd"/>
            <w:r w:rsidR="00FE535F">
              <w:rPr>
                <w:color w:val="000000"/>
                <w:sz w:val="20"/>
              </w:rPr>
              <w:t xml:space="preserve"> manages approximately $</w:t>
            </w:r>
            <w:r w:rsidR="002D331E">
              <w:rPr>
                <w:color w:val="000000"/>
                <w:sz w:val="20"/>
              </w:rPr>
              <w:t>20</w:t>
            </w:r>
            <w:r w:rsidR="00DF39A9">
              <w:rPr>
                <w:color w:val="000000"/>
                <w:sz w:val="20"/>
              </w:rPr>
              <w:t xml:space="preserve">,000,000 on a </w:t>
            </w:r>
            <w:r w:rsidR="002A4688">
              <w:rPr>
                <w:color w:val="000000"/>
                <w:sz w:val="20"/>
              </w:rPr>
              <w:t xml:space="preserve">discretionary basis and manages </w:t>
            </w:r>
            <w:r w:rsidR="002D331E">
              <w:rPr>
                <w:color w:val="000000"/>
                <w:sz w:val="20"/>
              </w:rPr>
              <w:t>$0.00</w:t>
            </w:r>
            <w:r w:rsidR="002A4688">
              <w:rPr>
                <w:color w:val="000000"/>
                <w:sz w:val="20"/>
              </w:rPr>
              <w:t xml:space="preserve"> on a </w:t>
            </w:r>
            <w:r w:rsidR="002B5631">
              <w:rPr>
                <w:color w:val="000000"/>
                <w:sz w:val="20"/>
              </w:rPr>
              <w:t>non-</w:t>
            </w:r>
            <w:r w:rsidR="002A4688">
              <w:rPr>
                <w:color w:val="000000"/>
                <w:sz w:val="20"/>
              </w:rPr>
              <w:t>discretionary basis.</w:t>
            </w:r>
          </w:p>
        </w:tc>
      </w:tr>
    </w:tbl>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Default="005B494E" w:rsidP="005B494E">
      <w:pPr>
        <w:tabs>
          <w:tab w:val="center" w:pos="-2070"/>
        </w:tabs>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4E"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2A4688" w:rsidRPr="00B37E2F" w:rsidRDefault="002A4688" w:rsidP="002A4688">
            <w:pPr>
              <w:keepNext/>
              <w:rPr>
                <w:color w:val="000000"/>
                <w:sz w:val="20"/>
                <w:u w:val="single"/>
              </w:rPr>
            </w:pPr>
            <w:r w:rsidRPr="00B37E2F">
              <w:rPr>
                <w:color w:val="000000"/>
                <w:sz w:val="20"/>
                <w:u w:val="single"/>
              </w:rPr>
              <w:lastRenderedPageBreak/>
              <w:t>Item 5</w:t>
            </w:r>
            <w:r w:rsidRPr="00B37E2F">
              <w:rPr>
                <w:color w:val="000000"/>
                <w:sz w:val="20"/>
                <w:u w:val="single"/>
              </w:rPr>
              <w:tab/>
              <w:t>Fees and Compensation</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RIA’s asset management fee is calculated as follows: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Annual fee is 1 percent of the asset base and each account is billed quarterly.</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For example: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$100,000 of assets</w:t>
            </w:r>
            <w:r w:rsidR="0079209D">
              <w:rPr>
                <w:color w:val="000000"/>
                <w:sz w:val="20"/>
              </w:rPr>
              <w:t xml:space="preserve"> last day of quarter</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(January – March</w:t>
            </w:r>
            <w:r w:rsidR="0079209D">
              <w:rPr>
                <w:color w:val="000000"/>
                <w:sz w:val="20"/>
              </w:rPr>
              <w:t xml:space="preserve"> 31</w:t>
            </w:r>
            <w:r>
              <w:rPr>
                <w:color w:val="000000"/>
                <w:sz w:val="20"/>
              </w:rPr>
              <w: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April 1 – 0.0025 x 100,000 = $250.00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(April – June</w:t>
            </w:r>
            <w:r w:rsidR="0079209D">
              <w:rPr>
                <w:color w:val="000000"/>
                <w:sz w:val="20"/>
              </w:rPr>
              <w:t xml:space="preserve"> 30</w:t>
            </w:r>
            <w:r>
              <w:rPr>
                <w:color w:val="000000"/>
                <w:sz w:val="20"/>
              </w:rPr>
              <w: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July 1 – 0.0025 x 100,000 = $250.00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(July – Septembe</w:t>
            </w:r>
            <w:r w:rsidR="0079209D">
              <w:rPr>
                <w:color w:val="000000"/>
                <w:sz w:val="20"/>
              </w:rPr>
              <w:t>r 30</w:t>
            </w:r>
            <w:r>
              <w:rPr>
                <w:color w:val="000000"/>
                <w:sz w:val="20"/>
              </w:rPr>
              <w: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October 1 – 0.0025 x 100,000 = $250.00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(October – December</w:t>
            </w:r>
            <w:r w:rsidR="0079209D">
              <w:rPr>
                <w:color w:val="000000"/>
                <w:sz w:val="20"/>
              </w:rPr>
              <w:t xml:space="preserve"> 31</w:t>
            </w:r>
            <w:r>
              <w:rPr>
                <w:color w:val="000000"/>
                <w:sz w:val="20"/>
              </w:rPr>
              <w: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w:t>
            </w:r>
            <w:r w:rsidR="0079209D">
              <w:rPr>
                <w:color w:val="000000"/>
                <w:sz w:val="20"/>
              </w:rPr>
              <w:t xml:space="preserve">       January 1 – 0.0025 x 100,000 =</w:t>
            </w:r>
            <w:r>
              <w:rPr>
                <w:color w:val="000000"/>
                <w:sz w:val="20"/>
              </w:rPr>
              <w:t xml:space="preserve"> $250.00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Clients are charged in advance. For example: a new client deposits $100,000 on March 31; on April 1 a billing statement along with a holding report is mailed to the client ($100,000 x 0.0025 = $250.00).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Fees are not negotiable.</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Client does not pay transaction cost or stock trading commissions.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Fees are deducted from client’s account.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FE535F"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Client is mailed billing </w:t>
            </w:r>
            <w:r w:rsidR="002A4688">
              <w:rPr>
                <w:color w:val="000000"/>
                <w:sz w:val="20"/>
              </w:rPr>
              <w:t xml:space="preserve">statement and holding report seven days before funds are deducted from their account.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3B46A6"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A portfolio can be evaluated </w:t>
            </w:r>
            <w:r w:rsidR="002A4688">
              <w:rPr>
                <w:color w:val="000000"/>
                <w:sz w:val="20"/>
              </w:rPr>
              <w:t>for a fee determined by Investment Advisor.</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Clients are charged expense fees by the mutual fund companies.</w:t>
            </w:r>
          </w:p>
          <w:p w:rsidR="00FD59F0" w:rsidRDefault="00FD59F0"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FD59F0"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No fee is charged on holdings over $2,000,000.</w:t>
            </w:r>
            <w:bookmarkStart w:id="0" w:name="_GoBack"/>
            <w:bookmarkEnd w:id="0"/>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2A4688" w:rsidRPr="00B37E2F"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r>
              <w:rPr>
                <w:color w:val="000000"/>
                <w:sz w:val="20"/>
              </w:rPr>
              <w:t xml:space="preserve">     </w:t>
            </w:r>
            <w:r w:rsidRPr="00B37E2F">
              <w:rPr>
                <w:sz w:val="20"/>
                <w:szCs w:val="20"/>
                <w:u w:val="single"/>
              </w:rPr>
              <w:t xml:space="preserve">Item 6 </w:t>
            </w:r>
            <w:r w:rsidRPr="00B37E2F">
              <w:rPr>
                <w:i/>
                <w:iCs/>
                <w:sz w:val="20"/>
                <w:szCs w:val="20"/>
                <w:u w:val="single"/>
              </w:rPr>
              <w:t xml:space="preserve">Performance-Based Fees </w:t>
            </w:r>
            <w:r w:rsidRPr="00B37E2F">
              <w:rPr>
                <w:sz w:val="20"/>
                <w:szCs w:val="20"/>
                <w:u w:val="single"/>
              </w:rPr>
              <w:t>and Side-By-Side Management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sz w:val="20"/>
                <w:szCs w:val="20"/>
              </w:rPr>
              <w:t xml:space="preserve">    RIA does not participate in Performance-Based Fees or Side-By-Side Management.</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F232A7" w:rsidRPr="00B66A1D" w:rsidRDefault="00F232A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c>
      </w:tr>
    </w:tbl>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rPr>
          <w:color w:val="000000"/>
          <w:sz w:val="20"/>
          <w:szCs w:val="20"/>
        </w:rPr>
      </w:pPr>
    </w:p>
    <w:p w:rsidR="005B494E"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4E"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2A4688" w:rsidRDefault="007C7B93"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lastRenderedPageBreak/>
              <w:br/>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r>
              <w:rPr>
                <w:color w:val="000000"/>
                <w:sz w:val="20"/>
              </w:rPr>
              <w:t xml:space="preserve">    </w:t>
            </w:r>
          </w:p>
          <w:p w:rsidR="002A4688" w:rsidRPr="00B37E2F"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u w:val="single"/>
              </w:rPr>
            </w:pPr>
            <w:r w:rsidRPr="00B37E2F">
              <w:rPr>
                <w:sz w:val="20"/>
                <w:szCs w:val="20"/>
                <w:u w:val="single"/>
              </w:rPr>
              <w:t xml:space="preserve">Item 7 Types of </w:t>
            </w:r>
            <w:r w:rsidRPr="00B37E2F">
              <w:rPr>
                <w:i/>
                <w:iCs/>
                <w:sz w:val="20"/>
                <w:szCs w:val="20"/>
                <w:u w:val="single"/>
              </w:rPr>
              <w:t>Clients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
                <w:iCs/>
                <w:sz w:val="20"/>
                <w:szCs w:val="20"/>
              </w:rPr>
            </w:pPr>
          </w:p>
          <w:p w:rsidR="002A4688" w:rsidRDefault="0044719E"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roofErr w:type="gramStart"/>
            <w:r>
              <w:rPr>
                <w:iCs/>
                <w:sz w:val="20"/>
                <w:szCs w:val="20"/>
              </w:rPr>
              <w:t>RIA‘</w:t>
            </w:r>
            <w:proofErr w:type="gramEnd"/>
            <w:r>
              <w:rPr>
                <w:iCs/>
                <w:sz w:val="20"/>
                <w:szCs w:val="20"/>
              </w:rPr>
              <w:t>s</w:t>
            </w:r>
            <w:r w:rsidR="008E5C1D">
              <w:rPr>
                <w:iCs/>
                <w:sz w:val="20"/>
                <w:szCs w:val="20"/>
              </w:rPr>
              <w:t xml:space="preserve"> client base is 100 percent individuals.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2A4688" w:rsidRPr="003246DB"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r w:rsidRPr="003246DB">
              <w:rPr>
                <w:sz w:val="20"/>
                <w:szCs w:val="20"/>
                <w:u w:val="single"/>
              </w:rPr>
              <w:t>Item 8 Methods of Analysis, Investment Strategies and Risk of Loss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RIA’s utilizes the following data to determine the risk involved in each portfolio:</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1. Age,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2. Family data, (married, divorced, dependents, education bills, wedding costs, major purchases, etc.),</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3. Income - savings </w:t>
            </w:r>
            <w:proofErr w:type="gramStart"/>
            <w:r>
              <w:rPr>
                <w:sz w:val="20"/>
                <w:szCs w:val="20"/>
              </w:rPr>
              <w:t>rate,  retirement</w:t>
            </w:r>
            <w:proofErr w:type="gramEnd"/>
            <w:r>
              <w:rPr>
                <w:sz w:val="20"/>
                <w:szCs w:val="20"/>
              </w:rPr>
              <w:t xml:space="preserve"> income source - company pension, inheritance, age to start social security,</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4. Debt - home, </w:t>
            </w:r>
            <w:proofErr w:type="gramStart"/>
            <w:r>
              <w:rPr>
                <w:sz w:val="20"/>
                <w:szCs w:val="20"/>
              </w:rPr>
              <w:t>second  home</w:t>
            </w:r>
            <w:proofErr w:type="gramEnd"/>
            <w:r>
              <w:rPr>
                <w:sz w:val="20"/>
                <w:szCs w:val="20"/>
              </w:rPr>
              <w:t xml:space="preserve">, autos, credit card, family loan, etc.,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5. Health – spouse, parents, siblings, children,</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6. Insurance -  health, long term care, life, auto, home, umbrella,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7. Job security - education, title, time employed, type of business,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8. Risk tolerance – quiz; ask many questions,</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9. Retirement date.</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Every client is informed that investing in the “stock market” is a form of legalized gambling. Furthermore, no one can accurately project the market’s performance in the short run, the next 12 months. Therefore, each client needs to think about long term investing. The yard stick for risk is the yield on </w:t>
            </w:r>
            <w:r w:rsidR="00096CEF">
              <w:rPr>
                <w:sz w:val="20"/>
                <w:szCs w:val="20"/>
              </w:rPr>
              <w:t>a</w:t>
            </w:r>
            <w:r>
              <w:rPr>
                <w:sz w:val="20"/>
                <w:szCs w:val="20"/>
              </w:rPr>
              <w:t xml:space="preserve">10 year Treasury. For example, if the yield on your bond portfolio is 6.25% and the yield on </w:t>
            </w:r>
            <w:proofErr w:type="gramStart"/>
            <w:r>
              <w:rPr>
                <w:sz w:val="20"/>
                <w:szCs w:val="20"/>
              </w:rPr>
              <w:t>10 year</w:t>
            </w:r>
            <w:proofErr w:type="gramEnd"/>
            <w:r>
              <w:rPr>
                <w:sz w:val="20"/>
                <w:szCs w:val="20"/>
              </w:rPr>
              <w:t xml:space="preserve"> Treasury is 1.63% indicates that you have a portfolio of high risk bonds, not AAA, but BBB, BB, and B’s.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As a client moves into the retirement phase, the portfolio will become more conservative. For example:</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w:t>
            </w:r>
            <w:r w:rsidRPr="00CA7B23">
              <w:rPr>
                <w:sz w:val="20"/>
                <w:szCs w:val="20"/>
                <w:u w:val="single"/>
              </w:rPr>
              <w:t>Age</w:t>
            </w:r>
            <w:r>
              <w:rPr>
                <w:sz w:val="20"/>
                <w:szCs w:val="20"/>
              </w:rPr>
              <w:t xml:space="preserve">          </w:t>
            </w:r>
            <w:r w:rsidRPr="00CA7B23">
              <w:rPr>
                <w:sz w:val="20"/>
                <w:szCs w:val="20"/>
                <w:u w:val="single"/>
              </w:rPr>
              <w:t>Stock to Bond Ratio</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sidRPr="0015671B">
              <w:rPr>
                <w:sz w:val="20"/>
                <w:szCs w:val="20"/>
              </w:rPr>
              <w:t xml:space="preserve">  </w:t>
            </w:r>
            <w:r>
              <w:rPr>
                <w:sz w:val="20"/>
                <w:szCs w:val="20"/>
              </w:rPr>
              <w:t xml:space="preserve">         40                   </w:t>
            </w:r>
            <w:r w:rsidR="002D331E">
              <w:rPr>
                <w:sz w:val="20"/>
                <w:szCs w:val="20"/>
              </w:rPr>
              <w:t>9</w:t>
            </w:r>
            <w:r>
              <w:rPr>
                <w:sz w:val="20"/>
                <w:szCs w:val="20"/>
              </w:rPr>
              <w:t>0/</w:t>
            </w:r>
            <w:r w:rsidR="002D331E">
              <w:rPr>
                <w:sz w:val="20"/>
                <w:szCs w:val="20"/>
              </w:rPr>
              <w:t>1</w:t>
            </w:r>
            <w:r>
              <w:rPr>
                <w:sz w:val="20"/>
                <w:szCs w:val="20"/>
              </w:rPr>
              <w:t>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50                   </w:t>
            </w:r>
            <w:r w:rsidR="002D331E">
              <w:rPr>
                <w:sz w:val="20"/>
                <w:szCs w:val="20"/>
              </w:rPr>
              <w:t>8</w:t>
            </w:r>
            <w:r>
              <w:rPr>
                <w:sz w:val="20"/>
                <w:szCs w:val="20"/>
              </w:rPr>
              <w:t>0/</w:t>
            </w:r>
            <w:r w:rsidR="002D331E">
              <w:rPr>
                <w:sz w:val="20"/>
                <w:szCs w:val="20"/>
              </w:rPr>
              <w:t>2</w:t>
            </w:r>
            <w:r>
              <w:rPr>
                <w:sz w:val="20"/>
                <w:szCs w:val="20"/>
              </w:rPr>
              <w:t>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60                   </w:t>
            </w:r>
            <w:r w:rsidR="002D331E">
              <w:rPr>
                <w:sz w:val="20"/>
                <w:szCs w:val="20"/>
              </w:rPr>
              <w:t>7</w:t>
            </w:r>
            <w:r>
              <w:rPr>
                <w:sz w:val="20"/>
                <w:szCs w:val="20"/>
              </w:rPr>
              <w:t>0/</w:t>
            </w:r>
            <w:r w:rsidR="002D331E">
              <w:rPr>
                <w:sz w:val="20"/>
                <w:szCs w:val="20"/>
              </w:rPr>
              <w:t>3</w:t>
            </w:r>
            <w:r>
              <w:rPr>
                <w:sz w:val="20"/>
                <w:szCs w:val="20"/>
              </w:rPr>
              <w:t xml:space="preserve">0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w:t>
            </w:r>
            <w:r w:rsidR="00FD59F0">
              <w:rPr>
                <w:sz w:val="20"/>
                <w:szCs w:val="20"/>
              </w:rPr>
              <w:t>70</w:t>
            </w:r>
            <w:r>
              <w:rPr>
                <w:sz w:val="20"/>
                <w:szCs w:val="20"/>
              </w:rPr>
              <w:t xml:space="preserve">                   </w:t>
            </w:r>
            <w:r w:rsidR="002D331E">
              <w:rPr>
                <w:sz w:val="20"/>
                <w:szCs w:val="20"/>
              </w:rPr>
              <w:t>6</w:t>
            </w:r>
            <w:r>
              <w:rPr>
                <w:sz w:val="20"/>
                <w:szCs w:val="20"/>
              </w:rPr>
              <w:t>0/</w:t>
            </w:r>
            <w:r w:rsidR="002D331E">
              <w:rPr>
                <w:sz w:val="20"/>
                <w:szCs w:val="20"/>
              </w:rPr>
              <w:t>4</w:t>
            </w:r>
            <w:r>
              <w:rPr>
                <w:sz w:val="20"/>
                <w:szCs w:val="20"/>
              </w:rPr>
              <w:t>0</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Beta is among the many statistical measures used to determine risk. Beta measures the sensitivity to the movement of the market. For example: </w:t>
            </w:r>
            <w:proofErr w:type="gramStart"/>
            <w:r>
              <w:rPr>
                <w:sz w:val="20"/>
                <w:szCs w:val="20"/>
              </w:rPr>
              <w:t>the</w:t>
            </w:r>
            <w:proofErr w:type="gramEnd"/>
            <w:r>
              <w:rPr>
                <w:sz w:val="20"/>
                <w:szCs w:val="20"/>
              </w:rPr>
              <w:t xml:space="preserve"> Beta for the S&amp;P</w:t>
            </w:r>
            <w:r w:rsidR="007A1A2A">
              <w:rPr>
                <w:sz w:val="20"/>
                <w:szCs w:val="20"/>
              </w:rPr>
              <w:t>500</w:t>
            </w:r>
            <w:r>
              <w:rPr>
                <w:sz w:val="20"/>
                <w:szCs w:val="20"/>
              </w:rPr>
              <w:t xml:space="preserve"> Index is 1.0. The Beta for a conservative balance fund (50% stock and 50% bonds) could be 0.50 or 50% less volatile than the stock market. If the market goes down $1.00 your portfolio would go down 50 cents.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Statistics provided by Morningstar are used to monitor the risk in each portfolio. Each portfolio has a Beta and is adjusted according the unique situation of the client (age, health, employment). Another tool used is the Bear Ranking: how has the mutual fund performed in down markets. The client is reminded that a high percentage of the data presented is the history of the fund and can be helpful guessing what the fund might due in the future. For example: a mutual fund with a </w:t>
            </w:r>
            <w:proofErr w:type="gramStart"/>
            <w:r>
              <w:rPr>
                <w:sz w:val="20"/>
                <w:szCs w:val="20"/>
              </w:rPr>
              <w:t>10 year</w:t>
            </w:r>
            <w:proofErr w:type="gramEnd"/>
            <w:r>
              <w:rPr>
                <w:sz w:val="20"/>
                <w:szCs w:val="20"/>
              </w:rPr>
              <w:t xml:space="preserve"> five star rating will more than likely outperform a mutual fund with a three star rating. </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Every quarter the statistical data is </w:t>
            </w:r>
            <w:proofErr w:type="gramStart"/>
            <w:r>
              <w:rPr>
                <w:sz w:val="20"/>
                <w:szCs w:val="20"/>
              </w:rPr>
              <w:t>updated</w:t>
            </w:r>
            <w:proofErr w:type="gramEnd"/>
            <w:r>
              <w:rPr>
                <w:sz w:val="20"/>
                <w:szCs w:val="20"/>
              </w:rPr>
              <w:t xml:space="preserve"> and every portfolio is reviewed with the current statistics. Any mutual fund with a </w:t>
            </w:r>
            <w:proofErr w:type="gramStart"/>
            <w:r>
              <w:rPr>
                <w:sz w:val="20"/>
                <w:szCs w:val="20"/>
              </w:rPr>
              <w:t>three star</w:t>
            </w:r>
            <w:proofErr w:type="gramEnd"/>
            <w:r>
              <w:rPr>
                <w:sz w:val="20"/>
                <w:szCs w:val="20"/>
              </w:rPr>
              <w:t xml:space="preserve"> rating or lower is reviewed thoroughly before making the decision</w:t>
            </w:r>
            <w:r w:rsidR="00DE303C">
              <w:rPr>
                <w:sz w:val="20"/>
                <w:szCs w:val="20"/>
              </w:rPr>
              <w:t xml:space="preserve"> to </w:t>
            </w:r>
            <w:r>
              <w:rPr>
                <w:sz w:val="20"/>
                <w:szCs w:val="20"/>
              </w:rPr>
              <w:t>swap this position for a mutual fund with a better performance rating.</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Every mutual fund is ranked according its category (large growth, mid-cap blend, etc.) and compared to an index for that </w:t>
            </w:r>
            <w:proofErr w:type="gramStart"/>
            <w:r>
              <w:rPr>
                <w:sz w:val="20"/>
                <w:szCs w:val="20"/>
              </w:rPr>
              <w:t>particular category</w:t>
            </w:r>
            <w:proofErr w:type="gramEnd"/>
            <w:r>
              <w:rPr>
                <w:sz w:val="20"/>
                <w:szCs w:val="20"/>
              </w:rPr>
              <w:t xml:space="preserve">. If a mutual fund over a </w:t>
            </w:r>
            <w:proofErr w:type="gramStart"/>
            <w:r>
              <w:rPr>
                <w:sz w:val="20"/>
                <w:szCs w:val="20"/>
              </w:rPr>
              <w:t>ten year</w:t>
            </w:r>
            <w:proofErr w:type="gramEnd"/>
            <w:r>
              <w:rPr>
                <w:sz w:val="20"/>
                <w:szCs w:val="20"/>
              </w:rPr>
              <w:t xml:space="preserve"> period fails to maintain a position in the 75+% quartile, the fund will be replaced. Of course, there is always an exception to every rule.</w:t>
            </w: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A4688" w:rsidRDefault="002A4688" w:rsidP="002A468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5B494E" w:rsidRPr="00B66A1D" w:rsidRDefault="005B494E"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tc>
      </w:tr>
      <w:tr w:rsidR="007C7B93"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2331D5" w:rsidRDefault="002331D5"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E75258" w:rsidRPr="00F766FC"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u w:val="single"/>
              </w:rPr>
            </w:pPr>
            <w:r w:rsidRPr="00F766FC">
              <w:rPr>
                <w:iCs/>
                <w:sz w:val="20"/>
                <w:szCs w:val="20"/>
                <w:u w:val="single"/>
              </w:rPr>
              <w:t>Item 9          Disciplinary Information</w:t>
            </w: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3E7906"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Pr>
                <w:iCs/>
                <w:sz w:val="20"/>
                <w:szCs w:val="20"/>
              </w:rPr>
              <w:t>There are no legal or disciplinary events that are material to Raleigh Investment Advisors, Inc.</w:t>
            </w: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Pr="00F766FC"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u w:val="single"/>
              </w:rPr>
            </w:pPr>
            <w:r w:rsidRPr="00F766FC">
              <w:rPr>
                <w:iCs/>
                <w:sz w:val="20"/>
                <w:szCs w:val="20"/>
                <w:u w:val="single"/>
              </w:rPr>
              <w:t>Item 10          Other Financial Industry Activities and Affiliations</w:t>
            </w: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3E7906" w:rsidRDefault="00CB7C7E"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Pr>
                <w:iCs/>
                <w:sz w:val="20"/>
                <w:szCs w:val="20"/>
              </w:rPr>
              <w:t>Raleigh Investment Advisors does not have professional activities, relationships, or affiliations with others in the financial industry.</w:t>
            </w: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3E7906" w:rsidRPr="00F766FC" w:rsidRDefault="003E7906"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r w:rsidRPr="00F766FC">
              <w:rPr>
                <w:sz w:val="20"/>
                <w:szCs w:val="20"/>
                <w:u w:val="single"/>
              </w:rPr>
              <w:t xml:space="preserve">Item 11 Code of Ethics, Participation or Interest in </w:t>
            </w:r>
            <w:r w:rsidRPr="00F766FC">
              <w:rPr>
                <w:i/>
                <w:iCs/>
                <w:sz w:val="20"/>
                <w:szCs w:val="20"/>
                <w:u w:val="single"/>
              </w:rPr>
              <w:t xml:space="preserve">Client </w:t>
            </w:r>
            <w:r w:rsidRPr="00F766FC">
              <w:rPr>
                <w:sz w:val="20"/>
                <w:szCs w:val="20"/>
                <w:u w:val="single"/>
              </w:rPr>
              <w:t>Transactions and Personal Trading</w:t>
            </w:r>
          </w:p>
          <w:p w:rsidR="003E7906" w:rsidRDefault="003E7906"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3E7906" w:rsidRDefault="003E7906"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3E7906" w:rsidRDefault="003E7906"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3E7906" w:rsidRPr="00C64506" w:rsidRDefault="003E7906" w:rsidP="003E7906">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Pr>
                <w:sz w:val="20"/>
                <w:szCs w:val="20"/>
              </w:rPr>
              <w:t>Raleigh Investment Advisors, Inc. has no participation or interest in client and personal trading.</w:t>
            </w: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Pr="00B155BC"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E75258" w:rsidRDefault="00E75258" w:rsidP="00E75258">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FD0458" w:rsidRPr="00E75258" w:rsidRDefault="00FD045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FD0458" w:rsidRPr="001B3CD4" w:rsidRDefault="00FD045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4A5E29" w:rsidRDefault="004A5E2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E75258" w:rsidRDefault="00E7525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E75258" w:rsidRDefault="00E7525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E75258" w:rsidRDefault="00E7525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507CA" w:rsidRDefault="00B507C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B507CA" w:rsidRDefault="00B507C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B507CA" w:rsidRDefault="00B507CA"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FC1E39" w:rsidRDefault="00FC1E3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sidRPr="00F766FC">
              <w:rPr>
                <w:sz w:val="20"/>
                <w:szCs w:val="20"/>
                <w:u w:val="single"/>
              </w:rPr>
              <w:t>Item 12 Brokerage Practices</w:t>
            </w:r>
          </w:p>
          <w:p w:rsidR="00FC1E39" w:rsidRDefault="00FC1E3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FC1E39" w:rsidRDefault="00FC1E3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A51C82">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Raleigh Investment Advisors, Inc. has no relationship with </w:t>
            </w:r>
            <w:proofErr w:type="gramStart"/>
            <w:r>
              <w:rPr>
                <w:sz w:val="20"/>
                <w:szCs w:val="20"/>
              </w:rPr>
              <w:t>in regard to</w:t>
            </w:r>
            <w:proofErr w:type="gramEnd"/>
            <w:r>
              <w:rPr>
                <w:sz w:val="20"/>
                <w:szCs w:val="20"/>
              </w:rPr>
              <w:t xml:space="preserve"> research and other soft dollar benefits. RIA’s </w:t>
            </w:r>
            <w:r>
              <w:rPr>
                <w:sz w:val="20"/>
                <w:szCs w:val="20"/>
              </w:rPr>
              <w:lastRenderedPageBreak/>
              <w:t>only professional relationship is with Charles Schwab &amp; Co., Inc.</w:t>
            </w: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51C82" w:rsidRDefault="00A51C82"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A81FB7" w:rsidRDefault="00A81FB7" w:rsidP="00A81FB7">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r w:rsidRPr="00F766FC">
              <w:rPr>
                <w:sz w:val="20"/>
                <w:szCs w:val="20"/>
                <w:u w:val="single"/>
              </w:rPr>
              <w:t>Item 13     Review of Accounts</w:t>
            </w: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6210D" w:rsidRDefault="0006210D" w:rsidP="0006210D">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Raleigh Investment Ad</w:t>
            </w:r>
            <w:r w:rsidR="006E5CA2">
              <w:rPr>
                <w:sz w:val="20"/>
                <w:szCs w:val="20"/>
              </w:rPr>
              <w:t xml:space="preserve">visors, Inc. </w:t>
            </w:r>
            <w:r>
              <w:rPr>
                <w:sz w:val="20"/>
                <w:szCs w:val="20"/>
              </w:rPr>
              <w:t xml:space="preserve">reviews every account </w:t>
            </w:r>
            <w:r w:rsidR="006E5CA2">
              <w:rPr>
                <w:sz w:val="20"/>
                <w:szCs w:val="20"/>
              </w:rPr>
              <w:t xml:space="preserve">quarterly </w:t>
            </w:r>
            <w:r>
              <w:rPr>
                <w:sz w:val="20"/>
                <w:szCs w:val="20"/>
              </w:rPr>
              <w:t xml:space="preserve">and </w:t>
            </w:r>
            <w:proofErr w:type="gramStart"/>
            <w:r>
              <w:rPr>
                <w:sz w:val="20"/>
                <w:szCs w:val="20"/>
              </w:rPr>
              <w:t>makes an effort</w:t>
            </w:r>
            <w:proofErr w:type="gramEnd"/>
            <w:r>
              <w:rPr>
                <w:sz w:val="20"/>
                <w:szCs w:val="20"/>
              </w:rPr>
              <w:t xml:space="preserve"> to sit down with each client twice a year in order to do a portfolio review. Charles Schwab &amp; Co., Inc. mails or emails a monthly report to each client. The following is an example of the document prepared for each personal appointment:</w:t>
            </w:r>
          </w:p>
          <w:p w:rsidR="0006210D" w:rsidRDefault="0006210D" w:rsidP="0006210D">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tbl>
            <w:tblPr>
              <w:tblW w:w="9360" w:type="dxa"/>
              <w:tblLook w:val="0000" w:firstRow="0" w:lastRow="0" w:firstColumn="0" w:lastColumn="0" w:noHBand="0" w:noVBand="0"/>
            </w:tblPr>
            <w:tblGrid>
              <w:gridCol w:w="1891"/>
              <w:gridCol w:w="860"/>
              <w:gridCol w:w="1356"/>
              <w:gridCol w:w="1089"/>
              <w:gridCol w:w="860"/>
              <w:gridCol w:w="708"/>
              <w:gridCol w:w="669"/>
              <w:gridCol w:w="784"/>
              <w:gridCol w:w="588"/>
              <w:gridCol w:w="555"/>
            </w:tblGrid>
            <w:tr w:rsidR="0006210D" w:rsidTr="00A50C3A">
              <w:trPr>
                <w:trHeight w:val="255"/>
              </w:trPr>
              <w:tc>
                <w:tcPr>
                  <w:tcW w:w="1894"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Fund Name</w:t>
                  </w:r>
                </w:p>
              </w:tc>
              <w:tc>
                <w:tcPr>
                  <w:tcW w:w="861"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 10 Yr</w:t>
                  </w:r>
                </w:p>
              </w:tc>
              <w:tc>
                <w:tcPr>
                  <w:tcW w:w="1358"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proofErr w:type="gramStart"/>
                  <w:r>
                    <w:rPr>
                      <w:rFonts w:ascii="Morningstar 1" w:hAnsi="Morningstar 1"/>
                      <w:b/>
                      <w:bCs/>
                      <w:sz w:val="20"/>
                      <w:szCs w:val="20"/>
                    </w:rPr>
                    <w:t>Mstar  Category</w:t>
                  </w:r>
                  <w:proofErr w:type="gramEnd"/>
                </w:p>
              </w:tc>
              <w:tc>
                <w:tcPr>
                  <w:tcW w:w="1091"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proofErr w:type="gramStart"/>
                  <w:r>
                    <w:rPr>
                      <w:rFonts w:ascii="Morningstar 1" w:hAnsi="Morningstar 1"/>
                      <w:b/>
                      <w:bCs/>
                      <w:sz w:val="20"/>
                      <w:szCs w:val="20"/>
                    </w:rPr>
                    <w:t>Mstar  Rating</w:t>
                  </w:r>
                  <w:proofErr w:type="gramEnd"/>
                </w:p>
              </w:tc>
              <w:tc>
                <w:tcPr>
                  <w:tcW w:w="861"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Yield</w:t>
                  </w:r>
                </w:p>
              </w:tc>
              <w:tc>
                <w:tcPr>
                  <w:tcW w:w="709"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 xml:space="preserve"> 3 Yr</w:t>
                  </w:r>
                </w:p>
              </w:tc>
              <w:tc>
                <w:tcPr>
                  <w:tcW w:w="670"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5 Yr</w:t>
                  </w:r>
                </w:p>
              </w:tc>
              <w:tc>
                <w:tcPr>
                  <w:tcW w:w="785"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10 Yr</w:t>
                  </w:r>
                </w:p>
              </w:tc>
              <w:tc>
                <w:tcPr>
                  <w:tcW w:w="575"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Beta 3</w:t>
                  </w:r>
                </w:p>
              </w:tc>
              <w:tc>
                <w:tcPr>
                  <w:tcW w:w="556" w:type="dxa"/>
                  <w:tcBorders>
                    <w:top w:val="nil"/>
                    <w:left w:val="nil"/>
                    <w:bottom w:val="nil"/>
                    <w:right w:val="nil"/>
                  </w:tcBorders>
                  <w:shd w:val="clear" w:color="auto" w:fill="9999FF"/>
                  <w:noWrap/>
                  <w:vAlign w:val="bottom"/>
                </w:tcPr>
                <w:p w:rsidR="0006210D" w:rsidRDefault="0006210D" w:rsidP="00A50C3A">
                  <w:pPr>
                    <w:jc w:val="center"/>
                    <w:rPr>
                      <w:rFonts w:ascii="Morningstar 1" w:hAnsi="Morningstar 1"/>
                      <w:b/>
                      <w:bCs/>
                      <w:sz w:val="20"/>
                      <w:szCs w:val="20"/>
                    </w:rPr>
                  </w:pPr>
                  <w:r>
                    <w:rPr>
                      <w:rFonts w:ascii="Morningstar 1" w:hAnsi="Morningstar 1"/>
                      <w:b/>
                      <w:bCs/>
                      <w:sz w:val="20"/>
                      <w:szCs w:val="20"/>
                    </w:rPr>
                    <w:t>B Mkt</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smartTag w:uri="urn:schemas-microsoft-com:office:smarttags" w:element="place">
                    <w:smartTag w:uri="urn:schemas-microsoft-com:office:smarttags" w:element="City">
                      <w:r>
                        <w:rPr>
                          <w:rFonts w:ascii="Morningstar 1" w:hAnsi="Morningstar 1"/>
                          <w:sz w:val="20"/>
                          <w:szCs w:val="20"/>
                        </w:rPr>
                        <w:t>Berwyn</w:t>
                      </w:r>
                    </w:smartTag>
                  </w:smartTag>
                  <w:r>
                    <w:rPr>
                      <w:rFonts w:ascii="Morningstar 1" w:hAnsi="Morningstar 1"/>
                      <w:sz w:val="20"/>
                      <w:szCs w:val="20"/>
                    </w:rPr>
                    <w:t xml:space="preserve"> Income</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5</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Conservative All</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3.30</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10.29</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7.07</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7.62</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0.55</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3</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Permanent Portfolio</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Conservative All</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0.89</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12.78</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7.98</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10.44</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0.86</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4</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Dodge &amp; Cox Income</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24</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Inter-Term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3.94</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8.04</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6.99</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5.93</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0.56</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38</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Harbor Bond Instl</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11</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Inter-Term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2.45</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7.72</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8.41</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6.56</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0.75</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26</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Managers PIMCO Bond</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10</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Inter-Term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3.32</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8.18</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8.46</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6.63</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0.80</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35</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TCW Total Return Bond I</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6</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Inter-Term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6.55</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10.02</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9.33</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6.98</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0.89</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13</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Oakmark Equity &amp; Inc</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3</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Moderate All</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1.31</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9.87</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3.75</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7.44</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1.04</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8</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Sit US Gov Securities</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Short Government</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2.44</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4.37</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5.47</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4.29</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0.27</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5</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Short-Inter Bond</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8</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Short-Term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1.96</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4.38</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5.24</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4.67</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0.36</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11</w:t>
                  </w:r>
                </w:p>
              </w:tc>
            </w:tr>
            <w:tr w:rsidR="0006210D" w:rsidTr="00A50C3A">
              <w:trPr>
                <w:trHeight w:val="255"/>
              </w:trPr>
              <w:tc>
                <w:tcPr>
                  <w:tcW w:w="1894"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Lord Abbett Short Bond</w:t>
                  </w:r>
                </w:p>
              </w:tc>
              <w:tc>
                <w:tcPr>
                  <w:tcW w:w="861"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6</w:t>
                  </w:r>
                </w:p>
              </w:tc>
              <w:tc>
                <w:tcPr>
                  <w:tcW w:w="1358"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Short-Term Bond</w:t>
                  </w:r>
                </w:p>
              </w:tc>
              <w:tc>
                <w:tcPr>
                  <w:tcW w:w="1091" w:type="dxa"/>
                  <w:tcBorders>
                    <w:top w:val="nil"/>
                    <w:left w:val="nil"/>
                    <w:bottom w:val="nil"/>
                    <w:right w:val="nil"/>
                  </w:tcBorders>
                  <w:shd w:val="clear" w:color="auto" w:fill="auto"/>
                  <w:noWrap/>
                  <w:vAlign w:val="bottom"/>
                </w:tcPr>
                <w:p w:rsidR="0006210D" w:rsidRDefault="0006210D" w:rsidP="00A50C3A">
                  <w:pPr>
                    <w:rPr>
                      <w:rFonts w:ascii="Morningstar 1" w:hAnsi="Morningstar 1"/>
                      <w:sz w:val="20"/>
                      <w:szCs w:val="20"/>
                    </w:rPr>
                  </w:pPr>
                  <w:r>
                    <w:rPr>
                      <w:rFonts w:ascii="Morningstar 1" w:hAnsi="Morningstar 1"/>
                      <w:sz w:val="20"/>
                      <w:szCs w:val="20"/>
                    </w:rPr>
                    <w:t>ÙÙÙÙÙ</w:t>
                  </w:r>
                </w:p>
              </w:tc>
              <w:tc>
                <w:tcPr>
                  <w:tcW w:w="861"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4.53</w:t>
                  </w:r>
                </w:p>
              </w:tc>
              <w:tc>
                <w:tcPr>
                  <w:tcW w:w="709"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6.66</w:t>
                  </w:r>
                </w:p>
              </w:tc>
              <w:tc>
                <w:tcPr>
                  <w:tcW w:w="670"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6.77</w:t>
                  </w:r>
                </w:p>
              </w:tc>
              <w:tc>
                <w:tcPr>
                  <w:tcW w:w="78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4.81</w:t>
                  </w:r>
                </w:p>
              </w:tc>
              <w:tc>
                <w:tcPr>
                  <w:tcW w:w="575" w:type="dxa"/>
                  <w:tcBorders>
                    <w:top w:val="nil"/>
                    <w:left w:val="nil"/>
                    <w:bottom w:val="nil"/>
                    <w:right w:val="nil"/>
                  </w:tcBorders>
                  <w:shd w:val="clear" w:color="auto" w:fill="auto"/>
                  <w:noWrap/>
                  <w:vAlign w:val="bottom"/>
                </w:tcPr>
                <w:p w:rsidR="0006210D" w:rsidRDefault="0006210D" w:rsidP="00A50C3A">
                  <w:pPr>
                    <w:jc w:val="right"/>
                    <w:rPr>
                      <w:rFonts w:ascii="Morningstar 1" w:hAnsi="Morningstar 1"/>
                      <w:sz w:val="20"/>
                      <w:szCs w:val="20"/>
                    </w:rPr>
                  </w:pPr>
                  <w:r>
                    <w:rPr>
                      <w:rFonts w:ascii="Morningstar 1" w:hAnsi="Morningstar 1"/>
                      <w:sz w:val="20"/>
                      <w:szCs w:val="20"/>
                    </w:rPr>
                    <w:t>0.29</w:t>
                  </w:r>
                </w:p>
              </w:tc>
              <w:tc>
                <w:tcPr>
                  <w:tcW w:w="556" w:type="dxa"/>
                  <w:tcBorders>
                    <w:top w:val="nil"/>
                    <w:left w:val="nil"/>
                    <w:bottom w:val="nil"/>
                    <w:right w:val="nil"/>
                  </w:tcBorders>
                  <w:shd w:val="clear" w:color="auto" w:fill="auto"/>
                  <w:noWrap/>
                  <w:vAlign w:val="bottom"/>
                </w:tcPr>
                <w:p w:rsidR="0006210D" w:rsidRDefault="0006210D" w:rsidP="00A50C3A">
                  <w:pPr>
                    <w:jc w:val="center"/>
                    <w:rPr>
                      <w:rFonts w:ascii="Morningstar 1" w:hAnsi="Morningstar 1"/>
                      <w:sz w:val="20"/>
                      <w:szCs w:val="20"/>
                    </w:rPr>
                  </w:pPr>
                  <w:r>
                    <w:rPr>
                      <w:rFonts w:ascii="Morningstar 1" w:hAnsi="Morningstar 1"/>
                      <w:sz w:val="20"/>
                      <w:szCs w:val="20"/>
                    </w:rPr>
                    <w:t>28</w:t>
                  </w:r>
                </w:p>
              </w:tc>
            </w:tr>
          </w:tbl>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863088" w:rsidRDefault="00863088"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tbl>
            <w:tblPr>
              <w:tblW w:w="7384" w:type="dxa"/>
              <w:tblLook w:val="0000" w:firstRow="0" w:lastRow="0" w:firstColumn="0" w:lastColumn="0" w:noHBand="0" w:noVBand="0"/>
            </w:tblPr>
            <w:tblGrid>
              <w:gridCol w:w="1600"/>
              <w:gridCol w:w="1052"/>
              <w:gridCol w:w="721"/>
              <w:gridCol w:w="721"/>
              <w:gridCol w:w="820"/>
              <w:gridCol w:w="854"/>
              <w:gridCol w:w="762"/>
              <w:gridCol w:w="854"/>
            </w:tblGrid>
            <w:tr w:rsidR="00D50783" w:rsidTr="009C6410">
              <w:trPr>
                <w:trHeight w:val="255"/>
              </w:trPr>
              <w:tc>
                <w:tcPr>
                  <w:tcW w:w="1600"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Category</w:t>
                  </w:r>
                </w:p>
              </w:tc>
              <w:tc>
                <w:tcPr>
                  <w:tcW w:w="1052"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Brokerage</w:t>
                  </w:r>
                </w:p>
              </w:tc>
              <w:tc>
                <w:tcPr>
                  <w:tcW w:w="721"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IRA</w:t>
                  </w:r>
                </w:p>
              </w:tc>
              <w:tc>
                <w:tcPr>
                  <w:tcW w:w="721"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Other</w:t>
                  </w:r>
                </w:p>
              </w:tc>
              <w:tc>
                <w:tcPr>
                  <w:tcW w:w="820"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Total</w:t>
                  </w:r>
                </w:p>
              </w:tc>
              <w:tc>
                <w:tcPr>
                  <w:tcW w:w="854"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%Total</w:t>
                  </w:r>
                </w:p>
              </w:tc>
              <w:tc>
                <w:tcPr>
                  <w:tcW w:w="762"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Fixed$</w:t>
                  </w:r>
                </w:p>
              </w:tc>
              <w:tc>
                <w:tcPr>
                  <w:tcW w:w="854" w:type="dxa"/>
                  <w:tcBorders>
                    <w:top w:val="nil"/>
                    <w:left w:val="nil"/>
                    <w:bottom w:val="nil"/>
                    <w:right w:val="nil"/>
                  </w:tcBorders>
                  <w:shd w:val="clear" w:color="auto" w:fill="9999FF"/>
                  <w:noWrap/>
                  <w:vAlign w:val="bottom"/>
                </w:tcPr>
                <w:p w:rsidR="00D50783" w:rsidRDefault="00D50783">
                  <w:pPr>
                    <w:jc w:val="center"/>
                    <w:rPr>
                      <w:rFonts w:ascii="Morningstar 1" w:hAnsi="Morningstar 1"/>
                      <w:b/>
                      <w:bCs/>
                      <w:sz w:val="20"/>
                      <w:szCs w:val="20"/>
                    </w:rPr>
                  </w:pPr>
                  <w:r>
                    <w:rPr>
                      <w:rFonts w:ascii="Morningstar 1" w:hAnsi="Morningstar 1"/>
                      <w:b/>
                      <w:bCs/>
                      <w:sz w:val="20"/>
                      <w:szCs w:val="20"/>
                    </w:rPr>
                    <w:t>Equities</w:t>
                  </w: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Bond High Quality</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12,821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12,821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2.80%</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2.80%</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Bond - Corp General</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25,674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25,674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5.61%</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5.61%</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lastRenderedPageBreak/>
                    <w:t>Bond - Inter Term</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13,394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13,394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2.93%</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2.93%</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Bond Short Gov Gen</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81,217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81,217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17.74%</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29.07%</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Bond - Short Income</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80,298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80,298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17.54%</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17.54%</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Bond - Short Term</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76,152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76,152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16.63%</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16.63%</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Allocation: 50/50</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30,633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8,282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38,915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8.50%</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4.25%</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4.25%</w:t>
                  </w: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Allocation: 60/40</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30,081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3,790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33,871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7.40%</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2.96%</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u w:val="single"/>
                    </w:rPr>
                  </w:pPr>
                  <w:r>
                    <w:rPr>
                      <w:rFonts w:ascii="Morningstar 1" w:hAnsi="Morningstar 1"/>
                      <w:sz w:val="20"/>
                      <w:szCs w:val="20"/>
                      <w:u w:val="single"/>
                    </w:rPr>
                    <w:t>4.44%</w:t>
                  </w:r>
                </w:p>
              </w:tc>
            </w:tr>
            <w:tr w:rsidR="00D50783" w:rsidTr="009C6410">
              <w:trPr>
                <w:trHeight w:val="300"/>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NC Credit Union</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r>
                    <w:rPr>
                      <w:rFonts w:ascii="Morningstar 1" w:hAnsi="Morningstar 1"/>
                      <w:sz w:val="20"/>
                      <w:szCs w:val="20"/>
                      <w:u w:val="single"/>
                    </w:rPr>
                    <w:t xml:space="preserve">  80,000 </w:t>
                  </w: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80,000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17.47%</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17.47%</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300"/>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Cash</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r>
                    <w:rPr>
                      <w:rFonts w:ascii="Morningstar 1" w:hAnsi="Morningstar 1"/>
                      <w:sz w:val="20"/>
                      <w:szCs w:val="20"/>
                      <w:u w:val="single"/>
                    </w:rPr>
                    <w:t xml:space="preserve">      15,200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r>
                    <w:rPr>
                      <w:rFonts w:ascii="Morningstar 1" w:hAnsi="Morningstar 1"/>
                      <w:sz w:val="20"/>
                      <w:szCs w:val="20"/>
                      <w:u w:val="single"/>
                    </w:rPr>
                    <w:t xml:space="preserve">       363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r>
                    <w:rPr>
                      <w:rFonts w:ascii="Morningstar 1" w:hAnsi="Morningstar 1"/>
                      <w:sz w:val="20"/>
                      <w:szCs w:val="20"/>
                      <w:u w:val="single"/>
                    </w:rPr>
                    <w:t xml:space="preserve">    15,563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u w:val="single"/>
                    </w:rPr>
                  </w:pPr>
                  <w:r>
                    <w:rPr>
                      <w:rFonts w:ascii="Morningstar 1" w:hAnsi="Morningstar 1"/>
                      <w:sz w:val="20"/>
                      <w:szCs w:val="20"/>
                      <w:u w:val="single"/>
                    </w:rPr>
                    <w:t>3.40%</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u w:val="single"/>
                    </w:rPr>
                  </w:pPr>
                  <w:r>
                    <w:rPr>
                      <w:rFonts w:ascii="Morningstar 1" w:hAnsi="Morningstar 1"/>
                      <w:sz w:val="20"/>
                      <w:szCs w:val="20"/>
                      <w:u w:val="single"/>
                    </w:rPr>
                    <w:t>3.40%</w:t>
                  </w: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u w:val="single"/>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Total</w:t>
                  </w: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365,472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12,435 </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80,000 </w:t>
                  </w: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 xml:space="preserve">  457,907 </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100.00%</w:t>
                  </w:r>
                </w:p>
              </w:tc>
              <w:tc>
                <w:tcPr>
                  <w:tcW w:w="76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91.31%</w:t>
                  </w:r>
                </w:p>
              </w:tc>
              <w:tc>
                <w:tcPr>
                  <w:tcW w:w="854"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8.69%</w:t>
                  </w: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105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6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Beta:</w:t>
                  </w:r>
                </w:p>
              </w:tc>
              <w:tc>
                <w:tcPr>
                  <w:tcW w:w="105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0.14</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6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r w:rsidR="00D50783" w:rsidTr="009C6410">
              <w:trPr>
                <w:trHeight w:val="255"/>
              </w:trPr>
              <w:tc>
                <w:tcPr>
                  <w:tcW w:w="160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r>
                    <w:rPr>
                      <w:rFonts w:ascii="Morningstar 1" w:hAnsi="Morningstar 1"/>
                      <w:sz w:val="20"/>
                      <w:szCs w:val="20"/>
                    </w:rPr>
                    <w:t>Market Beta:</w:t>
                  </w:r>
                </w:p>
              </w:tc>
              <w:tc>
                <w:tcPr>
                  <w:tcW w:w="1052" w:type="dxa"/>
                  <w:tcBorders>
                    <w:top w:val="nil"/>
                    <w:left w:val="nil"/>
                    <w:bottom w:val="nil"/>
                    <w:right w:val="nil"/>
                  </w:tcBorders>
                  <w:shd w:val="clear" w:color="auto" w:fill="auto"/>
                  <w:noWrap/>
                  <w:vAlign w:val="bottom"/>
                </w:tcPr>
                <w:p w:rsidR="00D50783" w:rsidRDefault="00D50783">
                  <w:pPr>
                    <w:jc w:val="right"/>
                    <w:rPr>
                      <w:rFonts w:ascii="Morningstar 1" w:hAnsi="Morningstar 1"/>
                      <w:sz w:val="20"/>
                      <w:szCs w:val="20"/>
                    </w:rPr>
                  </w:pPr>
                  <w:r>
                    <w:rPr>
                      <w:rFonts w:ascii="Morningstar 1" w:hAnsi="Morningstar 1"/>
                      <w:sz w:val="20"/>
                      <w:szCs w:val="20"/>
                    </w:rPr>
                    <w:t>1.00</w:t>
                  </w:r>
                </w:p>
              </w:tc>
              <w:tc>
                <w:tcPr>
                  <w:tcW w:w="721"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21" w:type="dxa"/>
                  <w:tcBorders>
                    <w:top w:val="nil"/>
                    <w:left w:val="nil"/>
                    <w:bottom w:val="nil"/>
                    <w:right w:val="nil"/>
                  </w:tcBorders>
                  <w:shd w:val="clear" w:color="auto" w:fill="auto"/>
                  <w:noWrap/>
                  <w:vAlign w:val="bottom"/>
                </w:tcPr>
                <w:p w:rsidR="00D50783" w:rsidRDefault="00D50783">
                  <w:pPr>
                    <w:jc w:val="center"/>
                    <w:rPr>
                      <w:rFonts w:ascii="Arial" w:hAnsi="Arial" w:cs="Arial"/>
                      <w:sz w:val="20"/>
                      <w:szCs w:val="20"/>
                      <w:u w:val="single"/>
                    </w:rPr>
                  </w:pPr>
                </w:p>
              </w:tc>
              <w:tc>
                <w:tcPr>
                  <w:tcW w:w="820"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762"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c>
                <w:tcPr>
                  <w:tcW w:w="854" w:type="dxa"/>
                  <w:tcBorders>
                    <w:top w:val="nil"/>
                    <w:left w:val="nil"/>
                    <w:bottom w:val="nil"/>
                    <w:right w:val="nil"/>
                  </w:tcBorders>
                  <w:shd w:val="clear" w:color="auto" w:fill="auto"/>
                  <w:noWrap/>
                  <w:vAlign w:val="bottom"/>
                </w:tcPr>
                <w:p w:rsidR="00D50783" w:rsidRDefault="00D50783">
                  <w:pPr>
                    <w:rPr>
                      <w:rFonts w:ascii="Morningstar 1" w:hAnsi="Morningstar 1"/>
                      <w:sz w:val="20"/>
                      <w:szCs w:val="20"/>
                    </w:rPr>
                  </w:pPr>
                </w:p>
              </w:tc>
            </w:tr>
          </w:tbl>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9714D4" w:rsidRDefault="009714D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9714D4" w:rsidRDefault="009714D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9714D4" w:rsidRPr="007C0F70" w:rsidRDefault="009714D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u w:val="single"/>
              </w:rPr>
            </w:pPr>
            <w:r w:rsidRPr="007C0F70">
              <w:rPr>
                <w:sz w:val="20"/>
                <w:szCs w:val="20"/>
                <w:u w:val="single"/>
              </w:rPr>
              <w:t xml:space="preserve">Item 14 </w:t>
            </w:r>
            <w:r w:rsidRPr="007C0F70">
              <w:rPr>
                <w:i/>
                <w:iCs/>
                <w:sz w:val="20"/>
                <w:szCs w:val="20"/>
                <w:u w:val="single"/>
              </w:rPr>
              <w:t xml:space="preserve">Client </w:t>
            </w:r>
            <w:r w:rsidRPr="007C0F70">
              <w:rPr>
                <w:sz w:val="20"/>
                <w:szCs w:val="20"/>
                <w:u w:val="single"/>
              </w:rPr>
              <w:t>Referrals and Other Compensation</w:t>
            </w: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Raleigh Investment Advisors</w:t>
            </w:r>
            <w:r w:rsidR="00015060">
              <w:rPr>
                <w:sz w:val="20"/>
                <w:szCs w:val="20"/>
              </w:rPr>
              <w:t>, Inc. has not received or nor giv</w:t>
            </w:r>
            <w:r w:rsidR="002E33CC">
              <w:rPr>
                <w:sz w:val="20"/>
                <w:szCs w:val="20"/>
              </w:rPr>
              <w:t>en</w:t>
            </w:r>
            <w:r>
              <w:rPr>
                <w:sz w:val="20"/>
                <w:szCs w:val="20"/>
              </w:rPr>
              <w:t xml:space="preserve"> any means of compensation for referrals.</w:t>
            </w:r>
          </w:p>
          <w:p w:rsidR="00170674" w:rsidRDefault="0017067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70674" w:rsidRDefault="0017067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170674" w:rsidRDefault="0017067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r w:rsidRPr="00170674">
              <w:rPr>
                <w:sz w:val="20"/>
                <w:szCs w:val="20"/>
                <w:u w:val="single"/>
              </w:rPr>
              <w:t xml:space="preserve">Item 15 </w:t>
            </w:r>
            <w:r w:rsidRPr="00170674">
              <w:rPr>
                <w:i/>
                <w:iCs/>
                <w:sz w:val="20"/>
                <w:szCs w:val="20"/>
                <w:u w:val="single"/>
              </w:rPr>
              <w:t>Custody</w:t>
            </w:r>
          </w:p>
          <w:p w:rsidR="007871C7" w:rsidRDefault="007871C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7871C7" w:rsidRDefault="007871C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7871C7" w:rsidRDefault="007871C7"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7871C7" w:rsidRPr="007871C7" w:rsidRDefault="003D2319"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iCs/>
                <w:sz w:val="20"/>
                <w:szCs w:val="20"/>
              </w:rPr>
              <w:t xml:space="preserve">Charles Schwab &amp; Co., Inc. has custody of 100% of </w:t>
            </w:r>
            <w:r w:rsidR="007871C7">
              <w:rPr>
                <w:iCs/>
                <w:sz w:val="20"/>
                <w:szCs w:val="20"/>
              </w:rPr>
              <w:t>Raleigh Investment Advisors, Inc.</w:t>
            </w:r>
            <w:r>
              <w:rPr>
                <w:iCs/>
                <w:sz w:val="20"/>
                <w:szCs w:val="20"/>
              </w:rPr>
              <w:t xml:space="preserve"> funds.</w:t>
            </w:r>
            <w:r w:rsidR="007871C7">
              <w:rPr>
                <w:iCs/>
                <w:sz w:val="20"/>
                <w:szCs w:val="20"/>
              </w:rPr>
              <w:t xml:space="preserve"> </w:t>
            </w:r>
          </w:p>
          <w:p w:rsidR="00170674" w:rsidRDefault="0017067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B288C" w:rsidRDefault="000B288C"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w:t>
            </w: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A7FA0" w:rsidRDefault="006A7FA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A7AB4" w:rsidRDefault="000A7AB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A7AB4" w:rsidRDefault="000A7AB4"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202B60" w:rsidRPr="000838FA" w:rsidRDefault="00B90F1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r w:rsidRPr="000838FA">
              <w:rPr>
                <w:sz w:val="20"/>
                <w:szCs w:val="20"/>
                <w:u w:val="single"/>
              </w:rPr>
              <w:t>Item 16 Investment Discretion</w:t>
            </w:r>
          </w:p>
          <w:p w:rsidR="00E83F9E" w:rsidRDefault="00E83F9E"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83F9E" w:rsidRDefault="00E83F9E"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83F9E" w:rsidRDefault="00E83F9E"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83F9E" w:rsidRDefault="00E83F9E"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Raleigh Investment</w:t>
            </w:r>
            <w:r w:rsidR="00E745A7">
              <w:rPr>
                <w:sz w:val="20"/>
                <w:szCs w:val="20"/>
              </w:rPr>
              <w:t xml:space="preserve"> Advisors, Inc. has </w:t>
            </w:r>
            <w:r>
              <w:rPr>
                <w:sz w:val="20"/>
                <w:szCs w:val="20"/>
              </w:rPr>
              <w:t>discretionary authority to manage funds for clients.</w:t>
            </w:r>
          </w:p>
          <w:p w:rsidR="00FF5760" w:rsidRDefault="00FF576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FF5760" w:rsidRDefault="00FF576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FF5760" w:rsidRDefault="00FF576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FF5760" w:rsidRDefault="00FF576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r w:rsidRPr="00FF5760">
              <w:rPr>
                <w:sz w:val="20"/>
                <w:szCs w:val="20"/>
                <w:u w:val="single"/>
              </w:rPr>
              <w:t xml:space="preserve">Item 17 Voting </w:t>
            </w:r>
            <w:r w:rsidRPr="00FF5760">
              <w:rPr>
                <w:i/>
                <w:iCs/>
                <w:sz w:val="20"/>
                <w:szCs w:val="20"/>
                <w:u w:val="single"/>
              </w:rPr>
              <w:t xml:space="preserve">Client </w:t>
            </w:r>
            <w:r w:rsidRPr="00FF5760">
              <w:rPr>
                <w:sz w:val="20"/>
                <w:szCs w:val="20"/>
                <w:u w:val="single"/>
              </w:rPr>
              <w:t>Securities</w:t>
            </w:r>
          </w:p>
          <w:p w:rsidR="00186476" w:rsidRDefault="0018647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186476" w:rsidRDefault="0018647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186476" w:rsidRDefault="0018647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186476" w:rsidRDefault="0018647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sidRPr="00186476">
              <w:rPr>
                <w:sz w:val="20"/>
                <w:szCs w:val="20"/>
              </w:rPr>
              <w:t>Raleigh Investme</w:t>
            </w:r>
            <w:r>
              <w:rPr>
                <w:sz w:val="20"/>
                <w:szCs w:val="20"/>
              </w:rPr>
              <w:t xml:space="preserve">nts Advisors, </w:t>
            </w:r>
            <w:r w:rsidRPr="00186476">
              <w:rPr>
                <w:sz w:val="20"/>
                <w:szCs w:val="20"/>
              </w:rPr>
              <w:t>Inc.</w:t>
            </w:r>
            <w:r>
              <w:rPr>
                <w:sz w:val="20"/>
                <w:szCs w:val="20"/>
              </w:rPr>
              <w:t xml:space="preserve"> has the authority to vote, but the Investment Advisor seldom if ever votes because 99 percent of the funds are invested in mutual funds. The Investment Advisor has never had a discussion with a client </w:t>
            </w:r>
            <w:proofErr w:type="gramStart"/>
            <w:r>
              <w:rPr>
                <w:sz w:val="20"/>
                <w:szCs w:val="20"/>
              </w:rPr>
              <w:t>in regard to</w:t>
            </w:r>
            <w:proofErr w:type="gramEnd"/>
            <w:r>
              <w:rPr>
                <w:sz w:val="20"/>
                <w:szCs w:val="20"/>
              </w:rPr>
              <w:t xml:space="preserve"> voting guidelines.</w:t>
            </w:r>
          </w:p>
          <w:p w:rsidR="005D7E08" w:rsidRDefault="005D7E08"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5D7E08" w:rsidRDefault="005D7E08"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5D7E08" w:rsidRDefault="005D7E08"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5D7E08" w:rsidRDefault="005D7E08"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r w:rsidRPr="005D7E08">
              <w:rPr>
                <w:sz w:val="20"/>
                <w:szCs w:val="20"/>
                <w:u w:val="single"/>
              </w:rPr>
              <w:t>Item 18 Financial Information</w:t>
            </w:r>
          </w:p>
          <w:p w:rsidR="00692866" w:rsidRDefault="0069286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692866" w:rsidRDefault="0069286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692866" w:rsidRDefault="0069286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p>
          <w:p w:rsidR="00C579F6" w:rsidRDefault="0069286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sidRPr="00692866">
              <w:rPr>
                <w:sz w:val="20"/>
                <w:szCs w:val="20"/>
              </w:rPr>
              <w:t>Raleigh Investment Advisors, Inc.</w:t>
            </w:r>
            <w:r>
              <w:rPr>
                <w:sz w:val="20"/>
                <w:szCs w:val="20"/>
              </w:rPr>
              <w:t xml:space="preserve"> does not require or solicit a prepayment of any sort</w:t>
            </w:r>
            <w:r w:rsidR="00C579F6">
              <w:rPr>
                <w:sz w:val="20"/>
                <w:szCs w:val="20"/>
              </w:rPr>
              <w:t xml:space="preserve">. </w:t>
            </w:r>
          </w:p>
          <w:p w:rsidR="00C579F6" w:rsidRDefault="00C579F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Raleigh Investment Advisors, Inc. has</w:t>
            </w:r>
            <w:r w:rsidR="00692866">
              <w:rPr>
                <w:sz w:val="20"/>
                <w:szCs w:val="20"/>
              </w:rPr>
              <w:t xml:space="preserve"> discreti</w:t>
            </w:r>
            <w:r w:rsidR="00A11A93">
              <w:rPr>
                <w:sz w:val="20"/>
                <w:szCs w:val="20"/>
              </w:rPr>
              <w:t>onary authority</w:t>
            </w:r>
            <w:r>
              <w:rPr>
                <w:sz w:val="20"/>
                <w:szCs w:val="20"/>
              </w:rPr>
              <w:t xml:space="preserve"> of client’s funds. </w:t>
            </w:r>
          </w:p>
          <w:p w:rsidR="00692866" w:rsidRDefault="00C579F6"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Raleigh Investment Advisors, Inc. has not </w:t>
            </w:r>
            <w:r w:rsidR="00A11A93">
              <w:rPr>
                <w:sz w:val="20"/>
                <w:szCs w:val="20"/>
              </w:rPr>
              <w:t>filed for bankruptcy.</w:t>
            </w:r>
          </w:p>
          <w:p w:rsidR="00EA5D45" w:rsidRDefault="00EA5D45"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A5D45" w:rsidRDefault="00EA5D45"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A5D45" w:rsidRDefault="00EA5D45"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EA5D45" w:rsidRPr="00692866" w:rsidRDefault="00EA5D45"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0838FA" w:rsidRPr="00EA5D45" w:rsidRDefault="00EA5D45"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u w:val="single"/>
              </w:rPr>
            </w:pPr>
            <w:r w:rsidRPr="00EA5D45">
              <w:rPr>
                <w:sz w:val="20"/>
                <w:szCs w:val="20"/>
                <w:u w:val="single"/>
              </w:rPr>
              <w:t>Item 19 Requirements for State-Registered Advisers</w:t>
            </w:r>
          </w:p>
          <w:p w:rsidR="000838FA" w:rsidRDefault="000838FA"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4D2489" w:rsidRDefault="004D2489"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4D2489" w:rsidRDefault="004D2489"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4D2489" w:rsidRDefault="004D2489"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Raleigh Investment Advisors, Inc. has </w:t>
            </w:r>
            <w:r w:rsidR="00FD59F0">
              <w:rPr>
                <w:sz w:val="20"/>
                <w:szCs w:val="20"/>
              </w:rPr>
              <w:t>two</w:t>
            </w:r>
            <w:r>
              <w:rPr>
                <w:sz w:val="20"/>
                <w:szCs w:val="20"/>
              </w:rPr>
              <w:t xml:space="preserve"> employee</w:t>
            </w:r>
            <w:r w:rsidR="00FD59F0">
              <w:rPr>
                <w:sz w:val="20"/>
                <w:szCs w:val="20"/>
              </w:rPr>
              <w:t>s</w:t>
            </w:r>
            <w:r>
              <w:rPr>
                <w:sz w:val="20"/>
                <w:szCs w:val="20"/>
              </w:rPr>
              <w:t>:</w:t>
            </w:r>
          </w:p>
          <w:p w:rsidR="004D2489" w:rsidRDefault="004D2489"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Michael C. Dunne</w:t>
            </w:r>
          </w:p>
          <w:p w:rsidR="00FD59F0" w:rsidRDefault="004D2489"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Owner, Founder, President</w:t>
            </w:r>
          </w:p>
          <w:p w:rsidR="004D2489" w:rsidRDefault="00FD59F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w:t>
            </w:r>
            <w:r w:rsidR="004D2489">
              <w:rPr>
                <w:sz w:val="20"/>
                <w:szCs w:val="20"/>
              </w:rPr>
              <w:t>Graduate of The University of Texas Business School</w:t>
            </w:r>
          </w:p>
          <w:p w:rsidR="00FD59F0" w:rsidRDefault="00FD59F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FD59F0" w:rsidRDefault="00FD59F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Greg Dunne</w:t>
            </w:r>
          </w:p>
          <w:p w:rsidR="00FD59F0" w:rsidRDefault="00FD59F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Vice President</w:t>
            </w:r>
          </w:p>
          <w:p w:rsidR="00FD59F0" w:rsidRDefault="00FD59F0"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r>
              <w:rPr>
                <w:sz w:val="20"/>
                <w:szCs w:val="20"/>
              </w:rPr>
              <w:t xml:space="preserve">          Graduate of North Carolina State University</w:t>
            </w:r>
          </w:p>
          <w:p w:rsidR="000838FA" w:rsidRDefault="000838FA"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0838FA" w:rsidRDefault="000838FA" w:rsidP="00B90F10">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jc w:val="both"/>
              <w:rPr>
                <w:sz w:val="20"/>
                <w:szCs w:val="20"/>
              </w:rPr>
            </w:pPr>
          </w:p>
          <w:p w:rsidR="00202B60" w:rsidRPr="00202B60" w:rsidRDefault="00202B6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r>
              <w:rPr>
                <w:sz w:val="20"/>
                <w:szCs w:val="20"/>
              </w:rPr>
              <w:t xml:space="preserve"> </w:t>
            </w:r>
          </w:p>
          <w:p w:rsidR="000A7AB4" w:rsidRDefault="000A7AB4" w:rsidP="000A7AB4">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0A7AB4" w:rsidRDefault="000A7AB4" w:rsidP="000A7AB4">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B46036" w:rsidRDefault="00B46036"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p w:rsidR="00636675" w:rsidRPr="00FC1E39" w:rsidRDefault="00636675"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iCs/>
                <w:sz w:val="20"/>
                <w:szCs w:val="20"/>
              </w:rPr>
            </w:pPr>
          </w:p>
          <w:p w:rsidR="003246DB" w:rsidRDefault="003246DB"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color w:val="000000"/>
                <w:sz w:val="20"/>
              </w:rPr>
            </w:pPr>
          </w:p>
          <w:p w:rsidR="003246DB" w:rsidRPr="003246DB" w:rsidRDefault="003246DB" w:rsidP="003246DB">
            <w:pPr>
              <w:rPr>
                <w:sz w:val="20"/>
              </w:rPr>
            </w:pPr>
          </w:p>
          <w:p w:rsidR="003246DB" w:rsidRPr="003246DB" w:rsidRDefault="003246DB" w:rsidP="003246DB">
            <w:pPr>
              <w:rPr>
                <w:sz w:val="20"/>
              </w:rPr>
            </w:pPr>
          </w:p>
          <w:p w:rsidR="00AE2C29" w:rsidRPr="003246DB" w:rsidRDefault="00AE2C29" w:rsidP="006D7A3E">
            <w:pPr>
              <w:rPr>
                <w:sz w:val="20"/>
              </w:rPr>
            </w:pPr>
          </w:p>
        </w:tc>
      </w:tr>
      <w:tr w:rsidR="00FD59F0" w:rsidRPr="00B66A1D">
        <w:trPr>
          <w:trHeight w:val="10961"/>
        </w:trPr>
        <w:tc>
          <w:tcPr>
            <w:tcW w:w="9576" w:type="dxa"/>
            <w:tcBorders>
              <w:top w:val="single" w:sz="4" w:space="0" w:color="auto"/>
              <w:left w:val="single" w:sz="4" w:space="0" w:color="auto"/>
              <w:bottom w:val="single" w:sz="4" w:space="0" w:color="auto"/>
              <w:right w:val="single" w:sz="4" w:space="0" w:color="auto"/>
            </w:tcBorders>
          </w:tcPr>
          <w:p w:rsidR="00FD59F0" w:rsidRDefault="00FD59F0" w:rsidP="005B494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rPr>
                <w:sz w:val="20"/>
                <w:szCs w:val="20"/>
              </w:rPr>
            </w:pPr>
          </w:p>
        </w:tc>
      </w:tr>
    </w:tbl>
    <w:p w:rsidR="005B494E" w:rsidRDefault="005B494E" w:rsidP="006D7A3E">
      <w:pPr>
        <w:tabs>
          <w:tab w:val="left" w:pos="360"/>
          <w:tab w:val="left" w:pos="720"/>
          <w:tab w:val="left" w:pos="1080"/>
          <w:tab w:val="left" w:pos="1440"/>
          <w:tab w:val="left" w:pos="1800"/>
          <w:tab w:val="left" w:pos="2160"/>
          <w:tab w:val="left" w:pos="2520"/>
          <w:tab w:val="left" w:pos="2880"/>
          <w:tab w:val="left" w:pos="3240"/>
          <w:tab w:val="left" w:pos="3600"/>
          <w:tab w:val="left" w:pos="7920"/>
          <w:tab w:val="left" w:pos="8280"/>
          <w:tab w:val="left" w:pos="8640"/>
        </w:tabs>
      </w:pPr>
    </w:p>
    <w:p w:rsidR="006D7A3E" w:rsidRDefault="006D7A3E">
      <w:pPr>
        <w:rPr>
          <w:sz w:val="20"/>
          <w:szCs w:val="20"/>
        </w:rPr>
      </w:pPr>
    </w:p>
    <w:sectPr w:rsidR="006D7A3E" w:rsidSect="005B494E">
      <w:head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C8" w:rsidRDefault="008063C8">
      <w:r>
        <w:separator/>
      </w:r>
    </w:p>
  </w:endnote>
  <w:endnote w:type="continuationSeparator" w:id="0">
    <w:p w:rsidR="008063C8" w:rsidRDefault="0080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rningstar 1">
    <w:panose1 w:val="020B040602020204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C8" w:rsidRDefault="008063C8">
      <w:r>
        <w:separator/>
      </w:r>
    </w:p>
  </w:footnote>
  <w:footnote w:type="continuationSeparator" w:id="0">
    <w:p w:rsidR="008063C8" w:rsidRDefault="0080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A9" w:rsidRPr="00EA2B4A" w:rsidRDefault="00DF39A9" w:rsidP="005B494E">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97D84"/>
    <w:multiLevelType w:val="hybridMultilevel"/>
    <w:tmpl w:val="2066461C"/>
    <w:lvl w:ilvl="0" w:tplc="F604B81E">
      <w:start w:val="1"/>
      <w:numFmt w:val="bullet"/>
      <w:lvlText w:val=""/>
      <w:lvlJc w:val="left"/>
      <w:pPr>
        <w:tabs>
          <w:tab w:val="num" w:pos="288"/>
        </w:tabs>
        <w:ind w:left="288"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60D68"/>
    <w:multiLevelType w:val="singleLevel"/>
    <w:tmpl w:val="EBE2FB3A"/>
    <w:lvl w:ilvl="0">
      <w:start w:val="1"/>
      <w:numFmt w:val="decimal"/>
      <w:lvlText w:val="%1."/>
      <w:lvlJc w:val="left"/>
      <w:pPr>
        <w:tabs>
          <w:tab w:val="num" w:pos="1440"/>
        </w:tabs>
        <w:ind w:left="1440" w:hanging="720"/>
      </w:pPr>
      <w:rPr>
        <w:rFonts w:hint="default"/>
      </w:rPr>
    </w:lvl>
  </w:abstractNum>
  <w:abstractNum w:abstractNumId="3" w15:restartNumberingAfterBreak="0">
    <w:nsid w:val="0617602F"/>
    <w:multiLevelType w:val="hybridMultilevel"/>
    <w:tmpl w:val="252A374A"/>
    <w:lvl w:ilvl="0" w:tplc="27264AF6">
      <w:start w:val="40"/>
      <w:numFmt w:val="decimal"/>
      <w:lvlText w:val="%1"/>
      <w:lvlJc w:val="left"/>
      <w:pPr>
        <w:tabs>
          <w:tab w:val="num" w:pos="1635"/>
        </w:tabs>
        <w:ind w:left="1635" w:hanging="109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ADA75E3"/>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14C50682"/>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155D3B7A"/>
    <w:multiLevelType w:val="singleLevel"/>
    <w:tmpl w:val="E8C68F76"/>
    <w:lvl w:ilvl="0">
      <w:start w:val="5"/>
      <w:numFmt w:val="lowerLetter"/>
      <w:lvlText w:val="%1."/>
      <w:lvlJc w:val="left"/>
      <w:pPr>
        <w:tabs>
          <w:tab w:val="num" w:pos="1440"/>
        </w:tabs>
        <w:ind w:left="1440" w:hanging="360"/>
      </w:pPr>
      <w:rPr>
        <w:rFonts w:hint="default"/>
      </w:rPr>
    </w:lvl>
  </w:abstractNum>
  <w:abstractNum w:abstractNumId="7" w15:restartNumberingAfterBreak="0">
    <w:nsid w:val="17211478"/>
    <w:multiLevelType w:val="singleLevel"/>
    <w:tmpl w:val="0A7EF184"/>
    <w:lvl w:ilvl="0">
      <w:start w:val="3"/>
      <w:numFmt w:val="upperLetter"/>
      <w:lvlText w:val="%1."/>
      <w:lvlJc w:val="left"/>
      <w:pPr>
        <w:tabs>
          <w:tab w:val="num" w:pos="720"/>
        </w:tabs>
        <w:ind w:left="720" w:hanging="360"/>
      </w:pPr>
      <w:rPr>
        <w:rFonts w:hint="default"/>
        <w:b w:val="0"/>
        <w:i w:val="0"/>
      </w:rPr>
    </w:lvl>
  </w:abstractNum>
  <w:abstractNum w:abstractNumId="8" w15:restartNumberingAfterBreak="0">
    <w:nsid w:val="173170ED"/>
    <w:multiLevelType w:val="singleLevel"/>
    <w:tmpl w:val="2E1674CC"/>
    <w:lvl w:ilvl="0">
      <w:start w:val="6"/>
      <w:numFmt w:val="upperLetter"/>
      <w:lvlText w:val="%1."/>
      <w:lvlJc w:val="left"/>
      <w:pPr>
        <w:tabs>
          <w:tab w:val="num" w:pos="720"/>
        </w:tabs>
        <w:ind w:left="720" w:hanging="360"/>
      </w:pPr>
      <w:rPr>
        <w:rFonts w:hint="default"/>
      </w:rPr>
    </w:lvl>
  </w:abstractNum>
  <w:abstractNum w:abstractNumId="9" w15:restartNumberingAfterBreak="0">
    <w:nsid w:val="1B8B5DDE"/>
    <w:multiLevelType w:val="hybridMultilevel"/>
    <w:tmpl w:val="0A803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B4E1A"/>
    <w:multiLevelType w:val="hybridMultilevel"/>
    <w:tmpl w:val="DE90EBC2"/>
    <w:lvl w:ilvl="0" w:tplc="793A43B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92D5E9A"/>
    <w:multiLevelType w:val="hybridMultilevel"/>
    <w:tmpl w:val="010ED2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9F5D35"/>
    <w:multiLevelType w:val="singleLevel"/>
    <w:tmpl w:val="0409000F"/>
    <w:lvl w:ilvl="0">
      <w:start w:val="1"/>
      <w:numFmt w:val="decimal"/>
      <w:lvlText w:val="%1."/>
      <w:legacy w:legacy="1" w:legacySpace="0" w:legacyIndent="360"/>
      <w:lvlJc w:val="left"/>
      <w:pPr>
        <w:ind w:left="1080" w:hanging="360"/>
      </w:pPr>
    </w:lvl>
  </w:abstractNum>
  <w:abstractNum w:abstractNumId="13" w15:restartNumberingAfterBreak="0">
    <w:nsid w:val="32C97D77"/>
    <w:multiLevelType w:val="hybridMultilevel"/>
    <w:tmpl w:val="42589E0A"/>
    <w:lvl w:ilvl="0" w:tplc="F604B81E">
      <w:start w:val="1"/>
      <w:numFmt w:val="bullet"/>
      <w:lvlText w:val=""/>
      <w:lvlJc w:val="left"/>
      <w:pPr>
        <w:tabs>
          <w:tab w:val="num" w:pos="288"/>
        </w:tabs>
        <w:ind w:left="288"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C487F"/>
    <w:multiLevelType w:val="hybridMultilevel"/>
    <w:tmpl w:val="B26EBB8E"/>
    <w:lvl w:ilvl="0" w:tplc="B57A9ED8">
      <w:start w:val="1"/>
      <w:numFmt w:val="lowerRoman"/>
      <w:lvlText w:val="(%1)"/>
      <w:lvlJc w:val="left"/>
      <w:pPr>
        <w:tabs>
          <w:tab w:val="num" w:pos="1440"/>
        </w:tabs>
        <w:ind w:left="1440" w:hanging="720"/>
      </w:pPr>
      <w:rPr>
        <w:rFonts w:hint="default"/>
      </w:rPr>
    </w:lvl>
    <w:lvl w:ilvl="1" w:tplc="F604B81E">
      <w:start w:val="1"/>
      <w:numFmt w:val="bullet"/>
      <w:lvlText w:val=""/>
      <w:lvlJc w:val="left"/>
      <w:pPr>
        <w:tabs>
          <w:tab w:val="num" w:pos="1296"/>
        </w:tabs>
        <w:ind w:left="1296" w:hanging="216"/>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CC3080"/>
    <w:multiLevelType w:val="hybridMultilevel"/>
    <w:tmpl w:val="669264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A4B78"/>
    <w:multiLevelType w:val="hybridMultilevel"/>
    <w:tmpl w:val="21807242"/>
    <w:lvl w:ilvl="0" w:tplc="B57A9ED8">
      <w:start w:val="1"/>
      <w:numFmt w:val="lowerRoman"/>
      <w:lvlText w:val="(%1)"/>
      <w:lvlJc w:val="left"/>
      <w:pPr>
        <w:tabs>
          <w:tab w:val="num" w:pos="1440"/>
        </w:tabs>
        <w:ind w:left="1440" w:hanging="720"/>
      </w:pPr>
      <w:rPr>
        <w:rFonts w:hint="default"/>
      </w:rPr>
    </w:lvl>
    <w:lvl w:ilvl="1" w:tplc="DC483906">
      <w:start w:val="1"/>
      <w:numFmt w:val="bullet"/>
      <w:lvlText w:val="-"/>
      <w:lvlJc w:val="left"/>
      <w:pPr>
        <w:tabs>
          <w:tab w:val="num" w:pos="1440"/>
        </w:tabs>
        <w:ind w:left="1440" w:hanging="360"/>
      </w:pPr>
      <w:rPr>
        <w:rFonts w:ascii="Times New Roman" w:eastAsia="Times New Roman" w:hAnsi="Times New Roman" w:cs="Times New Roman" w:hint="default"/>
      </w:rPr>
    </w:lvl>
    <w:lvl w:ilvl="2" w:tplc="F1CE2DBE">
      <w:start w:val="1"/>
      <w:numFmt w:val="decimal"/>
      <w:lvlText w:val="%3."/>
      <w:lvlJc w:val="left"/>
      <w:pPr>
        <w:tabs>
          <w:tab w:val="num" w:pos="990"/>
        </w:tabs>
        <w:ind w:left="99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F60C23"/>
    <w:multiLevelType w:val="multilevel"/>
    <w:tmpl w:val="BC98AD1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0E14627"/>
    <w:multiLevelType w:val="singleLevel"/>
    <w:tmpl w:val="F366317A"/>
    <w:lvl w:ilvl="0">
      <w:start w:val="3"/>
      <w:numFmt w:val="upperLetter"/>
      <w:lvlText w:val="%1."/>
      <w:lvlJc w:val="left"/>
      <w:pPr>
        <w:tabs>
          <w:tab w:val="num" w:pos="720"/>
        </w:tabs>
        <w:ind w:left="720" w:hanging="360"/>
      </w:pPr>
      <w:rPr>
        <w:rFonts w:hint="default"/>
      </w:rPr>
    </w:lvl>
  </w:abstractNum>
  <w:abstractNum w:abstractNumId="19" w15:restartNumberingAfterBreak="0">
    <w:nsid w:val="49521B18"/>
    <w:multiLevelType w:val="hybridMultilevel"/>
    <w:tmpl w:val="3B4AD6D8"/>
    <w:lvl w:ilvl="0" w:tplc="B57A9E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DD3935"/>
    <w:multiLevelType w:val="singleLevel"/>
    <w:tmpl w:val="BCE4EEBE"/>
    <w:lvl w:ilvl="0">
      <w:start w:val="3"/>
      <w:numFmt w:val="upperLetter"/>
      <w:lvlText w:val="%1."/>
      <w:lvlJc w:val="left"/>
      <w:pPr>
        <w:tabs>
          <w:tab w:val="num" w:pos="720"/>
        </w:tabs>
        <w:ind w:left="720" w:hanging="360"/>
      </w:pPr>
      <w:rPr>
        <w:rFonts w:hint="default"/>
      </w:rPr>
    </w:lvl>
  </w:abstractNum>
  <w:abstractNum w:abstractNumId="21" w15:restartNumberingAfterBreak="0">
    <w:nsid w:val="538F6951"/>
    <w:multiLevelType w:val="hybridMultilevel"/>
    <w:tmpl w:val="2A3CBFCE"/>
    <w:lvl w:ilvl="0" w:tplc="2DE6217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7885763"/>
    <w:multiLevelType w:val="hybridMultilevel"/>
    <w:tmpl w:val="A5EE376A"/>
    <w:lvl w:ilvl="0" w:tplc="0409000F">
      <w:start w:val="2"/>
      <w:numFmt w:val="decimal"/>
      <w:lvlText w:val="%1."/>
      <w:lvlJc w:val="left"/>
      <w:pPr>
        <w:tabs>
          <w:tab w:val="num" w:pos="720"/>
        </w:tabs>
        <w:ind w:left="720" w:hanging="360"/>
      </w:pPr>
      <w:rPr>
        <w:rFonts w:hint="default"/>
      </w:rPr>
    </w:lvl>
    <w:lvl w:ilvl="1" w:tplc="414EA2CE">
      <w:start w:val="4"/>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B5667F"/>
    <w:multiLevelType w:val="hybridMultilevel"/>
    <w:tmpl w:val="FC7A7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857C4"/>
    <w:multiLevelType w:val="singleLevel"/>
    <w:tmpl w:val="723CEB74"/>
    <w:lvl w:ilvl="0">
      <w:start w:val="2"/>
      <w:numFmt w:val="decimal"/>
      <w:lvlText w:val="%1."/>
      <w:lvlJc w:val="left"/>
      <w:pPr>
        <w:tabs>
          <w:tab w:val="num" w:pos="1080"/>
        </w:tabs>
        <w:ind w:left="1080" w:hanging="360"/>
      </w:pPr>
      <w:rPr>
        <w:rFonts w:hint="default"/>
      </w:rPr>
    </w:lvl>
  </w:abstractNum>
  <w:abstractNum w:abstractNumId="25" w15:restartNumberingAfterBreak="0">
    <w:nsid w:val="5DA96BA0"/>
    <w:multiLevelType w:val="singleLevel"/>
    <w:tmpl w:val="0409000F"/>
    <w:lvl w:ilvl="0">
      <w:start w:val="2"/>
      <w:numFmt w:val="decimal"/>
      <w:lvlText w:val="%1."/>
      <w:legacy w:legacy="1" w:legacySpace="0" w:legacyIndent="360"/>
      <w:lvlJc w:val="left"/>
      <w:pPr>
        <w:ind w:left="360" w:hanging="360"/>
      </w:pPr>
    </w:lvl>
  </w:abstractNum>
  <w:abstractNum w:abstractNumId="26" w15:restartNumberingAfterBreak="0">
    <w:nsid w:val="5DF6737D"/>
    <w:multiLevelType w:val="singleLevel"/>
    <w:tmpl w:val="F08A84F4"/>
    <w:lvl w:ilvl="0">
      <w:start w:val="3"/>
      <w:numFmt w:val="upperLetter"/>
      <w:lvlText w:val="%1."/>
      <w:lvlJc w:val="left"/>
      <w:pPr>
        <w:tabs>
          <w:tab w:val="num" w:pos="720"/>
        </w:tabs>
        <w:ind w:left="720" w:hanging="360"/>
      </w:pPr>
      <w:rPr>
        <w:rFonts w:hint="default"/>
      </w:rPr>
    </w:lvl>
  </w:abstractNum>
  <w:abstractNum w:abstractNumId="27" w15:restartNumberingAfterBreak="0">
    <w:nsid w:val="65985083"/>
    <w:multiLevelType w:val="hybridMultilevel"/>
    <w:tmpl w:val="55FC2E7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ED3B13"/>
    <w:multiLevelType w:val="singleLevel"/>
    <w:tmpl w:val="0986C37C"/>
    <w:lvl w:ilvl="0">
      <w:start w:val="2"/>
      <w:numFmt w:val="upperLetter"/>
      <w:lvlText w:val="%1."/>
      <w:lvlJc w:val="left"/>
      <w:pPr>
        <w:tabs>
          <w:tab w:val="num" w:pos="720"/>
        </w:tabs>
        <w:ind w:left="720" w:hanging="360"/>
      </w:pPr>
      <w:rPr>
        <w:rFonts w:hint="default"/>
      </w:rPr>
    </w:lvl>
  </w:abstractNum>
  <w:abstractNum w:abstractNumId="29" w15:restartNumberingAfterBreak="0">
    <w:nsid w:val="7B583D8E"/>
    <w:multiLevelType w:val="hybridMultilevel"/>
    <w:tmpl w:val="6E90219E"/>
    <w:lvl w:ilvl="0" w:tplc="D10672A4">
      <w:start w:val="1"/>
      <w:numFmt w:val="lowerLetter"/>
      <w:lvlText w:val="(%1)"/>
      <w:lvlJc w:val="left"/>
      <w:pPr>
        <w:tabs>
          <w:tab w:val="num" w:pos="720"/>
        </w:tabs>
        <w:ind w:left="720" w:hanging="360"/>
      </w:pPr>
      <w:rPr>
        <w:rFonts w:hint="default"/>
      </w:rPr>
    </w:lvl>
    <w:lvl w:ilvl="1" w:tplc="E28A50CC">
      <w:start w:val="2"/>
      <w:numFmt w:val="lowerLetter"/>
      <w:lvlText w:val="%2."/>
      <w:lvlJc w:val="left"/>
      <w:pPr>
        <w:tabs>
          <w:tab w:val="num" w:pos="1440"/>
        </w:tabs>
        <w:ind w:left="1440" w:hanging="360"/>
      </w:pPr>
      <w:rPr>
        <w:rFonts w:hint="default"/>
      </w:rPr>
    </w:lvl>
    <w:lvl w:ilvl="2" w:tplc="F554621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057CC5"/>
    <w:multiLevelType w:val="hybridMultilevel"/>
    <w:tmpl w:val="5672D1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E0CF2"/>
    <w:multiLevelType w:val="hybridMultilevel"/>
    <w:tmpl w:val="C8447C2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9"/>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7"/>
  </w:num>
  <w:num w:numId="5">
    <w:abstractNumId w:val="20"/>
  </w:num>
  <w:num w:numId="6">
    <w:abstractNumId w:val="24"/>
  </w:num>
  <w:num w:numId="7">
    <w:abstractNumId w:val="10"/>
  </w:num>
  <w:num w:numId="8">
    <w:abstractNumId w:val="11"/>
  </w:num>
  <w:num w:numId="9">
    <w:abstractNumId w:val="6"/>
  </w:num>
  <w:num w:numId="10">
    <w:abstractNumId w:val="29"/>
  </w:num>
  <w:num w:numId="11">
    <w:abstractNumId w:val="17"/>
  </w:num>
  <w:num w:numId="12">
    <w:abstractNumId w:val="18"/>
  </w:num>
  <w:num w:numId="13">
    <w:abstractNumId w:val="26"/>
  </w:num>
  <w:num w:numId="14">
    <w:abstractNumId w:val="2"/>
  </w:num>
  <w:num w:numId="15">
    <w:abstractNumId w:val="8"/>
  </w:num>
  <w:num w:numId="16">
    <w:abstractNumId w:val="28"/>
  </w:num>
  <w:num w:numId="17">
    <w:abstractNumId w:val="31"/>
  </w:num>
  <w:num w:numId="18">
    <w:abstractNumId w:val="15"/>
  </w:num>
  <w:num w:numId="19">
    <w:abstractNumId w:val="5"/>
  </w:num>
  <w:num w:numId="20">
    <w:abstractNumId w:val="25"/>
  </w:num>
  <w:num w:numId="21">
    <w:abstractNumId w:val="25"/>
    <w:lvlOverride w:ilvl="0">
      <w:lvl w:ilvl="0">
        <w:start w:val="2"/>
        <w:numFmt w:val="none"/>
        <w:lvlText w:val="9."/>
        <w:lvlJc w:val="left"/>
        <w:pPr>
          <w:tabs>
            <w:tab w:val="num" w:pos="360"/>
          </w:tabs>
          <w:ind w:left="360" w:hanging="360"/>
        </w:pPr>
        <w:rPr>
          <w:rFonts w:hint="default"/>
        </w:rPr>
      </w:lvl>
    </w:lvlOverride>
  </w:num>
  <w:num w:numId="22">
    <w:abstractNumId w:val="16"/>
  </w:num>
  <w:num w:numId="23">
    <w:abstractNumId w:val="12"/>
  </w:num>
  <w:num w:numId="24">
    <w:abstractNumId w:val="12"/>
    <w:lvlOverride w:ilvl="0">
      <w:lvl w:ilvl="0">
        <w:start w:val="2"/>
        <w:numFmt w:val="decimal"/>
        <w:lvlText w:val="%1."/>
        <w:legacy w:legacy="1" w:legacySpace="0" w:legacyIndent="360"/>
        <w:lvlJc w:val="left"/>
        <w:pPr>
          <w:ind w:left="1080" w:hanging="360"/>
        </w:pPr>
      </w:lvl>
    </w:lvlOverride>
  </w:num>
  <w:num w:numId="25">
    <w:abstractNumId w:val="12"/>
    <w:lvlOverride w:ilvl="0">
      <w:lvl w:ilvl="0">
        <w:start w:val="4"/>
        <w:numFmt w:val="decimal"/>
        <w:lvlText w:val="%1."/>
        <w:legacy w:legacy="1" w:legacySpace="0" w:legacyIndent="360"/>
        <w:lvlJc w:val="left"/>
        <w:pPr>
          <w:ind w:left="1080" w:hanging="360"/>
        </w:pPr>
      </w:lvl>
    </w:lvlOverride>
  </w:num>
  <w:num w:numId="26">
    <w:abstractNumId w:val="4"/>
  </w:num>
  <w:num w:numId="27">
    <w:abstractNumId w:val="30"/>
  </w:num>
  <w:num w:numId="28">
    <w:abstractNumId w:val="19"/>
  </w:num>
  <w:num w:numId="29">
    <w:abstractNumId w:val="21"/>
  </w:num>
  <w:num w:numId="30">
    <w:abstractNumId w:val="27"/>
  </w:num>
  <w:num w:numId="31">
    <w:abstractNumId w:val="13"/>
  </w:num>
  <w:num w:numId="32">
    <w:abstractNumId w:val="14"/>
  </w:num>
  <w:num w:numId="33">
    <w:abstractNumId w:val="1"/>
  </w:num>
  <w:num w:numId="34">
    <w:abstractNumId w:val="2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C31"/>
    <w:rsid w:val="00002D2F"/>
    <w:rsid w:val="00015060"/>
    <w:rsid w:val="00060389"/>
    <w:rsid w:val="0006210D"/>
    <w:rsid w:val="000721EA"/>
    <w:rsid w:val="000838FA"/>
    <w:rsid w:val="00096852"/>
    <w:rsid w:val="00096CEF"/>
    <w:rsid w:val="00097A09"/>
    <w:rsid w:val="000A7AB4"/>
    <w:rsid w:val="000B288C"/>
    <w:rsid w:val="000C305D"/>
    <w:rsid w:val="000D7086"/>
    <w:rsid w:val="00115D71"/>
    <w:rsid w:val="00141E75"/>
    <w:rsid w:val="0015671B"/>
    <w:rsid w:val="0016737F"/>
    <w:rsid w:val="001676F7"/>
    <w:rsid w:val="00170674"/>
    <w:rsid w:val="00186476"/>
    <w:rsid w:val="00186E2C"/>
    <w:rsid w:val="001B2A55"/>
    <w:rsid w:val="001B3CD4"/>
    <w:rsid w:val="001C3AE5"/>
    <w:rsid w:val="001C7DEA"/>
    <w:rsid w:val="001E5D1C"/>
    <w:rsid w:val="00202B60"/>
    <w:rsid w:val="00205764"/>
    <w:rsid w:val="00212CFE"/>
    <w:rsid w:val="002331D5"/>
    <w:rsid w:val="00273084"/>
    <w:rsid w:val="00276AFB"/>
    <w:rsid w:val="002A4688"/>
    <w:rsid w:val="002B38A3"/>
    <w:rsid w:val="002B5631"/>
    <w:rsid w:val="002D331E"/>
    <w:rsid w:val="002D3399"/>
    <w:rsid w:val="002E33CC"/>
    <w:rsid w:val="002F0D18"/>
    <w:rsid w:val="003246DB"/>
    <w:rsid w:val="00333359"/>
    <w:rsid w:val="0033616D"/>
    <w:rsid w:val="0037680C"/>
    <w:rsid w:val="003B2832"/>
    <w:rsid w:val="003B46A6"/>
    <w:rsid w:val="003D2319"/>
    <w:rsid w:val="003E7906"/>
    <w:rsid w:val="003F3D3E"/>
    <w:rsid w:val="003F5648"/>
    <w:rsid w:val="0040599A"/>
    <w:rsid w:val="00434F61"/>
    <w:rsid w:val="0044719E"/>
    <w:rsid w:val="00465FB6"/>
    <w:rsid w:val="00470317"/>
    <w:rsid w:val="004A5E29"/>
    <w:rsid w:val="004D2489"/>
    <w:rsid w:val="004D44E5"/>
    <w:rsid w:val="004E0193"/>
    <w:rsid w:val="005100E1"/>
    <w:rsid w:val="00517C42"/>
    <w:rsid w:val="0052620C"/>
    <w:rsid w:val="0055099D"/>
    <w:rsid w:val="00577576"/>
    <w:rsid w:val="00593B71"/>
    <w:rsid w:val="005B494E"/>
    <w:rsid w:val="005D00C8"/>
    <w:rsid w:val="005D7E08"/>
    <w:rsid w:val="0060642F"/>
    <w:rsid w:val="00614D79"/>
    <w:rsid w:val="00636675"/>
    <w:rsid w:val="006449F0"/>
    <w:rsid w:val="00670A84"/>
    <w:rsid w:val="00692866"/>
    <w:rsid w:val="006A7FA0"/>
    <w:rsid w:val="006C2DED"/>
    <w:rsid w:val="006D7A3E"/>
    <w:rsid w:val="006E5CA2"/>
    <w:rsid w:val="00717F0E"/>
    <w:rsid w:val="0072378D"/>
    <w:rsid w:val="00735CB0"/>
    <w:rsid w:val="00735FC1"/>
    <w:rsid w:val="00746612"/>
    <w:rsid w:val="007769FB"/>
    <w:rsid w:val="00781CDA"/>
    <w:rsid w:val="007871C7"/>
    <w:rsid w:val="00787BC3"/>
    <w:rsid w:val="0079209D"/>
    <w:rsid w:val="00796A01"/>
    <w:rsid w:val="007A06A1"/>
    <w:rsid w:val="007A1A2A"/>
    <w:rsid w:val="007C0F70"/>
    <w:rsid w:val="007C1B4D"/>
    <w:rsid w:val="007C7B93"/>
    <w:rsid w:val="007D02B0"/>
    <w:rsid w:val="008063C8"/>
    <w:rsid w:val="008067E2"/>
    <w:rsid w:val="00853B76"/>
    <w:rsid w:val="00860C38"/>
    <w:rsid w:val="00863088"/>
    <w:rsid w:val="00867EFE"/>
    <w:rsid w:val="00890FA5"/>
    <w:rsid w:val="00895A09"/>
    <w:rsid w:val="008A103E"/>
    <w:rsid w:val="008A3A84"/>
    <w:rsid w:val="008E5C1D"/>
    <w:rsid w:val="00901F39"/>
    <w:rsid w:val="00932A16"/>
    <w:rsid w:val="00934D9A"/>
    <w:rsid w:val="00953EC6"/>
    <w:rsid w:val="009714D4"/>
    <w:rsid w:val="00993533"/>
    <w:rsid w:val="009B73F6"/>
    <w:rsid w:val="009C5FF6"/>
    <w:rsid w:val="009C6410"/>
    <w:rsid w:val="009D42C1"/>
    <w:rsid w:val="009E6821"/>
    <w:rsid w:val="009E7198"/>
    <w:rsid w:val="00A11A93"/>
    <w:rsid w:val="00A33C3A"/>
    <w:rsid w:val="00A341CA"/>
    <w:rsid w:val="00A50C3A"/>
    <w:rsid w:val="00A51C82"/>
    <w:rsid w:val="00A60526"/>
    <w:rsid w:val="00A76535"/>
    <w:rsid w:val="00A81FB7"/>
    <w:rsid w:val="00AE02A1"/>
    <w:rsid w:val="00AE2C29"/>
    <w:rsid w:val="00AE43F2"/>
    <w:rsid w:val="00AF4D0F"/>
    <w:rsid w:val="00B002AA"/>
    <w:rsid w:val="00B155BC"/>
    <w:rsid w:val="00B24256"/>
    <w:rsid w:val="00B37E2F"/>
    <w:rsid w:val="00B46036"/>
    <w:rsid w:val="00B5049F"/>
    <w:rsid w:val="00B507CA"/>
    <w:rsid w:val="00B658CE"/>
    <w:rsid w:val="00B90F10"/>
    <w:rsid w:val="00BA7E50"/>
    <w:rsid w:val="00BE01EE"/>
    <w:rsid w:val="00BF1B22"/>
    <w:rsid w:val="00BF276D"/>
    <w:rsid w:val="00C32C5B"/>
    <w:rsid w:val="00C50402"/>
    <w:rsid w:val="00C579F6"/>
    <w:rsid w:val="00C639CD"/>
    <w:rsid w:val="00C64506"/>
    <w:rsid w:val="00C72385"/>
    <w:rsid w:val="00C90599"/>
    <w:rsid w:val="00CA7B23"/>
    <w:rsid w:val="00CB7C7E"/>
    <w:rsid w:val="00CF339F"/>
    <w:rsid w:val="00D223B4"/>
    <w:rsid w:val="00D406E0"/>
    <w:rsid w:val="00D50783"/>
    <w:rsid w:val="00D72083"/>
    <w:rsid w:val="00DA3E2D"/>
    <w:rsid w:val="00DD0A36"/>
    <w:rsid w:val="00DD4624"/>
    <w:rsid w:val="00DD60B5"/>
    <w:rsid w:val="00DE303C"/>
    <w:rsid w:val="00DE63A4"/>
    <w:rsid w:val="00DF0871"/>
    <w:rsid w:val="00DF39A9"/>
    <w:rsid w:val="00E17AA5"/>
    <w:rsid w:val="00E51DB7"/>
    <w:rsid w:val="00E66A86"/>
    <w:rsid w:val="00E744F9"/>
    <w:rsid w:val="00E745A7"/>
    <w:rsid w:val="00E75258"/>
    <w:rsid w:val="00E83F9E"/>
    <w:rsid w:val="00EA164F"/>
    <w:rsid w:val="00EA5D45"/>
    <w:rsid w:val="00EC6EB4"/>
    <w:rsid w:val="00EF7054"/>
    <w:rsid w:val="00F1549E"/>
    <w:rsid w:val="00F2051C"/>
    <w:rsid w:val="00F232A7"/>
    <w:rsid w:val="00F24C2F"/>
    <w:rsid w:val="00F405C4"/>
    <w:rsid w:val="00F617AA"/>
    <w:rsid w:val="00F766FC"/>
    <w:rsid w:val="00FB1213"/>
    <w:rsid w:val="00FC1E39"/>
    <w:rsid w:val="00FD0458"/>
    <w:rsid w:val="00FD29B5"/>
    <w:rsid w:val="00FD59F0"/>
    <w:rsid w:val="00FE535F"/>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5BEC4E9"/>
  <w15:chartTrackingRefBased/>
  <w15:docId w15:val="{F6868519-4C04-46B9-9046-0E18D6F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4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37A"/>
    <w:rPr>
      <w:rFonts w:ascii="Tahoma" w:hAnsi="Tahoma" w:cs="Tahoma"/>
      <w:sz w:val="16"/>
      <w:szCs w:val="16"/>
    </w:rPr>
  </w:style>
  <w:style w:type="character" w:styleId="Hyperlink">
    <w:name w:val="Hyperlink"/>
    <w:rsid w:val="007702B6"/>
    <w:rPr>
      <w:color w:val="0000FF"/>
      <w:u w:val="single"/>
    </w:rPr>
  </w:style>
  <w:style w:type="paragraph" w:styleId="Header">
    <w:name w:val="header"/>
    <w:basedOn w:val="Normal"/>
    <w:rsid w:val="007702B6"/>
    <w:pPr>
      <w:tabs>
        <w:tab w:val="center" w:pos="4320"/>
        <w:tab w:val="right" w:pos="8640"/>
      </w:tabs>
    </w:pPr>
    <w:rPr>
      <w:sz w:val="20"/>
      <w:szCs w:val="20"/>
    </w:rPr>
  </w:style>
  <w:style w:type="paragraph" w:styleId="BodyTextIndent">
    <w:name w:val="Body Text Indent"/>
    <w:basedOn w:val="Normal"/>
    <w:rsid w:val="008C7135"/>
    <w:pPr>
      <w:tabs>
        <w:tab w:val="left" w:pos="0"/>
        <w:tab w:val="left" w:pos="720"/>
        <w:tab w:val="left" w:pos="1080"/>
        <w:tab w:val="left" w:pos="1440"/>
        <w:tab w:val="left" w:pos="2160"/>
      </w:tabs>
      <w:ind w:left="720" w:hanging="360"/>
    </w:pPr>
    <w:rPr>
      <w:sz w:val="20"/>
      <w:szCs w:val="20"/>
    </w:rPr>
  </w:style>
  <w:style w:type="paragraph" w:styleId="BodyText2">
    <w:name w:val="Body Text 2"/>
    <w:basedOn w:val="Normal"/>
    <w:rsid w:val="004933CE"/>
    <w:pPr>
      <w:spacing w:after="120" w:line="480" w:lineRule="auto"/>
    </w:pPr>
  </w:style>
  <w:style w:type="paragraph" w:styleId="BodyTextIndent3">
    <w:name w:val="Body Text Indent 3"/>
    <w:basedOn w:val="Normal"/>
    <w:rsid w:val="004933CE"/>
    <w:pPr>
      <w:spacing w:after="120"/>
      <w:ind w:left="360"/>
    </w:pPr>
    <w:rPr>
      <w:sz w:val="16"/>
      <w:szCs w:val="16"/>
    </w:rPr>
  </w:style>
  <w:style w:type="paragraph" w:styleId="BodyText">
    <w:name w:val="Body Text"/>
    <w:basedOn w:val="Normal"/>
    <w:rsid w:val="00791FF5"/>
    <w:pPr>
      <w:spacing w:after="120"/>
    </w:pPr>
  </w:style>
  <w:style w:type="paragraph" w:styleId="FootnoteText">
    <w:name w:val="footnote text"/>
    <w:basedOn w:val="Normal"/>
    <w:semiHidden/>
    <w:rsid w:val="0044134E"/>
    <w:pPr>
      <w:spacing w:after="120"/>
      <w:ind w:left="1440" w:hanging="720"/>
    </w:pPr>
    <w:rPr>
      <w:sz w:val="22"/>
    </w:rPr>
  </w:style>
  <w:style w:type="character" w:styleId="FootnoteReference">
    <w:name w:val="footnote reference"/>
    <w:autoRedefine/>
    <w:semiHidden/>
    <w:rsid w:val="0044134E"/>
    <w:rPr>
      <w:rFonts w:ascii="CG Times" w:hAnsi="CG Times"/>
      <w:vertAlign w:val="superscript"/>
    </w:rPr>
  </w:style>
  <w:style w:type="paragraph" w:styleId="BodyTextIndent2">
    <w:name w:val="Body Text Indent 2"/>
    <w:basedOn w:val="Normal"/>
    <w:rsid w:val="00992D15"/>
    <w:pPr>
      <w:spacing w:after="120" w:line="480" w:lineRule="auto"/>
      <w:ind w:left="360"/>
    </w:pPr>
  </w:style>
  <w:style w:type="paragraph" w:styleId="Footer">
    <w:name w:val="footer"/>
    <w:basedOn w:val="Normal"/>
    <w:rsid w:val="00471787"/>
    <w:pPr>
      <w:tabs>
        <w:tab w:val="center" w:pos="4320"/>
        <w:tab w:val="right" w:pos="8640"/>
      </w:tabs>
    </w:pPr>
  </w:style>
  <w:style w:type="character" w:styleId="PageNumber">
    <w:name w:val="page number"/>
    <w:basedOn w:val="DefaultParagraphFont"/>
    <w:rsid w:val="00471787"/>
  </w:style>
  <w:style w:type="table" w:styleId="TableGrid">
    <w:name w:val="Table Grid"/>
    <w:basedOn w:val="TableNormal"/>
    <w:rsid w:val="000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4621"/>
    <w:rPr>
      <w:sz w:val="16"/>
      <w:szCs w:val="16"/>
    </w:rPr>
  </w:style>
  <w:style w:type="paragraph" w:styleId="CommentText">
    <w:name w:val="annotation text"/>
    <w:basedOn w:val="Normal"/>
    <w:link w:val="CommentTextChar"/>
    <w:uiPriority w:val="99"/>
    <w:semiHidden/>
    <w:rsid w:val="002C4621"/>
    <w:rPr>
      <w:sz w:val="20"/>
      <w:szCs w:val="20"/>
    </w:rPr>
  </w:style>
  <w:style w:type="paragraph" w:styleId="CommentSubject">
    <w:name w:val="annotation subject"/>
    <w:basedOn w:val="CommentText"/>
    <w:next w:val="CommentText"/>
    <w:semiHidden/>
    <w:rsid w:val="002C4621"/>
    <w:rPr>
      <w:b/>
      <w:bCs/>
    </w:rPr>
  </w:style>
  <w:style w:type="character" w:styleId="FollowedHyperlink">
    <w:name w:val="FollowedHyperlink"/>
    <w:rsid w:val="00F53A55"/>
    <w:rPr>
      <w:color w:val="800080"/>
      <w:u w:val="single"/>
    </w:rPr>
  </w:style>
  <w:style w:type="character" w:customStyle="1" w:styleId="CommentTextChar">
    <w:name w:val="Comment Text Char"/>
    <w:basedOn w:val="DefaultParagraphFont"/>
    <w:link w:val="CommentText"/>
    <w:uiPriority w:val="99"/>
    <w:semiHidden/>
    <w:rsid w:val="000A4964"/>
  </w:style>
  <w:style w:type="paragraph" w:styleId="Revision">
    <w:name w:val="Revision"/>
    <w:hidden/>
    <w:uiPriority w:val="99"/>
    <w:semiHidden/>
    <w:rsid w:val="001448B5"/>
    <w:rPr>
      <w:sz w:val="24"/>
      <w:szCs w:val="24"/>
    </w:rPr>
  </w:style>
  <w:style w:type="paragraph" w:customStyle="1" w:styleId="Default">
    <w:name w:val="Default"/>
    <w:rsid w:val="00F232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9124">
      <w:bodyDiv w:val="1"/>
      <w:marLeft w:val="0"/>
      <w:marRight w:val="0"/>
      <w:marTop w:val="0"/>
      <w:marBottom w:val="0"/>
      <w:divBdr>
        <w:top w:val="none" w:sz="0" w:space="0" w:color="auto"/>
        <w:left w:val="none" w:sz="0" w:space="0" w:color="auto"/>
        <w:bottom w:val="none" w:sz="0" w:space="0" w:color="auto"/>
        <w:right w:val="none" w:sz="0" w:space="0" w:color="auto"/>
      </w:divBdr>
    </w:div>
    <w:div w:id="187180418">
      <w:bodyDiv w:val="1"/>
      <w:marLeft w:val="0"/>
      <w:marRight w:val="0"/>
      <w:marTop w:val="0"/>
      <w:marBottom w:val="0"/>
      <w:divBdr>
        <w:top w:val="none" w:sz="0" w:space="0" w:color="auto"/>
        <w:left w:val="none" w:sz="0" w:space="0" w:color="auto"/>
        <w:bottom w:val="none" w:sz="0" w:space="0" w:color="auto"/>
        <w:right w:val="none" w:sz="0" w:space="0" w:color="auto"/>
      </w:divBdr>
    </w:div>
    <w:div w:id="229393656">
      <w:bodyDiv w:val="1"/>
      <w:marLeft w:val="0"/>
      <w:marRight w:val="0"/>
      <w:marTop w:val="0"/>
      <w:marBottom w:val="0"/>
      <w:divBdr>
        <w:top w:val="none" w:sz="0" w:space="0" w:color="auto"/>
        <w:left w:val="none" w:sz="0" w:space="0" w:color="auto"/>
        <w:bottom w:val="none" w:sz="0" w:space="0" w:color="auto"/>
        <w:right w:val="none" w:sz="0" w:space="0" w:color="auto"/>
      </w:divBdr>
    </w:div>
    <w:div w:id="231309084">
      <w:bodyDiv w:val="1"/>
      <w:marLeft w:val="0"/>
      <w:marRight w:val="0"/>
      <w:marTop w:val="0"/>
      <w:marBottom w:val="0"/>
      <w:divBdr>
        <w:top w:val="none" w:sz="0" w:space="0" w:color="auto"/>
        <w:left w:val="none" w:sz="0" w:space="0" w:color="auto"/>
        <w:bottom w:val="none" w:sz="0" w:space="0" w:color="auto"/>
        <w:right w:val="none" w:sz="0" w:space="0" w:color="auto"/>
      </w:divBdr>
    </w:div>
    <w:div w:id="292566061">
      <w:bodyDiv w:val="1"/>
      <w:marLeft w:val="0"/>
      <w:marRight w:val="0"/>
      <w:marTop w:val="0"/>
      <w:marBottom w:val="0"/>
      <w:divBdr>
        <w:top w:val="none" w:sz="0" w:space="0" w:color="auto"/>
        <w:left w:val="none" w:sz="0" w:space="0" w:color="auto"/>
        <w:bottom w:val="none" w:sz="0" w:space="0" w:color="auto"/>
        <w:right w:val="none" w:sz="0" w:space="0" w:color="auto"/>
      </w:divBdr>
    </w:div>
    <w:div w:id="306860190">
      <w:bodyDiv w:val="1"/>
      <w:marLeft w:val="0"/>
      <w:marRight w:val="0"/>
      <w:marTop w:val="0"/>
      <w:marBottom w:val="0"/>
      <w:divBdr>
        <w:top w:val="none" w:sz="0" w:space="0" w:color="auto"/>
        <w:left w:val="none" w:sz="0" w:space="0" w:color="auto"/>
        <w:bottom w:val="none" w:sz="0" w:space="0" w:color="auto"/>
        <w:right w:val="none" w:sz="0" w:space="0" w:color="auto"/>
      </w:divBdr>
    </w:div>
    <w:div w:id="357662181">
      <w:bodyDiv w:val="1"/>
      <w:marLeft w:val="0"/>
      <w:marRight w:val="0"/>
      <w:marTop w:val="0"/>
      <w:marBottom w:val="0"/>
      <w:divBdr>
        <w:top w:val="none" w:sz="0" w:space="0" w:color="auto"/>
        <w:left w:val="none" w:sz="0" w:space="0" w:color="auto"/>
        <w:bottom w:val="none" w:sz="0" w:space="0" w:color="auto"/>
        <w:right w:val="none" w:sz="0" w:space="0" w:color="auto"/>
      </w:divBdr>
    </w:div>
    <w:div w:id="359547322">
      <w:bodyDiv w:val="1"/>
      <w:marLeft w:val="0"/>
      <w:marRight w:val="0"/>
      <w:marTop w:val="0"/>
      <w:marBottom w:val="0"/>
      <w:divBdr>
        <w:top w:val="none" w:sz="0" w:space="0" w:color="auto"/>
        <w:left w:val="none" w:sz="0" w:space="0" w:color="auto"/>
        <w:bottom w:val="none" w:sz="0" w:space="0" w:color="auto"/>
        <w:right w:val="none" w:sz="0" w:space="0" w:color="auto"/>
      </w:divBdr>
    </w:div>
    <w:div w:id="384567152">
      <w:bodyDiv w:val="1"/>
      <w:marLeft w:val="0"/>
      <w:marRight w:val="0"/>
      <w:marTop w:val="0"/>
      <w:marBottom w:val="0"/>
      <w:divBdr>
        <w:top w:val="none" w:sz="0" w:space="0" w:color="auto"/>
        <w:left w:val="none" w:sz="0" w:space="0" w:color="auto"/>
        <w:bottom w:val="none" w:sz="0" w:space="0" w:color="auto"/>
        <w:right w:val="none" w:sz="0" w:space="0" w:color="auto"/>
      </w:divBdr>
    </w:div>
    <w:div w:id="624190361">
      <w:bodyDiv w:val="1"/>
      <w:marLeft w:val="0"/>
      <w:marRight w:val="0"/>
      <w:marTop w:val="0"/>
      <w:marBottom w:val="0"/>
      <w:divBdr>
        <w:top w:val="none" w:sz="0" w:space="0" w:color="auto"/>
        <w:left w:val="none" w:sz="0" w:space="0" w:color="auto"/>
        <w:bottom w:val="none" w:sz="0" w:space="0" w:color="auto"/>
        <w:right w:val="none" w:sz="0" w:space="0" w:color="auto"/>
      </w:divBdr>
    </w:div>
    <w:div w:id="681399883">
      <w:bodyDiv w:val="1"/>
      <w:marLeft w:val="0"/>
      <w:marRight w:val="0"/>
      <w:marTop w:val="0"/>
      <w:marBottom w:val="0"/>
      <w:divBdr>
        <w:top w:val="none" w:sz="0" w:space="0" w:color="auto"/>
        <w:left w:val="none" w:sz="0" w:space="0" w:color="auto"/>
        <w:bottom w:val="none" w:sz="0" w:space="0" w:color="auto"/>
        <w:right w:val="none" w:sz="0" w:space="0" w:color="auto"/>
      </w:divBdr>
    </w:div>
    <w:div w:id="727607013">
      <w:bodyDiv w:val="1"/>
      <w:marLeft w:val="0"/>
      <w:marRight w:val="0"/>
      <w:marTop w:val="0"/>
      <w:marBottom w:val="0"/>
      <w:divBdr>
        <w:top w:val="none" w:sz="0" w:space="0" w:color="auto"/>
        <w:left w:val="none" w:sz="0" w:space="0" w:color="auto"/>
        <w:bottom w:val="none" w:sz="0" w:space="0" w:color="auto"/>
        <w:right w:val="none" w:sz="0" w:space="0" w:color="auto"/>
      </w:divBdr>
    </w:div>
    <w:div w:id="862019740">
      <w:bodyDiv w:val="1"/>
      <w:marLeft w:val="0"/>
      <w:marRight w:val="0"/>
      <w:marTop w:val="0"/>
      <w:marBottom w:val="0"/>
      <w:divBdr>
        <w:top w:val="none" w:sz="0" w:space="0" w:color="auto"/>
        <w:left w:val="none" w:sz="0" w:space="0" w:color="auto"/>
        <w:bottom w:val="none" w:sz="0" w:space="0" w:color="auto"/>
        <w:right w:val="none" w:sz="0" w:space="0" w:color="auto"/>
      </w:divBdr>
    </w:div>
    <w:div w:id="909540709">
      <w:bodyDiv w:val="1"/>
      <w:marLeft w:val="0"/>
      <w:marRight w:val="0"/>
      <w:marTop w:val="0"/>
      <w:marBottom w:val="0"/>
      <w:divBdr>
        <w:top w:val="none" w:sz="0" w:space="0" w:color="auto"/>
        <w:left w:val="none" w:sz="0" w:space="0" w:color="auto"/>
        <w:bottom w:val="none" w:sz="0" w:space="0" w:color="auto"/>
        <w:right w:val="none" w:sz="0" w:space="0" w:color="auto"/>
      </w:divBdr>
    </w:div>
    <w:div w:id="1052848991">
      <w:bodyDiv w:val="1"/>
      <w:marLeft w:val="0"/>
      <w:marRight w:val="0"/>
      <w:marTop w:val="0"/>
      <w:marBottom w:val="0"/>
      <w:divBdr>
        <w:top w:val="none" w:sz="0" w:space="0" w:color="auto"/>
        <w:left w:val="none" w:sz="0" w:space="0" w:color="auto"/>
        <w:bottom w:val="none" w:sz="0" w:space="0" w:color="auto"/>
        <w:right w:val="none" w:sz="0" w:space="0" w:color="auto"/>
      </w:divBdr>
    </w:div>
    <w:div w:id="1085612990">
      <w:bodyDiv w:val="1"/>
      <w:marLeft w:val="0"/>
      <w:marRight w:val="0"/>
      <w:marTop w:val="0"/>
      <w:marBottom w:val="0"/>
      <w:divBdr>
        <w:top w:val="none" w:sz="0" w:space="0" w:color="auto"/>
        <w:left w:val="none" w:sz="0" w:space="0" w:color="auto"/>
        <w:bottom w:val="none" w:sz="0" w:space="0" w:color="auto"/>
        <w:right w:val="none" w:sz="0" w:space="0" w:color="auto"/>
      </w:divBdr>
    </w:div>
    <w:div w:id="1100683436">
      <w:bodyDiv w:val="1"/>
      <w:marLeft w:val="0"/>
      <w:marRight w:val="0"/>
      <w:marTop w:val="0"/>
      <w:marBottom w:val="0"/>
      <w:divBdr>
        <w:top w:val="none" w:sz="0" w:space="0" w:color="auto"/>
        <w:left w:val="none" w:sz="0" w:space="0" w:color="auto"/>
        <w:bottom w:val="none" w:sz="0" w:space="0" w:color="auto"/>
        <w:right w:val="none" w:sz="0" w:space="0" w:color="auto"/>
      </w:divBdr>
    </w:div>
    <w:div w:id="1158812816">
      <w:bodyDiv w:val="1"/>
      <w:marLeft w:val="0"/>
      <w:marRight w:val="0"/>
      <w:marTop w:val="0"/>
      <w:marBottom w:val="0"/>
      <w:divBdr>
        <w:top w:val="none" w:sz="0" w:space="0" w:color="auto"/>
        <w:left w:val="none" w:sz="0" w:space="0" w:color="auto"/>
        <w:bottom w:val="none" w:sz="0" w:space="0" w:color="auto"/>
        <w:right w:val="none" w:sz="0" w:space="0" w:color="auto"/>
      </w:divBdr>
    </w:div>
    <w:div w:id="1189296542">
      <w:bodyDiv w:val="1"/>
      <w:marLeft w:val="0"/>
      <w:marRight w:val="0"/>
      <w:marTop w:val="0"/>
      <w:marBottom w:val="0"/>
      <w:divBdr>
        <w:top w:val="none" w:sz="0" w:space="0" w:color="auto"/>
        <w:left w:val="none" w:sz="0" w:space="0" w:color="auto"/>
        <w:bottom w:val="none" w:sz="0" w:space="0" w:color="auto"/>
        <w:right w:val="none" w:sz="0" w:space="0" w:color="auto"/>
      </w:divBdr>
    </w:div>
    <w:div w:id="1190992404">
      <w:bodyDiv w:val="1"/>
      <w:marLeft w:val="0"/>
      <w:marRight w:val="0"/>
      <w:marTop w:val="0"/>
      <w:marBottom w:val="0"/>
      <w:divBdr>
        <w:top w:val="none" w:sz="0" w:space="0" w:color="auto"/>
        <w:left w:val="none" w:sz="0" w:space="0" w:color="auto"/>
        <w:bottom w:val="none" w:sz="0" w:space="0" w:color="auto"/>
        <w:right w:val="none" w:sz="0" w:space="0" w:color="auto"/>
      </w:divBdr>
    </w:div>
    <w:div w:id="1205797149">
      <w:bodyDiv w:val="1"/>
      <w:marLeft w:val="0"/>
      <w:marRight w:val="0"/>
      <w:marTop w:val="0"/>
      <w:marBottom w:val="0"/>
      <w:divBdr>
        <w:top w:val="none" w:sz="0" w:space="0" w:color="auto"/>
        <w:left w:val="none" w:sz="0" w:space="0" w:color="auto"/>
        <w:bottom w:val="none" w:sz="0" w:space="0" w:color="auto"/>
        <w:right w:val="none" w:sz="0" w:space="0" w:color="auto"/>
      </w:divBdr>
    </w:div>
    <w:div w:id="1271165046">
      <w:bodyDiv w:val="1"/>
      <w:marLeft w:val="0"/>
      <w:marRight w:val="0"/>
      <w:marTop w:val="0"/>
      <w:marBottom w:val="0"/>
      <w:divBdr>
        <w:top w:val="none" w:sz="0" w:space="0" w:color="auto"/>
        <w:left w:val="none" w:sz="0" w:space="0" w:color="auto"/>
        <w:bottom w:val="none" w:sz="0" w:space="0" w:color="auto"/>
        <w:right w:val="none" w:sz="0" w:space="0" w:color="auto"/>
      </w:divBdr>
    </w:div>
    <w:div w:id="1346907611">
      <w:bodyDiv w:val="1"/>
      <w:marLeft w:val="0"/>
      <w:marRight w:val="0"/>
      <w:marTop w:val="0"/>
      <w:marBottom w:val="0"/>
      <w:divBdr>
        <w:top w:val="none" w:sz="0" w:space="0" w:color="auto"/>
        <w:left w:val="none" w:sz="0" w:space="0" w:color="auto"/>
        <w:bottom w:val="none" w:sz="0" w:space="0" w:color="auto"/>
        <w:right w:val="none" w:sz="0" w:space="0" w:color="auto"/>
      </w:divBdr>
    </w:div>
    <w:div w:id="1352491341">
      <w:bodyDiv w:val="1"/>
      <w:marLeft w:val="0"/>
      <w:marRight w:val="0"/>
      <w:marTop w:val="0"/>
      <w:marBottom w:val="0"/>
      <w:divBdr>
        <w:top w:val="none" w:sz="0" w:space="0" w:color="auto"/>
        <w:left w:val="none" w:sz="0" w:space="0" w:color="auto"/>
        <w:bottom w:val="none" w:sz="0" w:space="0" w:color="auto"/>
        <w:right w:val="none" w:sz="0" w:space="0" w:color="auto"/>
      </w:divBdr>
    </w:div>
    <w:div w:id="1395816102">
      <w:bodyDiv w:val="1"/>
      <w:marLeft w:val="0"/>
      <w:marRight w:val="0"/>
      <w:marTop w:val="0"/>
      <w:marBottom w:val="0"/>
      <w:divBdr>
        <w:top w:val="none" w:sz="0" w:space="0" w:color="auto"/>
        <w:left w:val="none" w:sz="0" w:space="0" w:color="auto"/>
        <w:bottom w:val="none" w:sz="0" w:space="0" w:color="auto"/>
        <w:right w:val="none" w:sz="0" w:space="0" w:color="auto"/>
      </w:divBdr>
    </w:div>
    <w:div w:id="1595091301">
      <w:bodyDiv w:val="1"/>
      <w:marLeft w:val="0"/>
      <w:marRight w:val="0"/>
      <w:marTop w:val="0"/>
      <w:marBottom w:val="0"/>
      <w:divBdr>
        <w:top w:val="none" w:sz="0" w:space="0" w:color="auto"/>
        <w:left w:val="none" w:sz="0" w:space="0" w:color="auto"/>
        <w:bottom w:val="none" w:sz="0" w:space="0" w:color="auto"/>
        <w:right w:val="none" w:sz="0" w:space="0" w:color="auto"/>
      </w:divBdr>
    </w:div>
    <w:div w:id="1597905012">
      <w:bodyDiv w:val="1"/>
      <w:marLeft w:val="0"/>
      <w:marRight w:val="0"/>
      <w:marTop w:val="0"/>
      <w:marBottom w:val="0"/>
      <w:divBdr>
        <w:top w:val="none" w:sz="0" w:space="0" w:color="auto"/>
        <w:left w:val="none" w:sz="0" w:space="0" w:color="auto"/>
        <w:bottom w:val="none" w:sz="0" w:space="0" w:color="auto"/>
        <w:right w:val="none" w:sz="0" w:space="0" w:color="auto"/>
      </w:divBdr>
    </w:div>
    <w:div w:id="1665015120">
      <w:bodyDiv w:val="1"/>
      <w:marLeft w:val="0"/>
      <w:marRight w:val="0"/>
      <w:marTop w:val="0"/>
      <w:marBottom w:val="0"/>
      <w:divBdr>
        <w:top w:val="none" w:sz="0" w:space="0" w:color="auto"/>
        <w:left w:val="none" w:sz="0" w:space="0" w:color="auto"/>
        <w:bottom w:val="none" w:sz="0" w:space="0" w:color="auto"/>
        <w:right w:val="none" w:sz="0" w:space="0" w:color="auto"/>
      </w:divBdr>
    </w:div>
    <w:div w:id="1781335978">
      <w:bodyDiv w:val="1"/>
      <w:marLeft w:val="0"/>
      <w:marRight w:val="0"/>
      <w:marTop w:val="0"/>
      <w:marBottom w:val="0"/>
      <w:divBdr>
        <w:top w:val="none" w:sz="0" w:space="0" w:color="auto"/>
        <w:left w:val="none" w:sz="0" w:space="0" w:color="auto"/>
        <w:bottom w:val="none" w:sz="0" w:space="0" w:color="auto"/>
        <w:right w:val="none" w:sz="0" w:space="0" w:color="auto"/>
      </w:divBdr>
    </w:div>
    <w:div w:id="1844926846">
      <w:bodyDiv w:val="1"/>
      <w:marLeft w:val="0"/>
      <w:marRight w:val="0"/>
      <w:marTop w:val="0"/>
      <w:marBottom w:val="0"/>
      <w:divBdr>
        <w:top w:val="none" w:sz="0" w:space="0" w:color="auto"/>
        <w:left w:val="none" w:sz="0" w:space="0" w:color="auto"/>
        <w:bottom w:val="none" w:sz="0" w:space="0" w:color="auto"/>
        <w:right w:val="none" w:sz="0" w:space="0" w:color="auto"/>
      </w:divBdr>
    </w:div>
    <w:div w:id="1845195663">
      <w:bodyDiv w:val="1"/>
      <w:marLeft w:val="0"/>
      <w:marRight w:val="0"/>
      <w:marTop w:val="0"/>
      <w:marBottom w:val="0"/>
      <w:divBdr>
        <w:top w:val="none" w:sz="0" w:space="0" w:color="auto"/>
        <w:left w:val="none" w:sz="0" w:space="0" w:color="auto"/>
        <w:bottom w:val="none" w:sz="0" w:space="0" w:color="auto"/>
        <w:right w:val="none" w:sz="0" w:space="0" w:color="auto"/>
      </w:divBdr>
    </w:div>
    <w:div w:id="1860191523">
      <w:bodyDiv w:val="1"/>
      <w:marLeft w:val="0"/>
      <w:marRight w:val="0"/>
      <w:marTop w:val="0"/>
      <w:marBottom w:val="0"/>
      <w:divBdr>
        <w:top w:val="none" w:sz="0" w:space="0" w:color="auto"/>
        <w:left w:val="none" w:sz="0" w:space="0" w:color="auto"/>
        <w:bottom w:val="none" w:sz="0" w:space="0" w:color="auto"/>
        <w:right w:val="none" w:sz="0" w:space="0" w:color="auto"/>
      </w:divBdr>
    </w:div>
    <w:div w:id="2063288497">
      <w:bodyDiv w:val="1"/>
      <w:marLeft w:val="0"/>
      <w:marRight w:val="0"/>
      <w:marTop w:val="0"/>
      <w:marBottom w:val="0"/>
      <w:divBdr>
        <w:top w:val="none" w:sz="0" w:space="0" w:color="auto"/>
        <w:left w:val="none" w:sz="0" w:space="0" w:color="auto"/>
        <w:bottom w:val="none" w:sz="0" w:space="0" w:color="auto"/>
        <w:right w:val="none" w:sz="0" w:space="0" w:color="auto"/>
      </w:divBdr>
    </w:div>
    <w:div w:id="2077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leighinv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Appendix C Part 2 of Form ADV</vt:lpstr>
    </vt:vector>
  </TitlesOfParts>
  <Company>Hewlett-Packard Company</Company>
  <LinksUpToDate>false</LinksUpToDate>
  <CharactersWithSpaces>13431</CharactersWithSpaces>
  <SharedDoc>false</SharedDoc>
  <HLinks>
    <vt:vector size="6" baseType="variant">
      <vt:variant>
        <vt:i4>4522014</vt:i4>
      </vt:variant>
      <vt:variant>
        <vt:i4>0</vt:i4>
      </vt:variant>
      <vt:variant>
        <vt:i4>0</vt:i4>
      </vt:variant>
      <vt:variant>
        <vt:i4>5</vt:i4>
      </vt:variant>
      <vt:variant>
        <vt:lpwstr>http://www.raleighinvest.com/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Part 2 of Form ADV</dc:title>
  <dc:subject/>
  <dc:creator>Don L. Evans</dc:creator>
  <cp:keywords/>
  <cp:lastModifiedBy>Mike</cp:lastModifiedBy>
  <cp:revision>3</cp:revision>
  <cp:lastPrinted>2017-05-24T14:06:00Z</cp:lastPrinted>
  <dcterms:created xsi:type="dcterms:W3CDTF">2018-05-11T13:58:00Z</dcterms:created>
  <dcterms:modified xsi:type="dcterms:W3CDTF">2018-05-11T14:03:00Z</dcterms:modified>
</cp:coreProperties>
</file>