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32969" w14:textId="77777777" w:rsidR="00E91869" w:rsidRDefault="00E91869" w:rsidP="00E9186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" w:hAnsi="Roboto"/>
          <w:color w:val="5E5E5E"/>
          <w:sz w:val="27"/>
          <w:szCs w:val="27"/>
          <w:lang w:val="es-DO"/>
        </w:rPr>
      </w:pPr>
      <w:r>
        <w:rPr>
          <w:rStyle w:val="Strong"/>
          <w:rFonts w:ascii="Roboto" w:hAnsi="Roboto"/>
          <w:color w:val="5E5E5E"/>
          <w:sz w:val="27"/>
          <w:szCs w:val="27"/>
          <w:lang w:val="es-DO"/>
        </w:rPr>
        <w:t>Postura Teológica IEDJ</w:t>
      </w:r>
    </w:p>
    <w:p w14:paraId="2883935C" w14:textId="77777777" w:rsidR="00E91869" w:rsidRDefault="00E91869" w:rsidP="00E91869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b/>
          <w:bCs/>
          <w:i/>
          <w:iCs/>
          <w:color w:val="5E5E5E"/>
          <w:sz w:val="44"/>
          <w:szCs w:val="44"/>
          <w:lang w:val="es-DO"/>
        </w:rPr>
      </w:pPr>
    </w:p>
    <w:p w14:paraId="074A23D6" w14:textId="10074C5E" w:rsidR="00E91869" w:rsidRDefault="00E91869" w:rsidP="00E91869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b/>
          <w:bCs/>
          <w:i/>
          <w:iCs/>
          <w:color w:val="5E5E5E"/>
          <w:sz w:val="44"/>
          <w:szCs w:val="44"/>
          <w:lang w:val="es-DO"/>
        </w:rPr>
      </w:pPr>
      <w:r>
        <w:rPr>
          <w:rFonts w:ascii="Roboto" w:eastAsia="Times New Roman" w:hAnsi="Roboto"/>
          <w:b/>
          <w:bCs/>
          <w:i/>
          <w:iCs/>
          <w:noProof/>
          <w:color w:val="5E5E5E"/>
          <w:sz w:val="44"/>
          <w:szCs w:val="44"/>
          <w:lang w:val="es-DO"/>
        </w:rPr>
        <w:drawing>
          <wp:inline distT="0" distB="0" distL="0" distR="0" wp14:anchorId="03096747" wp14:editId="3DAB4681">
            <wp:extent cx="5943600" cy="3566160"/>
            <wp:effectExtent l="0" t="0" r="0" b="0"/>
            <wp:docPr id="1" name="Picture 1" descr="A picture containing cup, table, coffe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up, table, coffee,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DADC9" w14:textId="77777777" w:rsidR="00E91869" w:rsidRDefault="00E91869" w:rsidP="00E91869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b/>
          <w:bCs/>
          <w:i/>
          <w:iCs/>
          <w:color w:val="5E5E5E"/>
          <w:sz w:val="44"/>
          <w:szCs w:val="44"/>
          <w:lang w:val="es-DO"/>
        </w:rPr>
      </w:pPr>
    </w:p>
    <w:p w14:paraId="00C3E63F" w14:textId="77777777" w:rsidR="00E91869" w:rsidRDefault="00E91869" w:rsidP="00E91869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b/>
          <w:bCs/>
          <w:i/>
          <w:iCs/>
          <w:color w:val="5E5E5E"/>
          <w:sz w:val="44"/>
          <w:szCs w:val="44"/>
          <w:lang w:val="es-DO"/>
        </w:rPr>
      </w:pPr>
    </w:p>
    <w:p w14:paraId="1A2609CB" w14:textId="2C20C8CB" w:rsidR="00E91869" w:rsidRPr="00E91869" w:rsidRDefault="00E91869" w:rsidP="00E91869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b/>
          <w:bCs/>
          <w:i/>
          <w:iCs/>
          <w:color w:val="5E5E5E"/>
          <w:sz w:val="44"/>
          <w:szCs w:val="44"/>
          <w:lang w:val="es-DO"/>
        </w:rPr>
      </w:pPr>
      <w:r w:rsidRPr="00E91869">
        <w:rPr>
          <w:rFonts w:ascii="Roboto" w:eastAsia="Times New Roman" w:hAnsi="Roboto"/>
          <w:b/>
          <w:bCs/>
          <w:i/>
          <w:iCs/>
          <w:color w:val="5E5E5E"/>
          <w:sz w:val="44"/>
          <w:szCs w:val="44"/>
          <w:lang w:val="es-DO"/>
        </w:rPr>
        <w:t>LA CENA DEL SEÑOR</w:t>
      </w:r>
    </w:p>
    <w:p w14:paraId="7E2F64A2" w14:textId="77777777" w:rsidR="00E91869" w:rsidRPr="00E91869" w:rsidRDefault="00E91869" w:rsidP="00E91869">
      <w:pPr>
        <w:shd w:val="clear" w:color="auto" w:fill="FFFFFF"/>
        <w:spacing w:after="0" w:line="240" w:lineRule="auto"/>
        <w:rPr>
          <w:rFonts w:ascii="Roboto" w:eastAsia="Times New Roman" w:hAnsi="Roboto"/>
          <w:color w:val="5E5E5E"/>
          <w:sz w:val="27"/>
          <w:szCs w:val="27"/>
          <w:lang w:val="es-DO"/>
        </w:rPr>
      </w:pPr>
    </w:p>
    <w:p w14:paraId="40527621" w14:textId="4D9595A1" w:rsidR="00E91869" w:rsidRDefault="00E91869" w:rsidP="00E91869">
      <w:pPr>
        <w:shd w:val="clear" w:color="auto" w:fill="FFFFFF"/>
        <w:spacing w:after="0" w:line="240" w:lineRule="auto"/>
        <w:ind w:firstLine="72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 xml:space="preserve">ORDENANZAS:   La fe </w:t>
      </w: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cristiana</w:t>
      </w: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 xml:space="preserve"> entiende que hay una serie de actos que Dios “Ordena” y requiere específicamente obediencia de los creyentes, y que Dios bendice a las personas que los cumplen, la mayoría de las tradiciones </w:t>
      </w: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cristianas</w:t>
      </w: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 xml:space="preserve"> utilizan la palabra “Sacramento”. Nosotros siguiendo el precepto de llamar las cosas por su nombre Bíblico, utilizaremos la palabra: ORDENANZA. Y aunque otras tradiciones </w:t>
      </w: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cristianas</w:t>
      </w: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, reconocen: el bautismo, la Cena de Señor, el Matrimonio, y la Extremaunción, etc.</w:t>
      </w:r>
    </w:p>
    <w:p w14:paraId="28C0815B" w14:textId="77777777" w:rsidR="00E91869" w:rsidRPr="00E91869" w:rsidRDefault="00E91869" w:rsidP="00E91869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</w:p>
    <w:p w14:paraId="01C72E80" w14:textId="33855ED3" w:rsidR="00E91869" w:rsidRPr="00E91869" w:rsidRDefault="00E91869" w:rsidP="00E91869">
      <w:pPr>
        <w:shd w:val="clear" w:color="auto" w:fill="FFFFFF"/>
        <w:spacing w:after="0" w:line="240" w:lineRule="auto"/>
        <w:ind w:firstLine="72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Nosotros reconocemos dos ORDENANZAS: El Bautismo ordenado por Cristo en Mt 28:19 La Cena del Señor, ordenada por Cristo, según expresada en 1</w:t>
      </w:r>
      <w:r>
        <w:rPr>
          <w:rFonts w:ascii="Roboto" w:eastAsia="Times New Roman" w:hAnsi="Roboto"/>
          <w:color w:val="5E5E5E"/>
          <w:sz w:val="27"/>
          <w:szCs w:val="27"/>
          <w:lang w:val="es-DO"/>
        </w:rPr>
        <w:t xml:space="preserve"> </w:t>
      </w: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Cor</w:t>
      </w:r>
      <w:r>
        <w:rPr>
          <w:rFonts w:ascii="Roboto" w:eastAsia="Times New Roman" w:hAnsi="Roboto"/>
          <w:color w:val="5E5E5E"/>
          <w:sz w:val="27"/>
          <w:szCs w:val="27"/>
          <w:lang w:val="es-DO"/>
        </w:rPr>
        <w:t>intios</w:t>
      </w: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 xml:space="preserve"> 11-23-26. Veamos…. La Cena del Señor</w:t>
      </w:r>
      <w:r>
        <w:rPr>
          <w:rFonts w:ascii="Roboto" w:eastAsia="Times New Roman" w:hAnsi="Roboto"/>
          <w:color w:val="5E5E5E"/>
          <w:sz w:val="27"/>
          <w:szCs w:val="27"/>
          <w:lang w:val="es-DO"/>
        </w:rPr>
        <w:t>, s</w:t>
      </w: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e considera la segunda Ordenanza reconocida por nosotros a la luz de 1Cor 11-23-26. y según lo instituido por el Señor en los evangelios: Mateo 26:17-29, Marcos 14:12-25, Lucas 22:7-23 y Juan 13:21-</w:t>
      </w:r>
      <w:proofErr w:type="gramStart"/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30 ;</w:t>
      </w:r>
      <w:proofErr w:type="gramEnd"/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 xml:space="preserve"> Con base en lo enseñado en el Libro de los </w:t>
      </w: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lastRenderedPageBreak/>
        <w:t xml:space="preserve">Hechos, “nosotros nos reuniremos el primer día de cada semana para celebrar la Cena del Señor.” (Hechos 20:7) A diferencia de otras tradiciones, nosotros creemos que no sólo el pastor oficia la Cena del Señor; los ancianos(as) y diáconos(as) toman parte activa en presidir la celebración, </w:t>
      </w:r>
      <w:proofErr w:type="spellStart"/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aún</w:t>
      </w:r>
      <w:proofErr w:type="spellEnd"/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 xml:space="preserve"> cuando el pastor esté presente. Creemos que el dueño de la mesa es EL SEÑOR…así que quien invita a la mesa es el Señor, hasta el ministro mismo o quien preside es un invitado a la mesa, en este orden de ideas, nadie puede excluir a nadie a participar de la cena.</w:t>
      </w:r>
    </w:p>
    <w:p w14:paraId="514F992D" w14:textId="77777777" w:rsidR="00E91869" w:rsidRPr="00E91869" w:rsidRDefault="00E91869" w:rsidP="00E91869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br w:type="textWrapping" w:clear="all"/>
      </w:r>
    </w:p>
    <w:p w14:paraId="1D8DB7F8" w14:textId="77777777" w:rsidR="00E91869" w:rsidRDefault="00E91869" w:rsidP="00E91869">
      <w:pPr>
        <w:shd w:val="clear" w:color="auto" w:fill="FFFFFF"/>
        <w:spacing w:after="0" w:line="240" w:lineRule="auto"/>
        <w:ind w:firstLine="72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 xml:space="preserve">Cada Creyente Convertido, debe saber que tiene la responsabilidad de examinarse a sí mismo ante Dios, en preparación para sentarse a la mesa; esta práctica se conoce como: “MESA ABIERTA”. En este sentido entendemos que la Mesa Abierta No significa participar de cualquier forma, participa aquel o aquella que ha experimentado el Amor Transformador de la cruz y está dispuesto a vivir en ese pacto de amor según lo descrito en 2 Corintios 5:17-21. LA CENA DEL Señor se hace en memoria del Sacrificio de Cristo en la cruz por nuestros pecados, y nos permite reafirmar el pacto de amor que nos une a Dios, y evoca las bodas del Cordero. Veamos Mt 26:29 y </w:t>
      </w:r>
      <w:proofErr w:type="spellStart"/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Apoc</w:t>
      </w:r>
      <w:proofErr w:type="spellEnd"/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 xml:space="preserve">. 19:9.   </w:t>
      </w:r>
    </w:p>
    <w:p w14:paraId="4261D435" w14:textId="77777777" w:rsidR="00E91869" w:rsidRDefault="00E91869" w:rsidP="00E91869">
      <w:pPr>
        <w:shd w:val="clear" w:color="auto" w:fill="FFFFFF"/>
        <w:spacing w:after="0" w:line="240" w:lineRule="auto"/>
        <w:ind w:firstLine="72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</w:p>
    <w:p w14:paraId="75B4216C" w14:textId="60D7659B" w:rsidR="00E91869" w:rsidRPr="00E91869" w:rsidRDefault="00E91869" w:rsidP="00E91869">
      <w:pPr>
        <w:shd w:val="clear" w:color="auto" w:fill="FFFFFF"/>
        <w:spacing w:after="0" w:line="240" w:lineRule="auto"/>
        <w:ind w:firstLine="72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Los elementos utilizados son solo simbólicos, y estos pueden variar dependiendo de los recursos y de la cultura eclesiástica de cada congregación. Nosotros NO creemos en lo conocido como “Transubstanciación”, implicando esto que NO se trata de comer y beber literalmente la carne y la sangre del Señor, respectivamente.</w:t>
      </w:r>
    </w:p>
    <w:p w14:paraId="1A73276B" w14:textId="77777777" w:rsidR="00E91869" w:rsidRPr="00E91869" w:rsidRDefault="00E91869" w:rsidP="00E91869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br w:type="textWrapping" w:clear="all"/>
      </w:r>
    </w:p>
    <w:p w14:paraId="4EBBFF06" w14:textId="77777777" w:rsidR="00E91869" w:rsidRPr="00E91869" w:rsidRDefault="00E91869" w:rsidP="00E91869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b/>
          <w:bCs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b/>
          <w:bCs/>
          <w:color w:val="5E5E5E"/>
          <w:sz w:val="27"/>
          <w:szCs w:val="27"/>
          <w:lang w:val="es-DO"/>
        </w:rPr>
        <w:t>Nosotros, afirmamos que en la Cena del Señor:</w:t>
      </w:r>
    </w:p>
    <w:p w14:paraId="1D336A24" w14:textId="77777777" w:rsidR="00E91869" w:rsidRPr="00E91869" w:rsidRDefault="00E91869" w:rsidP="00E9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60" w:right="24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Proclamamos la muerte y la resurrección de Cristo, hasta que él venga.</w:t>
      </w:r>
    </w:p>
    <w:p w14:paraId="587B9C33" w14:textId="77777777" w:rsidR="00E91869" w:rsidRPr="00E91869" w:rsidRDefault="00E91869" w:rsidP="00E9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60" w:right="24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Celebramos el evento decisivo de nuestra fe.</w:t>
      </w:r>
    </w:p>
    <w:p w14:paraId="1924486A" w14:textId="77777777" w:rsidR="00E91869" w:rsidRPr="00E91869" w:rsidRDefault="00E91869" w:rsidP="00E9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60" w:right="24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Afirmamos la presencia del Señor viviente en medio de la iglesia.</w:t>
      </w:r>
    </w:p>
    <w:p w14:paraId="1FFAD5F6" w14:textId="77777777" w:rsidR="00E91869" w:rsidRPr="00E91869" w:rsidRDefault="00E91869" w:rsidP="00E9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60" w:right="24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Nos unimos como miembros de la familia de Dios alrededor de la mesa.</w:t>
      </w:r>
    </w:p>
    <w:p w14:paraId="74EF14D5" w14:textId="77777777" w:rsidR="00E91869" w:rsidRPr="00E91869" w:rsidRDefault="00E91869" w:rsidP="00E9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60" w:right="24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Tenemos un momento de comunión personal con el Señor.</w:t>
      </w:r>
    </w:p>
    <w:p w14:paraId="12FF20C0" w14:textId="77777777" w:rsidR="00E91869" w:rsidRPr="00E91869" w:rsidRDefault="00E91869" w:rsidP="00E9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60" w:right="24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lastRenderedPageBreak/>
        <w:t>Afirmamos nuestra unidad como cuerpo de Cristo.</w:t>
      </w:r>
    </w:p>
    <w:p w14:paraId="6098127B" w14:textId="77777777" w:rsidR="00E91869" w:rsidRPr="00E91869" w:rsidRDefault="00E91869" w:rsidP="00E9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60" w:right="24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Proclamamos la victoria final de Cristo como Señor de la vida sobre las fuerzas de la muerte.</w:t>
      </w:r>
    </w:p>
    <w:p w14:paraId="4509E362" w14:textId="77777777" w:rsidR="00E91869" w:rsidRPr="00E91869" w:rsidRDefault="00E91869" w:rsidP="00E9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60" w:right="24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Renovamos semanalmente el pacto que nos une al Señor y los unos con los otros.</w:t>
      </w:r>
    </w:p>
    <w:p w14:paraId="2764F341" w14:textId="77777777" w:rsidR="00E91869" w:rsidRPr="00E91869" w:rsidRDefault="00E91869" w:rsidP="00E918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60" w:right="240"/>
        <w:jc w:val="both"/>
        <w:rPr>
          <w:rFonts w:ascii="Roboto" w:eastAsia="Times New Roman" w:hAnsi="Roboto"/>
          <w:color w:val="5E5E5E"/>
          <w:sz w:val="27"/>
          <w:szCs w:val="27"/>
          <w:lang w:val="es-DO"/>
        </w:rPr>
      </w:pPr>
      <w:r w:rsidRPr="00E91869">
        <w:rPr>
          <w:rFonts w:ascii="Roboto" w:eastAsia="Times New Roman" w:hAnsi="Roboto"/>
          <w:color w:val="5E5E5E"/>
          <w:sz w:val="27"/>
          <w:szCs w:val="27"/>
          <w:lang w:val="es-DO"/>
        </w:rPr>
        <w:t>El mismo Señor es quien nos invita a participar.</w:t>
      </w:r>
    </w:p>
    <w:p w14:paraId="2762672E" w14:textId="4D5CC526" w:rsidR="00D70237" w:rsidRDefault="00D70237" w:rsidP="00E91869">
      <w:pPr>
        <w:jc w:val="both"/>
        <w:rPr>
          <w:lang w:val="es-DO"/>
        </w:rPr>
      </w:pPr>
    </w:p>
    <w:p w14:paraId="7B042C3A" w14:textId="6A219CB6" w:rsidR="00E91869" w:rsidRDefault="00E91869" w:rsidP="00E91869">
      <w:pPr>
        <w:jc w:val="both"/>
        <w:rPr>
          <w:lang w:val="es-DO"/>
        </w:rPr>
      </w:pPr>
    </w:p>
    <w:p w14:paraId="79A89CBD" w14:textId="77777777" w:rsidR="00E91869" w:rsidRPr="00E91869" w:rsidRDefault="00E91869" w:rsidP="00E91869">
      <w:pPr>
        <w:rPr>
          <w:lang w:val="es-DO"/>
        </w:rPr>
      </w:pPr>
      <w:r w:rsidRPr="00E91869">
        <w:rPr>
          <w:lang w:val="es-DO"/>
        </w:rPr>
        <w:t>Revisado y reafirmado 2022</w:t>
      </w:r>
    </w:p>
    <w:p w14:paraId="5491E4F0" w14:textId="77777777" w:rsidR="00E91869" w:rsidRDefault="00E91869" w:rsidP="00E91869">
      <w:pPr>
        <w:rPr>
          <w:b/>
          <w:bCs/>
          <w:lang w:val="es-DO"/>
        </w:rPr>
      </w:pPr>
      <w:r w:rsidRPr="00C03FAA">
        <w:rPr>
          <w:b/>
          <w:bCs/>
          <w:lang w:val="es-DO"/>
        </w:rPr>
        <w:t>https://discipulosdejesucristo.com/posturas-teol%C3%B3gicas</w:t>
      </w:r>
    </w:p>
    <w:p w14:paraId="2685E4D6" w14:textId="77777777" w:rsidR="00E91869" w:rsidRPr="00E91869" w:rsidRDefault="00E91869" w:rsidP="00E91869">
      <w:pPr>
        <w:jc w:val="both"/>
        <w:rPr>
          <w:lang w:val="es-DO"/>
        </w:rPr>
      </w:pPr>
    </w:p>
    <w:sectPr w:rsidR="00E91869" w:rsidRPr="00E9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B64C0"/>
    <w:multiLevelType w:val="multilevel"/>
    <w:tmpl w:val="C750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69"/>
    <w:rsid w:val="00D70237"/>
    <w:rsid w:val="00E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7985"/>
  <w15:chartTrackingRefBased/>
  <w15:docId w15:val="{9430D220-E32F-4B3E-B6EA-FCC39545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86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E91869"/>
    <w:rPr>
      <w:b/>
      <w:bCs/>
    </w:rPr>
  </w:style>
  <w:style w:type="paragraph" w:styleId="ListParagraph">
    <w:name w:val="List Paragraph"/>
    <w:basedOn w:val="Normal"/>
    <w:uiPriority w:val="34"/>
    <w:qFormat/>
    <w:rsid w:val="00E9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Garcia Comunica</dc:creator>
  <cp:keywords/>
  <dc:description/>
  <cp:lastModifiedBy>Max Garcia Comunica</cp:lastModifiedBy>
  <cp:revision>1</cp:revision>
  <dcterms:created xsi:type="dcterms:W3CDTF">2022-02-03T18:03:00Z</dcterms:created>
  <dcterms:modified xsi:type="dcterms:W3CDTF">2022-02-03T18:07:00Z</dcterms:modified>
</cp:coreProperties>
</file>