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9A51" w14:textId="77777777" w:rsidR="00C878B3" w:rsidRDefault="00C878B3" w:rsidP="00C400EE">
      <w:pPr>
        <w:pStyle w:val="Default"/>
        <w:rPr>
          <w:rFonts w:asciiTheme="minorHAnsi" w:hAnsiTheme="minorHAnsi" w:cstheme="minorHAnsi"/>
          <w:b/>
          <w:bCs/>
          <w:sz w:val="22"/>
          <w:szCs w:val="22"/>
        </w:rPr>
      </w:pPr>
    </w:p>
    <w:p w14:paraId="1D3C05D3" w14:textId="3DE652A6" w:rsidR="00C400EE" w:rsidRPr="00C878B3" w:rsidRDefault="00C400EE" w:rsidP="000D7CFE">
      <w:pPr>
        <w:pStyle w:val="Heading1"/>
      </w:pPr>
      <w:r w:rsidRPr="00C878B3">
        <w:t>C</w:t>
      </w:r>
      <w:r w:rsidR="000D7CFE">
        <w:t>hair’s Annual Statement</w:t>
      </w:r>
    </w:p>
    <w:p w14:paraId="06267D39" w14:textId="387CD1D1" w:rsidR="000D7CFE" w:rsidRDefault="000D7CFE" w:rsidP="000D7CFE">
      <w:pPr>
        <w:pStyle w:val="Heading2"/>
      </w:pPr>
      <w:r w:rsidRPr="00C878B3">
        <w:t xml:space="preserve">SJ </w:t>
      </w:r>
      <w:r>
        <w:t>Dixon &amp; Son (Holdings) Limited Pension and Life Assurance Scheme</w:t>
      </w:r>
      <w:r w:rsidR="00BD295F">
        <w:t xml:space="preserve"> (‘the Scheme’)</w:t>
      </w:r>
    </w:p>
    <w:p w14:paraId="0466FBC7" w14:textId="300C5AE5" w:rsidR="000D7CFE" w:rsidRPr="000D7CFE" w:rsidRDefault="000D7CFE" w:rsidP="000D7CFE">
      <w:pPr>
        <w:pStyle w:val="Heading2"/>
      </w:pPr>
      <w:r>
        <w:t>Year ended 31 December 2020</w:t>
      </w:r>
    </w:p>
    <w:p w14:paraId="0D8196A8" w14:textId="77777777" w:rsidR="00C400EE" w:rsidRDefault="00C400EE" w:rsidP="000D7CFE">
      <w:pPr>
        <w:pStyle w:val="Heading3"/>
      </w:pPr>
      <w:r w:rsidRPr="00C878B3">
        <w:t xml:space="preserve">Introduction </w:t>
      </w:r>
    </w:p>
    <w:p w14:paraId="45A86988" w14:textId="77777777" w:rsidR="00C878B3" w:rsidRDefault="00C878B3"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As Chair of the Trustees of the Scheme, I am required to provide members with an annual statement which explains the steps the Trustees (with guidance from our professional advisers) have taken to meet the governance standards for Defined Contribution (DC) schemes. </w:t>
      </w:r>
    </w:p>
    <w:p w14:paraId="68E55813" w14:textId="77777777" w:rsidR="00C878B3" w:rsidRDefault="00C878B3" w:rsidP="00C400EE">
      <w:pPr>
        <w:pStyle w:val="Default"/>
        <w:rPr>
          <w:rFonts w:asciiTheme="minorHAnsi" w:hAnsiTheme="minorHAnsi" w:cstheme="minorHAnsi"/>
          <w:color w:val="auto"/>
          <w:sz w:val="22"/>
          <w:szCs w:val="22"/>
        </w:rPr>
      </w:pPr>
    </w:p>
    <w:p w14:paraId="4170D0A8" w14:textId="3F569BCB" w:rsidR="00C400EE"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In March 2015</w:t>
      </w:r>
      <w:r w:rsidR="00C878B3">
        <w:rPr>
          <w:rFonts w:asciiTheme="minorHAnsi" w:hAnsiTheme="minorHAnsi" w:cstheme="minorHAnsi"/>
          <w:color w:val="auto"/>
          <w:sz w:val="22"/>
          <w:szCs w:val="22"/>
        </w:rPr>
        <w:t>,</w:t>
      </w:r>
      <w:r w:rsidRPr="00C878B3">
        <w:rPr>
          <w:rFonts w:asciiTheme="minorHAnsi" w:hAnsiTheme="minorHAnsi" w:cstheme="minorHAnsi"/>
          <w:color w:val="auto"/>
          <w:sz w:val="22"/>
          <w:szCs w:val="22"/>
        </w:rPr>
        <w:t xml:space="preserve"> the Department of Work and Pensions (DWP) set out new rules for the governance of Defined Contribution (DC) pension schemes. From 6 April 2015, </w:t>
      </w:r>
      <w:r w:rsidR="00C878B3">
        <w:rPr>
          <w:rFonts w:asciiTheme="minorHAnsi" w:hAnsiTheme="minorHAnsi" w:cstheme="minorHAnsi"/>
          <w:color w:val="auto"/>
          <w:sz w:val="22"/>
          <w:szCs w:val="22"/>
        </w:rPr>
        <w:t>t</w:t>
      </w:r>
      <w:r w:rsidRPr="00C878B3">
        <w:rPr>
          <w:rFonts w:asciiTheme="minorHAnsi" w:hAnsiTheme="minorHAnsi" w:cstheme="minorHAnsi"/>
          <w:color w:val="auto"/>
          <w:sz w:val="22"/>
          <w:szCs w:val="22"/>
        </w:rPr>
        <w:t>rustee</w:t>
      </w:r>
      <w:r w:rsidR="00C878B3">
        <w:rPr>
          <w:rFonts w:asciiTheme="minorHAnsi" w:hAnsiTheme="minorHAnsi" w:cstheme="minorHAnsi"/>
          <w:color w:val="auto"/>
          <w:sz w:val="22"/>
          <w:szCs w:val="22"/>
        </w:rPr>
        <w:t>s</w:t>
      </w:r>
      <w:r w:rsidRPr="00C878B3">
        <w:rPr>
          <w:rFonts w:asciiTheme="minorHAnsi" w:hAnsiTheme="minorHAnsi" w:cstheme="minorHAnsi"/>
          <w:color w:val="auto"/>
          <w:sz w:val="22"/>
          <w:szCs w:val="22"/>
        </w:rPr>
        <w:t xml:space="preserve"> of </w:t>
      </w:r>
      <w:r w:rsidR="00C878B3">
        <w:rPr>
          <w:rFonts w:asciiTheme="minorHAnsi" w:hAnsiTheme="minorHAnsi" w:cstheme="minorHAnsi"/>
          <w:color w:val="auto"/>
          <w:sz w:val="22"/>
          <w:szCs w:val="22"/>
        </w:rPr>
        <w:t xml:space="preserve">DC </w:t>
      </w:r>
      <w:r w:rsidRPr="00C878B3">
        <w:rPr>
          <w:rFonts w:asciiTheme="minorHAnsi" w:hAnsiTheme="minorHAnsi" w:cstheme="minorHAnsi"/>
          <w:color w:val="auto"/>
          <w:sz w:val="22"/>
          <w:szCs w:val="22"/>
        </w:rPr>
        <w:t>scheme</w:t>
      </w:r>
      <w:r w:rsidR="00C878B3">
        <w:rPr>
          <w:rFonts w:asciiTheme="minorHAnsi" w:hAnsiTheme="minorHAnsi" w:cstheme="minorHAnsi"/>
          <w:color w:val="auto"/>
          <w:sz w:val="22"/>
          <w:szCs w:val="22"/>
        </w:rPr>
        <w:t>s</w:t>
      </w:r>
      <w:r w:rsidRPr="00C878B3">
        <w:rPr>
          <w:rFonts w:asciiTheme="minorHAnsi" w:hAnsiTheme="minorHAnsi" w:cstheme="minorHAnsi"/>
          <w:color w:val="auto"/>
          <w:sz w:val="22"/>
          <w:szCs w:val="22"/>
        </w:rPr>
        <w:t xml:space="preserve"> have </w:t>
      </w:r>
      <w:r w:rsidR="00C878B3">
        <w:rPr>
          <w:rFonts w:asciiTheme="minorHAnsi" w:hAnsiTheme="minorHAnsi" w:cstheme="minorHAnsi"/>
          <w:color w:val="auto"/>
          <w:sz w:val="22"/>
          <w:szCs w:val="22"/>
        </w:rPr>
        <w:t xml:space="preserve">had </w:t>
      </w:r>
      <w:r w:rsidRPr="00C878B3">
        <w:rPr>
          <w:rFonts w:asciiTheme="minorHAnsi" w:hAnsiTheme="minorHAnsi" w:cstheme="minorHAnsi"/>
          <w:color w:val="auto"/>
          <w:sz w:val="22"/>
          <w:szCs w:val="22"/>
        </w:rPr>
        <w:t xml:space="preserve">to produce an annual statement, signed by their Chair, setting out </w:t>
      </w:r>
      <w:proofErr w:type="gramStart"/>
      <w:r w:rsidRPr="00C878B3">
        <w:rPr>
          <w:rFonts w:asciiTheme="minorHAnsi" w:hAnsiTheme="minorHAnsi" w:cstheme="minorHAnsi"/>
          <w:color w:val="auto"/>
          <w:sz w:val="22"/>
          <w:szCs w:val="22"/>
        </w:rPr>
        <w:t>a number of</w:t>
      </w:r>
      <w:proofErr w:type="gramEnd"/>
      <w:r w:rsidRPr="00C878B3">
        <w:rPr>
          <w:rFonts w:asciiTheme="minorHAnsi" w:hAnsiTheme="minorHAnsi" w:cstheme="minorHAnsi"/>
          <w:color w:val="auto"/>
          <w:sz w:val="22"/>
          <w:szCs w:val="22"/>
        </w:rPr>
        <w:t xml:space="preserve"> prescribed matters. This is the Scheme’s annual statement</w:t>
      </w:r>
      <w:r w:rsidR="000D7CFE">
        <w:rPr>
          <w:rFonts w:asciiTheme="minorHAnsi" w:hAnsiTheme="minorHAnsi" w:cstheme="minorHAnsi"/>
          <w:color w:val="auto"/>
          <w:sz w:val="22"/>
          <w:szCs w:val="22"/>
        </w:rPr>
        <w:t xml:space="preserve"> for 2020</w:t>
      </w:r>
      <w:r w:rsidRPr="00C878B3">
        <w:rPr>
          <w:rFonts w:asciiTheme="minorHAnsi" w:hAnsiTheme="minorHAnsi" w:cstheme="minorHAnsi"/>
          <w:color w:val="auto"/>
          <w:sz w:val="22"/>
          <w:szCs w:val="22"/>
        </w:rPr>
        <w:t xml:space="preserve">. </w:t>
      </w:r>
    </w:p>
    <w:p w14:paraId="20018B42" w14:textId="77777777" w:rsidR="00C878B3" w:rsidRPr="00C878B3" w:rsidRDefault="00C878B3" w:rsidP="00C400EE">
      <w:pPr>
        <w:pStyle w:val="Default"/>
        <w:rPr>
          <w:rFonts w:asciiTheme="minorHAnsi" w:hAnsiTheme="minorHAnsi" w:cstheme="minorHAnsi"/>
          <w:color w:val="auto"/>
          <w:sz w:val="22"/>
          <w:szCs w:val="22"/>
        </w:rPr>
      </w:pPr>
    </w:p>
    <w:p w14:paraId="76482EBA" w14:textId="77777777" w:rsidR="00C400EE"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The Scheme operates under a Trust Deed and Rules dated 1 July 1998 and provides both Defined Contribution (DC) and Final Salary (FS) benefits. This Statement is in respect of the DC section only. </w:t>
      </w:r>
    </w:p>
    <w:p w14:paraId="02ABD6AE" w14:textId="77777777" w:rsidR="00C400EE" w:rsidRDefault="00C400EE" w:rsidP="00F12A66">
      <w:pPr>
        <w:pStyle w:val="Heading3"/>
      </w:pPr>
      <w:r w:rsidRPr="00C878B3">
        <w:t xml:space="preserve">What do you need to do next? </w:t>
      </w:r>
    </w:p>
    <w:p w14:paraId="5AD4B6BD" w14:textId="77777777" w:rsidR="00C400EE"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This report is for noting. You do not need to take any action. </w:t>
      </w:r>
    </w:p>
    <w:p w14:paraId="2D73537E" w14:textId="77777777" w:rsidR="00C878B3" w:rsidRPr="00C878B3" w:rsidRDefault="00C878B3" w:rsidP="00C400EE">
      <w:pPr>
        <w:pStyle w:val="Default"/>
        <w:rPr>
          <w:rFonts w:asciiTheme="minorHAnsi" w:hAnsiTheme="minorHAnsi" w:cstheme="minorHAnsi"/>
          <w:color w:val="auto"/>
          <w:sz w:val="22"/>
          <w:szCs w:val="22"/>
        </w:rPr>
      </w:pPr>
    </w:p>
    <w:p w14:paraId="3C56D2A7" w14:textId="77777777" w:rsidR="00C878B3"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If you have any questions or require any further information you should contact</w:t>
      </w:r>
      <w:r w:rsidR="00C878B3">
        <w:rPr>
          <w:rFonts w:asciiTheme="minorHAnsi" w:hAnsiTheme="minorHAnsi" w:cstheme="minorHAnsi"/>
          <w:color w:val="auto"/>
          <w:sz w:val="22"/>
          <w:szCs w:val="22"/>
        </w:rPr>
        <w:t xml:space="preserve"> the Scheme Secretary</w:t>
      </w:r>
      <w:r w:rsidRPr="00C878B3">
        <w:rPr>
          <w:rFonts w:asciiTheme="minorHAnsi" w:hAnsiTheme="minorHAnsi" w:cstheme="minorHAnsi"/>
          <w:color w:val="auto"/>
          <w:sz w:val="22"/>
          <w:szCs w:val="22"/>
        </w:rPr>
        <w:t>: Mr</w:t>
      </w:r>
      <w:r w:rsidR="00C878B3">
        <w:rPr>
          <w:rFonts w:asciiTheme="minorHAnsi" w:hAnsiTheme="minorHAnsi" w:cstheme="minorHAnsi"/>
          <w:color w:val="auto"/>
          <w:sz w:val="22"/>
          <w:szCs w:val="22"/>
        </w:rPr>
        <w:t xml:space="preserve"> AJ Cotterill</w:t>
      </w:r>
      <w:r w:rsidRPr="00C878B3">
        <w:rPr>
          <w:rFonts w:asciiTheme="minorHAnsi" w:hAnsiTheme="minorHAnsi" w:cstheme="minorHAnsi"/>
          <w:color w:val="auto"/>
          <w:sz w:val="22"/>
          <w:szCs w:val="22"/>
        </w:rPr>
        <w:t xml:space="preserve"> at SJ Dixon &amp; Son Limited at Dixon House, Cleveland Road, Wolverhampton, WV2 1BX.</w:t>
      </w:r>
    </w:p>
    <w:p w14:paraId="3EE7486F" w14:textId="08A2969B" w:rsidR="00C400EE" w:rsidRDefault="00C400EE" w:rsidP="00F12A66">
      <w:pPr>
        <w:pStyle w:val="Heading3"/>
      </w:pPr>
      <w:r w:rsidRPr="00C878B3">
        <w:rPr>
          <w:rFonts w:asciiTheme="minorHAnsi" w:hAnsiTheme="minorHAnsi" w:cstheme="minorHAnsi"/>
          <w:color w:val="auto"/>
          <w:sz w:val="22"/>
          <w:szCs w:val="22"/>
        </w:rPr>
        <w:t xml:space="preserve"> </w:t>
      </w:r>
      <w:r w:rsidRPr="00C878B3">
        <w:t xml:space="preserve">The default investment strategy </w:t>
      </w:r>
    </w:p>
    <w:p w14:paraId="56249ADF" w14:textId="59F18DF3" w:rsidR="003340B4" w:rsidRPr="00500088" w:rsidRDefault="003340B4" w:rsidP="003340B4">
      <w:pPr>
        <w:spacing w:after="120"/>
      </w:pPr>
      <w:r>
        <w:rPr>
          <w:rFonts w:asciiTheme="minorHAnsi" w:hAnsiTheme="minorHAnsi" w:cstheme="minorHAnsi"/>
          <w:szCs w:val="22"/>
        </w:rPr>
        <w:t xml:space="preserve">A default investment arrangement was set up by the Trustees for members who do not choose their own investment option for their contributions. The Trustees are responsible for investment governance. This includes setting and monitoring the investment strategy for the default arrangement. </w:t>
      </w:r>
      <w:r w:rsidRPr="00500088">
        <w:t>Approximately 9</w:t>
      </w:r>
      <w:r>
        <w:t>5</w:t>
      </w:r>
      <w:r w:rsidRPr="00500088">
        <w:t xml:space="preserve">% of members’ </w:t>
      </w:r>
      <w:r>
        <w:t>f</w:t>
      </w:r>
      <w:r w:rsidRPr="00500088">
        <w:t>unds are invested in the default investment strategy.</w:t>
      </w:r>
      <w:r w:rsidR="00600964">
        <w:t xml:space="preserve"> The default strategy was last reviewed </w:t>
      </w:r>
      <w:r w:rsidR="00AE25AA">
        <w:t xml:space="preserve">in </w:t>
      </w:r>
      <w:r w:rsidR="00203B76">
        <w:t>December 2020</w:t>
      </w:r>
      <w:r w:rsidR="00600964" w:rsidRPr="00AE25AA">
        <w:t>.</w:t>
      </w:r>
    </w:p>
    <w:p w14:paraId="4D6D61B7" w14:textId="13E26EEF" w:rsidR="00600964" w:rsidRPr="007A7A0D" w:rsidRDefault="0021288E" w:rsidP="00600964">
      <w:r w:rsidRPr="00340BD6">
        <w:t xml:space="preserve">The default strategy </w:t>
      </w:r>
      <w:r w:rsidR="00340BD6" w:rsidRPr="00340BD6">
        <w:t>is a ‘Lifestyle Strategy’</w:t>
      </w:r>
      <w:r w:rsidR="00340BD6">
        <w:t xml:space="preserve"> and is explained in the member’s booklet and the Statement of Investment Principles.  </w:t>
      </w:r>
      <w:r w:rsidR="00600964" w:rsidRPr="007A7A0D">
        <w:t xml:space="preserve">A lifestyle </w:t>
      </w:r>
      <w:r w:rsidR="00600964">
        <w:t>strategy</w:t>
      </w:r>
      <w:r w:rsidR="00600964" w:rsidRPr="007A7A0D">
        <w:t xml:space="preserve"> automatically performs a gradual switch of a member’s investment holdings, from higher risk to lower risk funds, over a set </w:t>
      </w:r>
      <w:proofErr w:type="gramStart"/>
      <w:r w:rsidR="00600964" w:rsidRPr="007A7A0D">
        <w:t>time period</w:t>
      </w:r>
      <w:proofErr w:type="gramEnd"/>
      <w:r w:rsidR="00600964" w:rsidRPr="007A7A0D">
        <w:t xml:space="preserve"> prior to their Target Retirement Age.</w:t>
      </w:r>
      <w:r w:rsidR="00600964">
        <w:t xml:space="preserve"> Members in the Scheme’s lifestyle strategy </w:t>
      </w:r>
      <w:r w:rsidR="00600964" w:rsidRPr="007A7A0D">
        <w:t>are invested 100% in a</w:t>
      </w:r>
      <w:r w:rsidR="00841A99">
        <w:t xml:space="preserve"> multi asset </w:t>
      </w:r>
      <w:r w:rsidR="00600964" w:rsidRPr="007A7A0D">
        <w:t xml:space="preserve">fund when they are more than ten years from retirement. Investments then begin switching to a </w:t>
      </w:r>
      <w:r w:rsidR="00841A99">
        <w:t xml:space="preserve">pre-retirement and cash </w:t>
      </w:r>
      <w:r w:rsidR="00600964" w:rsidRPr="007A7A0D">
        <w:t xml:space="preserve">fund. This strategy targets </w:t>
      </w:r>
      <w:r w:rsidR="00841A99">
        <w:t>members taking an annuity at retirement</w:t>
      </w:r>
      <w:r w:rsidR="00600964" w:rsidRPr="007A7A0D">
        <w:t xml:space="preserve">. </w:t>
      </w:r>
    </w:p>
    <w:p w14:paraId="32E02837" w14:textId="087CA98E" w:rsidR="007433C6" w:rsidRDefault="00C878B3" w:rsidP="0096569F">
      <w:pPr>
        <w:spacing w:after="0"/>
        <w:rPr>
          <w:rFonts w:asciiTheme="minorHAnsi" w:hAnsiTheme="minorHAnsi" w:cstheme="minorHAnsi"/>
          <w:color w:val="FFFFFF" w:themeColor="background1"/>
          <w:szCs w:val="22"/>
        </w:rPr>
      </w:pPr>
      <w:r w:rsidRPr="00340BD6">
        <w:rPr>
          <w:rFonts w:asciiTheme="minorHAnsi" w:hAnsiTheme="minorHAnsi" w:cstheme="minorHAnsi"/>
          <w:szCs w:val="22"/>
        </w:rPr>
        <w:t xml:space="preserve">A copy of the latest </w:t>
      </w:r>
      <w:r w:rsidR="003340B4" w:rsidRPr="00340BD6">
        <w:rPr>
          <w:rFonts w:asciiTheme="minorHAnsi" w:hAnsiTheme="minorHAnsi" w:cstheme="minorHAnsi"/>
          <w:szCs w:val="22"/>
        </w:rPr>
        <w:t>S</w:t>
      </w:r>
      <w:r w:rsidRPr="00340BD6">
        <w:rPr>
          <w:rFonts w:asciiTheme="minorHAnsi" w:hAnsiTheme="minorHAnsi" w:cstheme="minorHAnsi"/>
          <w:szCs w:val="22"/>
        </w:rPr>
        <w:t xml:space="preserve">IP </w:t>
      </w:r>
      <w:r w:rsidR="00EF07FA" w:rsidRPr="00340BD6">
        <w:rPr>
          <w:rFonts w:asciiTheme="minorHAnsi" w:hAnsiTheme="minorHAnsi" w:cstheme="minorHAnsi"/>
          <w:szCs w:val="22"/>
        </w:rPr>
        <w:t xml:space="preserve">is </w:t>
      </w:r>
      <w:r w:rsidRPr="00340BD6">
        <w:rPr>
          <w:rFonts w:asciiTheme="minorHAnsi" w:hAnsiTheme="minorHAnsi" w:cstheme="minorHAnsi"/>
          <w:szCs w:val="22"/>
        </w:rPr>
        <w:t>available on the SJ Dixon and Son Limited website</w:t>
      </w:r>
      <w:r w:rsidR="00944CAF">
        <w:rPr>
          <w:rFonts w:asciiTheme="minorHAnsi" w:hAnsiTheme="minorHAnsi" w:cstheme="minorHAnsi"/>
          <w:szCs w:val="22"/>
        </w:rPr>
        <w:t>, and is also attached to this Statement</w:t>
      </w:r>
      <w:r w:rsidR="00F4534B" w:rsidRPr="00340BD6">
        <w:rPr>
          <w:rFonts w:asciiTheme="minorHAnsi" w:hAnsiTheme="minorHAnsi" w:cstheme="minorHAnsi"/>
          <w:szCs w:val="22"/>
        </w:rPr>
        <w:t xml:space="preserve">: </w:t>
      </w:r>
      <w:hyperlink r:id="rId8" w:history="1">
        <w:r w:rsidR="00340BD6" w:rsidRPr="00FA17EF">
          <w:rPr>
            <w:rStyle w:val="Hyperlink"/>
            <w:rFonts w:asciiTheme="minorHAnsi" w:hAnsiTheme="minorHAnsi" w:cstheme="minorHAnsi"/>
            <w:szCs w:val="22"/>
          </w:rPr>
          <w:t>https://www.sjdixon.co.uk/uploads/9lgiFcgF/SIPSJDpensionscheme1.docx</w:t>
        </w:r>
      </w:hyperlink>
    </w:p>
    <w:p w14:paraId="2F7C414D" w14:textId="77777777" w:rsidR="00B30172" w:rsidRDefault="00B30172" w:rsidP="0096569F">
      <w:pPr>
        <w:spacing w:after="0"/>
        <w:rPr>
          <w:rFonts w:asciiTheme="minorHAnsi" w:hAnsiTheme="minorHAnsi" w:cstheme="minorHAnsi"/>
          <w:color w:val="FFFFFF" w:themeColor="background1"/>
          <w:szCs w:val="22"/>
        </w:rPr>
      </w:pPr>
    </w:p>
    <w:p w14:paraId="13A97FCC" w14:textId="241884A5" w:rsidR="00B30172" w:rsidRPr="00B30172" w:rsidRDefault="00B30172" w:rsidP="008E217E">
      <w:pPr>
        <w:pStyle w:val="Default"/>
        <w:rPr>
          <w:rFonts w:asciiTheme="minorHAnsi" w:hAnsiTheme="minorHAnsi" w:cstheme="minorHAnsi"/>
          <w:color w:val="auto"/>
          <w:szCs w:val="22"/>
        </w:rPr>
      </w:pPr>
      <w:r w:rsidRPr="00B30172">
        <w:rPr>
          <w:rFonts w:asciiTheme="minorHAnsi" w:hAnsiTheme="minorHAnsi" w:cstheme="minorHAnsi"/>
          <w:color w:val="auto"/>
          <w:szCs w:val="22"/>
        </w:rPr>
        <w:t>The Stateme</w:t>
      </w:r>
      <w:r w:rsidRPr="008E217E">
        <w:rPr>
          <w:rFonts w:asciiTheme="minorHAnsi" w:hAnsiTheme="minorHAnsi" w:cstheme="minorHAnsi"/>
          <w:sz w:val="22"/>
          <w:szCs w:val="22"/>
        </w:rPr>
        <w:t xml:space="preserve">nt of Investment Principles was last updated in </w:t>
      </w:r>
      <w:r w:rsidR="003811B7">
        <w:rPr>
          <w:rFonts w:asciiTheme="minorHAnsi" w:hAnsiTheme="minorHAnsi" w:cstheme="minorHAnsi"/>
          <w:sz w:val="22"/>
          <w:szCs w:val="22"/>
        </w:rPr>
        <w:t>October</w:t>
      </w:r>
      <w:r w:rsidRPr="008E217E">
        <w:rPr>
          <w:rFonts w:asciiTheme="minorHAnsi" w:hAnsiTheme="minorHAnsi" w:cstheme="minorHAnsi"/>
          <w:sz w:val="22"/>
          <w:szCs w:val="22"/>
        </w:rPr>
        <w:t xml:space="preserve"> 2020 to </w:t>
      </w:r>
      <w:proofErr w:type="gramStart"/>
      <w:r w:rsidR="008E217E">
        <w:rPr>
          <w:rFonts w:asciiTheme="minorHAnsi" w:hAnsiTheme="minorHAnsi" w:cstheme="minorHAnsi"/>
          <w:sz w:val="22"/>
          <w:szCs w:val="22"/>
        </w:rPr>
        <w:t xml:space="preserve">take </w:t>
      </w:r>
      <w:r w:rsidR="008E217E" w:rsidRPr="008E217E">
        <w:rPr>
          <w:rFonts w:asciiTheme="minorHAnsi" w:hAnsiTheme="minorHAnsi" w:cstheme="minorHAnsi"/>
          <w:sz w:val="22"/>
          <w:szCs w:val="22"/>
        </w:rPr>
        <w:t>into account</w:t>
      </w:r>
      <w:proofErr w:type="gramEnd"/>
      <w:r w:rsidR="008E217E" w:rsidRPr="008E217E">
        <w:rPr>
          <w:rFonts w:asciiTheme="minorHAnsi" w:hAnsiTheme="minorHAnsi" w:cstheme="minorHAnsi"/>
          <w:sz w:val="22"/>
          <w:szCs w:val="22"/>
        </w:rPr>
        <w:t xml:space="preserve"> new regulatory requirements about the Trustees’ relationship with their investment managers. </w:t>
      </w:r>
    </w:p>
    <w:p w14:paraId="22F3E854" w14:textId="4CE1F60F" w:rsidR="00944CAF" w:rsidRPr="00944CAF" w:rsidRDefault="003340B4" w:rsidP="0096569F">
      <w:pPr>
        <w:spacing w:after="0"/>
        <w:rPr>
          <w:rFonts w:asciiTheme="minorHAnsi" w:hAnsiTheme="minorHAnsi" w:cstheme="minorHAnsi"/>
          <w:color w:val="FFFFFF" w:themeColor="background1"/>
          <w:szCs w:val="22"/>
        </w:rPr>
      </w:pPr>
      <w:r w:rsidRPr="007A0C6F">
        <w:rPr>
          <w:rFonts w:asciiTheme="minorHAnsi" w:hAnsiTheme="minorHAnsi" w:cstheme="minorHAnsi"/>
          <w:color w:val="FFFFFF" w:themeColor="background1"/>
          <w:szCs w:val="22"/>
        </w:rPr>
        <w:t xml:space="preserve"> October 2020</w:t>
      </w:r>
    </w:p>
    <w:p w14:paraId="010ED079" w14:textId="0224B4FD" w:rsidR="00DE4424" w:rsidRDefault="00DE4424"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Scheme funds are invested with Newton</w:t>
      </w:r>
      <w:r w:rsidR="005F6576">
        <w:rPr>
          <w:rFonts w:asciiTheme="minorHAnsi" w:hAnsiTheme="minorHAnsi" w:cstheme="minorHAnsi"/>
          <w:color w:val="auto"/>
          <w:sz w:val="22"/>
          <w:szCs w:val="22"/>
        </w:rPr>
        <w:t xml:space="preserve"> Investment Management</w:t>
      </w:r>
      <w:r>
        <w:rPr>
          <w:rFonts w:asciiTheme="minorHAnsi" w:hAnsiTheme="minorHAnsi" w:cstheme="minorHAnsi"/>
          <w:color w:val="auto"/>
          <w:sz w:val="22"/>
          <w:szCs w:val="22"/>
        </w:rPr>
        <w:t xml:space="preserve"> </w:t>
      </w:r>
      <w:r w:rsidR="00FC6AEC">
        <w:rPr>
          <w:rFonts w:asciiTheme="minorHAnsi" w:hAnsiTheme="minorHAnsi" w:cstheme="minorHAnsi"/>
          <w:color w:val="auto"/>
          <w:sz w:val="22"/>
          <w:szCs w:val="22"/>
        </w:rPr>
        <w:t xml:space="preserve">(a subsidiary of BNY Mellon) </w:t>
      </w:r>
      <w:r>
        <w:rPr>
          <w:rFonts w:asciiTheme="minorHAnsi" w:hAnsiTheme="minorHAnsi" w:cstheme="minorHAnsi"/>
          <w:color w:val="auto"/>
          <w:sz w:val="22"/>
          <w:szCs w:val="22"/>
        </w:rPr>
        <w:t xml:space="preserve">and Legal &amp; General Investment Management. Performance of those funds </w:t>
      </w:r>
      <w:r w:rsidR="005F1B84">
        <w:rPr>
          <w:rFonts w:asciiTheme="minorHAnsi" w:hAnsiTheme="minorHAnsi" w:cstheme="minorHAnsi"/>
          <w:color w:val="auto"/>
          <w:sz w:val="22"/>
          <w:szCs w:val="22"/>
        </w:rPr>
        <w:t>i</w:t>
      </w:r>
      <w:r>
        <w:rPr>
          <w:rFonts w:asciiTheme="minorHAnsi" w:hAnsiTheme="minorHAnsi" w:cstheme="minorHAnsi"/>
          <w:color w:val="auto"/>
          <w:sz w:val="22"/>
          <w:szCs w:val="22"/>
        </w:rPr>
        <w:t>s reported to and monitored by the Trustees on a quarterly basis.</w:t>
      </w:r>
    </w:p>
    <w:p w14:paraId="0CA536E4" w14:textId="393774E3" w:rsidR="00DE4424" w:rsidRDefault="00DE4424" w:rsidP="00C400EE">
      <w:pPr>
        <w:pStyle w:val="Default"/>
        <w:rPr>
          <w:rFonts w:asciiTheme="minorHAnsi" w:hAnsiTheme="minorHAnsi" w:cstheme="minorHAnsi"/>
          <w:color w:val="auto"/>
          <w:sz w:val="22"/>
          <w:szCs w:val="22"/>
        </w:rPr>
      </w:pPr>
    </w:p>
    <w:p w14:paraId="1F8BFAD0" w14:textId="30675879" w:rsidR="00DE4424" w:rsidRDefault="00DE4424"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Trustees take advice from their pension and investment consultant. The Trustees consider the </w:t>
      </w:r>
      <w:r w:rsidR="006E2682">
        <w:rPr>
          <w:rFonts w:asciiTheme="minorHAnsi" w:hAnsiTheme="minorHAnsi" w:cstheme="minorHAnsi"/>
          <w:color w:val="auto"/>
          <w:sz w:val="22"/>
          <w:szCs w:val="22"/>
        </w:rPr>
        <w:t xml:space="preserve">extent to which the return on investments relating to the default arrangement (after </w:t>
      </w:r>
      <w:r w:rsidR="00F12A66">
        <w:rPr>
          <w:rFonts w:asciiTheme="minorHAnsi" w:hAnsiTheme="minorHAnsi" w:cstheme="minorHAnsi"/>
          <w:color w:val="auto"/>
          <w:sz w:val="22"/>
          <w:szCs w:val="22"/>
        </w:rPr>
        <w:t>deduction of charges relating to those investment) is consistent with the aims and objectives for the default arrangement.</w:t>
      </w:r>
    </w:p>
    <w:p w14:paraId="07B9F4B3" w14:textId="77777777" w:rsidR="0021288E" w:rsidRDefault="0021288E" w:rsidP="00C400EE">
      <w:pPr>
        <w:pStyle w:val="Default"/>
        <w:rPr>
          <w:rFonts w:asciiTheme="minorHAnsi" w:hAnsiTheme="minorHAnsi" w:cstheme="minorHAnsi"/>
          <w:color w:val="auto"/>
          <w:sz w:val="22"/>
          <w:szCs w:val="22"/>
        </w:rPr>
      </w:pPr>
    </w:p>
    <w:p w14:paraId="6B5642F5" w14:textId="3E1754E8" w:rsidR="00F12A66" w:rsidRDefault="00F12A66"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Trustees have continued to look at the </w:t>
      </w:r>
      <w:proofErr w:type="gramStart"/>
      <w:r>
        <w:rPr>
          <w:rFonts w:asciiTheme="minorHAnsi" w:hAnsiTheme="minorHAnsi" w:cstheme="minorHAnsi"/>
          <w:color w:val="auto"/>
          <w:sz w:val="22"/>
          <w:szCs w:val="22"/>
        </w:rPr>
        <w:t>up to date</w:t>
      </w:r>
      <w:proofErr w:type="gramEnd"/>
      <w:r>
        <w:rPr>
          <w:rFonts w:asciiTheme="minorHAnsi" w:hAnsiTheme="minorHAnsi" w:cstheme="minorHAnsi"/>
          <w:color w:val="auto"/>
          <w:sz w:val="22"/>
          <w:szCs w:val="22"/>
        </w:rPr>
        <w:t xml:space="preserve"> membership profile of the Scheme, the risk profile and number of investment funds offered to members, long-term investment market conditions and the investment products and techniques available in the market. </w:t>
      </w:r>
    </w:p>
    <w:p w14:paraId="117C58DD" w14:textId="35515A04" w:rsidR="00C400EE" w:rsidRPr="00C878B3" w:rsidRDefault="00C400EE" w:rsidP="00F12A66">
      <w:pPr>
        <w:pStyle w:val="Heading3"/>
      </w:pPr>
      <w:r w:rsidRPr="00C878B3">
        <w:t xml:space="preserve">Core financial transactions </w:t>
      </w:r>
    </w:p>
    <w:p w14:paraId="6A69C93C" w14:textId="6912931C" w:rsidR="00C400EE"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The Trustees are required to make sure that core Scheme financial transactions are processed promptly and accurately. The Trustees monitor this through: </w:t>
      </w:r>
    </w:p>
    <w:p w14:paraId="10EB9709" w14:textId="0E9E89F9" w:rsidR="00F20FEA" w:rsidRPr="00F20FEA" w:rsidRDefault="008A3FC3" w:rsidP="00F20FEA">
      <w:pPr>
        <w:pStyle w:val="Default"/>
        <w:numPr>
          <w:ilvl w:val="0"/>
          <w:numId w:val="38"/>
        </w:numPr>
        <w:spacing w:after="27"/>
        <w:ind w:left="426" w:hanging="426"/>
        <w:rPr>
          <w:rFonts w:asciiTheme="minorHAnsi" w:hAnsiTheme="minorHAnsi" w:cstheme="minorHAnsi"/>
          <w:color w:val="auto"/>
          <w:sz w:val="22"/>
          <w:szCs w:val="22"/>
        </w:rPr>
      </w:pPr>
      <w:r>
        <w:rPr>
          <w:rFonts w:asciiTheme="minorHAnsi" w:hAnsiTheme="minorHAnsi" w:cstheme="minorHAnsi"/>
          <w:color w:val="auto"/>
          <w:sz w:val="22"/>
          <w:szCs w:val="22"/>
        </w:rPr>
        <w:t>h</w:t>
      </w:r>
      <w:r w:rsidR="00C400EE" w:rsidRPr="00C878B3">
        <w:rPr>
          <w:rFonts w:asciiTheme="minorHAnsi" w:hAnsiTheme="minorHAnsi" w:cstheme="minorHAnsi"/>
          <w:color w:val="auto"/>
          <w:sz w:val="22"/>
          <w:szCs w:val="22"/>
        </w:rPr>
        <w:t xml:space="preserve">aving an agreement with </w:t>
      </w:r>
      <w:r>
        <w:rPr>
          <w:rFonts w:asciiTheme="minorHAnsi" w:hAnsiTheme="minorHAnsi" w:cstheme="minorHAnsi"/>
          <w:color w:val="auto"/>
          <w:sz w:val="22"/>
          <w:szCs w:val="22"/>
        </w:rPr>
        <w:t>each</w:t>
      </w:r>
      <w:r w:rsidR="00C400EE" w:rsidRPr="00C878B3">
        <w:rPr>
          <w:rFonts w:asciiTheme="minorHAnsi" w:hAnsiTheme="minorHAnsi" w:cstheme="minorHAnsi"/>
          <w:color w:val="auto"/>
          <w:sz w:val="22"/>
          <w:szCs w:val="22"/>
        </w:rPr>
        <w:t xml:space="preserve"> service provider committing them to </w:t>
      </w:r>
      <w:r>
        <w:rPr>
          <w:rFonts w:asciiTheme="minorHAnsi" w:hAnsiTheme="minorHAnsi" w:cstheme="minorHAnsi"/>
          <w:color w:val="auto"/>
          <w:sz w:val="22"/>
          <w:szCs w:val="22"/>
        </w:rPr>
        <w:t xml:space="preserve">a </w:t>
      </w:r>
      <w:r w:rsidR="00C400EE" w:rsidRPr="00C878B3">
        <w:rPr>
          <w:rFonts w:asciiTheme="minorHAnsi" w:hAnsiTheme="minorHAnsi" w:cstheme="minorHAnsi"/>
          <w:color w:val="auto"/>
          <w:sz w:val="22"/>
          <w:szCs w:val="22"/>
        </w:rPr>
        <w:t>defined service level agreement (SLA)</w:t>
      </w:r>
      <w:r w:rsidR="00F20FEA">
        <w:rPr>
          <w:rFonts w:asciiTheme="minorHAnsi" w:hAnsiTheme="minorHAnsi" w:cstheme="minorHAnsi"/>
          <w:color w:val="auto"/>
          <w:sz w:val="22"/>
          <w:szCs w:val="22"/>
        </w:rPr>
        <w:t xml:space="preserve"> </w:t>
      </w:r>
    </w:p>
    <w:p w14:paraId="68815323" w14:textId="0A496EE3" w:rsidR="00C400EE" w:rsidRPr="00201A59" w:rsidRDefault="008A3FC3" w:rsidP="008A3FC3">
      <w:pPr>
        <w:pStyle w:val="Default"/>
        <w:numPr>
          <w:ilvl w:val="0"/>
          <w:numId w:val="38"/>
        </w:numPr>
        <w:ind w:left="426" w:hanging="426"/>
        <w:rPr>
          <w:rFonts w:asciiTheme="minorHAnsi" w:hAnsiTheme="minorHAnsi" w:cstheme="minorHAnsi"/>
          <w:color w:val="auto"/>
          <w:sz w:val="22"/>
          <w:szCs w:val="22"/>
        </w:rPr>
      </w:pPr>
      <w:r w:rsidRPr="00201A59">
        <w:rPr>
          <w:rFonts w:asciiTheme="minorHAnsi" w:hAnsiTheme="minorHAnsi" w:cstheme="minorHAnsi"/>
          <w:color w:val="auto"/>
          <w:sz w:val="22"/>
          <w:szCs w:val="22"/>
        </w:rPr>
        <w:t>h</w:t>
      </w:r>
      <w:r w:rsidR="00C400EE" w:rsidRPr="00201A59">
        <w:rPr>
          <w:rFonts w:asciiTheme="minorHAnsi" w:hAnsiTheme="minorHAnsi" w:cstheme="minorHAnsi"/>
          <w:color w:val="auto"/>
          <w:sz w:val="22"/>
          <w:szCs w:val="22"/>
        </w:rPr>
        <w:t xml:space="preserve">aving the Scheme auditor independently test a sample of financial transactions for accuracy and timeliness as part of the annual audit process. </w:t>
      </w:r>
    </w:p>
    <w:p w14:paraId="3E2FAD91" w14:textId="77777777" w:rsidR="00201A59" w:rsidRPr="002F03EB" w:rsidRDefault="00201A59" w:rsidP="00201A59">
      <w:pPr>
        <w:pStyle w:val="Default"/>
        <w:ind w:left="426"/>
        <w:rPr>
          <w:rFonts w:asciiTheme="minorHAnsi" w:hAnsiTheme="minorHAnsi" w:cstheme="minorHAnsi"/>
          <w:color w:val="auto"/>
          <w:sz w:val="22"/>
          <w:szCs w:val="22"/>
          <w:highlight w:val="yellow"/>
        </w:rPr>
      </w:pPr>
    </w:p>
    <w:p w14:paraId="18C1F1F9" w14:textId="77777777" w:rsidR="00C400EE" w:rsidRPr="00C878B3"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The core financial transactions include: </w:t>
      </w:r>
    </w:p>
    <w:p w14:paraId="636C8B9C" w14:textId="593C6082" w:rsidR="00C400EE" w:rsidRPr="00C878B3" w:rsidRDefault="008A3FC3" w:rsidP="008A3FC3">
      <w:pPr>
        <w:pStyle w:val="Default"/>
        <w:numPr>
          <w:ilvl w:val="0"/>
          <w:numId w:val="39"/>
        </w:numPr>
        <w:spacing w:after="26"/>
        <w:ind w:left="426" w:hanging="426"/>
        <w:rPr>
          <w:rFonts w:asciiTheme="minorHAnsi" w:hAnsiTheme="minorHAnsi" w:cstheme="minorHAnsi"/>
          <w:color w:val="auto"/>
          <w:sz w:val="22"/>
          <w:szCs w:val="22"/>
        </w:rPr>
      </w:pPr>
      <w:r>
        <w:rPr>
          <w:rFonts w:asciiTheme="minorHAnsi" w:hAnsiTheme="minorHAnsi" w:cstheme="minorHAnsi"/>
          <w:color w:val="auto"/>
          <w:sz w:val="22"/>
          <w:szCs w:val="22"/>
        </w:rPr>
        <w:t>t</w:t>
      </w:r>
      <w:r w:rsidR="00C400EE" w:rsidRPr="00C878B3">
        <w:rPr>
          <w:rFonts w:asciiTheme="minorHAnsi" w:hAnsiTheme="minorHAnsi" w:cstheme="minorHAnsi"/>
          <w:color w:val="auto"/>
          <w:sz w:val="22"/>
          <w:szCs w:val="22"/>
        </w:rPr>
        <w:t>he investment of contributions to the Scheme</w:t>
      </w:r>
    </w:p>
    <w:p w14:paraId="5634DBAD" w14:textId="7C4F3E5A" w:rsidR="00C400EE" w:rsidRPr="00C878B3" w:rsidRDefault="008A3FC3" w:rsidP="008A3FC3">
      <w:pPr>
        <w:pStyle w:val="Default"/>
        <w:numPr>
          <w:ilvl w:val="0"/>
          <w:numId w:val="39"/>
        </w:numPr>
        <w:spacing w:after="26"/>
        <w:ind w:left="426" w:hanging="426"/>
        <w:rPr>
          <w:rFonts w:asciiTheme="minorHAnsi" w:hAnsiTheme="minorHAnsi" w:cstheme="minorHAnsi"/>
          <w:color w:val="auto"/>
          <w:sz w:val="22"/>
          <w:szCs w:val="22"/>
        </w:rPr>
      </w:pPr>
      <w:r>
        <w:rPr>
          <w:rFonts w:asciiTheme="minorHAnsi" w:hAnsiTheme="minorHAnsi" w:cstheme="minorHAnsi"/>
          <w:color w:val="auto"/>
          <w:sz w:val="22"/>
          <w:szCs w:val="22"/>
        </w:rPr>
        <w:t>t</w:t>
      </w:r>
      <w:r w:rsidR="00C400EE" w:rsidRPr="00C878B3">
        <w:rPr>
          <w:rFonts w:asciiTheme="minorHAnsi" w:hAnsiTheme="minorHAnsi" w:cstheme="minorHAnsi"/>
          <w:color w:val="auto"/>
          <w:sz w:val="22"/>
          <w:szCs w:val="22"/>
        </w:rPr>
        <w:t xml:space="preserve">he transfer of assets relating to members into and out of the Scheme </w:t>
      </w:r>
    </w:p>
    <w:p w14:paraId="44DC6D4A" w14:textId="40FD0ED0" w:rsidR="00C400EE" w:rsidRPr="00C878B3" w:rsidRDefault="008A3FC3" w:rsidP="008A3FC3">
      <w:pPr>
        <w:pStyle w:val="Default"/>
        <w:numPr>
          <w:ilvl w:val="0"/>
          <w:numId w:val="39"/>
        </w:numPr>
        <w:spacing w:after="26"/>
        <w:ind w:left="426" w:hanging="426"/>
        <w:rPr>
          <w:rFonts w:asciiTheme="minorHAnsi" w:hAnsiTheme="minorHAnsi" w:cstheme="minorHAnsi"/>
          <w:color w:val="auto"/>
          <w:sz w:val="22"/>
          <w:szCs w:val="22"/>
        </w:rPr>
      </w:pPr>
      <w:r>
        <w:rPr>
          <w:rFonts w:asciiTheme="minorHAnsi" w:hAnsiTheme="minorHAnsi" w:cstheme="minorHAnsi"/>
          <w:color w:val="auto"/>
          <w:sz w:val="22"/>
          <w:szCs w:val="22"/>
        </w:rPr>
        <w:t>t</w:t>
      </w:r>
      <w:r w:rsidR="00C400EE" w:rsidRPr="00C878B3">
        <w:rPr>
          <w:rFonts w:asciiTheme="minorHAnsi" w:hAnsiTheme="minorHAnsi" w:cstheme="minorHAnsi"/>
          <w:color w:val="auto"/>
          <w:sz w:val="22"/>
          <w:szCs w:val="22"/>
        </w:rPr>
        <w:t>he transfer of assets relating to members between different investments within the Scheme</w:t>
      </w:r>
    </w:p>
    <w:p w14:paraId="210B0F9F" w14:textId="03661989" w:rsidR="00C400EE" w:rsidRPr="002F03EB" w:rsidRDefault="008A3FC3" w:rsidP="00C400EE">
      <w:pPr>
        <w:pStyle w:val="Default"/>
        <w:numPr>
          <w:ilvl w:val="0"/>
          <w:numId w:val="39"/>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p</w:t>
      </w:r>
      <w:r w:rsidR="00C400EE" w:rsidRPr="00C878B3">
        <w:rPr>
          <w:rFonts w:asciiTheme="minorHAnsi" w:hAnsiTheme="minorHAnsi" w:cstheme="minorHAnsi"/>
          <w:color w:val="auto"/>
          <w:sz w:val="22"/>
          <w:szCs w:val="22"/>
        </w:rPr>
        <w:t>ayments from the Scheme to, or in respect of, members</w:t>
      </w:r>
      <w:r>
        <w:rPr>
          <w:rFonts w:asciiTheme="minorHAnsi" w:hAnsiTheme="minorHAnsi" w:cstheme="minorHAnsi"/>
          <w:color w:val="auto"/>
          <w:sz w:val="22"/>
          <w:szCs w:val="22"/>
        </w:rPr>
        <w:t xml:space="preserve"> and other beneficiaries</w:t>
      </w:r>
      <w:r w:rsidR="00C400EE" w:rsidRPr="00C878B3">
        <w:rPr>
          <w:rFonts w:asciiTheme="minorHAnsi" w:hAnsiTheme="minorHAnsi" w:cstheme="minorHAnsi"/>
          <w:color w:val="auto"/>
          <w:sz w:val="22"/>
          <w:szCs w:val="22"/>
        </w:rPr>
        <w:t xml:space="preserve">. </w:t>
      </w:r>
    </w:p>
    <w:p w14:paraId="18276B73" w14:textId="77777777" w:rsidR="002F03EB" w:rsidRDefault="002F03EB" w:rsidP="008A3FC3">
      <w:pPr>
        <w:pStyle w:val="Default"/>
        <w:rPr>
          <w:rFonts w:asciiTheme="minorHAnsi" w:hAnsiTheme="minorHAnsi" w:cstheme="minorHAnsi"/>
          <w:color w:val="auto"/>
          <w:sz w:val="22"/>
          <w:szCs w:val="22"/>
        </w:rPr>
      </w:pPr>
    </w:p>
    <w:p w14:paraId="3499149F" w14:textId="75F258D3" w:rsidR="00C400EE" w:rsidRDefault="00201A59" w:rsidP="008A3FC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Over the year, contributions were not invested within the statutory timescales for some months. However, all contributions for 2020 have now been invested and the Trustees will consider how best to ensure there are no further delays. </w:t>
      </w:r>
      <w:r w:rsidR="00C400EE" w:rsidRPr="00C878B3">
        <w:rPr>
          <w:rFonts w:asciiTheme="minorHAnsi" w:hAnsiTheme="minorHAnsi" w:cstheme="minorHAnsi"/>
          <w:color w:val="auto"/>
          <w:sz w:val="22"/>
          <w:szCs w:val="22"/>
        </w:rPr>
        <w:t xml:space="preserve">The Trustees are satisfied that </w:t>
      </w:r>
      <w:r>
        <w:rPr>
          <w:rFonts w:asciiTheme="minorHAnsi" w:hAnsiTheme="minorHAnsi" w:cstheme="minorHAnsi"/>
          <w:color w:val="auto"/>
          <w:sz w:val="22"/>
          <w:szCs w:val="22"/>
        </w:rPr>
        <w:t>all o</w:t>
      </w:r>
      <w:r w:rsidR="00C400EE" w:rsidRPr="00C878B3">
        <w:rPr>
          <w:rFonts w:asciiTheme="minorHAnsi" w:hAnsiTheme="minorHAnsi" w:cstheme="minorHAnsi"/>
          <w:color w:val="auto"/>
          <w:sz w:val="22"/>
          <w:szCs w:val="22"/>
        </w:rPr>
        <w:t>the</w:t>
      </w:r>
      <w:r>
        <w:rPr>
          <w:rFonts w:asciiTheme="minorHAnsi" w:hAnsiTheme="minorHAnsi" w:cstheme="minorHAnsi"/>
          <w:color w:val="auto"/>
          <w:sz w:val="22"/>
          <w:szCs w:val="22"/>
        </w:rPr>
        <w:t>r</w:t>
      </w:r>
      <w:r w:rsidR="00C400EE" w:rsidRPr="00C878B3">
        <w:rPr>
          <w:rFonts w:asciiTheme="minorHAnsi" w:hAnsiTheme="minorHAnsi" w:cstheme="minorHAnsi"/>
          <w:color w:val="auto"/>
          <w:sz w:val="22"/>
          <w:szCs w:val="22"/>
        </w:rPr>
        <w:t xml:space="preserve"> core financial transactions have been processed promptly and accurately</w:t>
      </w:r>
      <w:r>
        <w:rPr>
          <w:rFonts w:asciiTheme="minorHAnsi" w:hAnsiTheme="minorHAnsi" w:cstheme="minorHAnsi"/>
          <w:color w:val="auto"/>
          <w:sz w:val="22"/>
          <w:szCs w:val="22"/>
        </w:rPr>
        <w:t xml:space="preserve">. </w:t>
      </w:r>
    </w:p>
    <w:p w14:paraId="21EED717" w14:textId="4D8C65CC" w:rsidR="00C400EE" w:rsidRPr="00C878B3" w:rsidRDefault="008A3FC3" w:rsidP="008A3FC3">
      <w:pPr>
        <w:pStyle w:val="Heading3"/>
      </w:pPr>
      <w:r>
        <w:t>Ch</w:t>
      </w:r>
      <w:r w:rsidR="00C400EE" w:rsidRPr="00C878B3">
        <w:t xml:space="preserve">arges and transaction costs </w:t>
      </w:r>
    </w:p>
    <w:p w14:paraId="169278A0" w14:textId="15A44AB8" w:rsidR="002C3B19" w:rsidRDefault="00F57C12"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Trustees are required to monitor the costs associated </w:t>
      </w:r>
      <w:r w:rsidR="005F6576">
        <w:rPr>
          <w:rFonts w:asciiTheme="minorHAnsi" w:hAnsiTheme="minorHAnsi" w:cstheme="minorHAnsi"/>
          <w:color w:val="auto"/>
          <w:sz w:val="22"/>
          <w:szCs w:val="22"/>
        </w:rPr>
        <w:t>with the Scheme, which are paid by members. These costs comprise the charges and transaction costs on the investment funds.</w:t>
      </w:r>
    </w:p>
    <w:p w14:paraId="5AD33BE0" w14:textId="74ACE1B4" w:rsidR="005F6576" w:rsidRDefault="005F6576" w:rsidP="00C400EE">
      <w:pPr>
        <w:pStyle w:val="Default"/>
        <w:rPr>
          <w:rFonts w:asciiTheme="minorHAnsi" w:hAnsiTheme="minorHAnsi" w:cstheme="minorHAnsi"/>
          <w:color w:val="auto"/>
          <w:sz w:val="22"/>
          <w:szCs w:val="22"/>
        </w:rPr>
      </w:pPr>
    </w:p>
    <w:p w14:paraId="275BB4B9" w14:textId="7450DFD0" w:rsidR="005F6576" w:rsidRDefault="005F6576"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Company currently meets all the administration, member communication and advisory costs associated with operating the Scheme.</w:t>
      </w:r>
    </w:p>
    <w:p w14:paraId="5DA71417" w14:textId="6DBA94FD" w:rsidR="005F6576" w:rsidRDefault="005F6576" w:rsidP="00C400EE">
      <w:pPr>
        <w:pStyle w:val="Default"/>
        <w:rPr>
          <w:rFonts w:asciiTheme="minorHAnsi" w:hAnsiTheme="minorHAnsi" w:cstheme="minorHAnsi"/>
          <w:color w:val="auto"/>
          <w:sz w:val="22"/>
          <w:szCs w:val="22"/>
        </w:rPr>
      </w:pPr>
    </w:p>
    <w:p w14:paraId="29F29790" w14:textId="5EABE5E5" w:rsidR="005F6576" w:rsidRDefault="005F6576"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Scheme p</w:t>
      </w:r>
      <w:r w:rsidR="003A44FC">
        <w:rPr>
          <w:rFonts w:asciiTheme="minorHAnsi" w:hAnsiTheme="minorHAnsi" w:cstheme="minorHAnsi"/>
          <w:color w:val="auto"/>
          <w:sz w:val="22"/>
          <w:szCs w:val="22"/>
        </w:rPr>
        <w:t>ublishes</w:t>
      </w:r>
      <w:r>
        <w:rPr>
          <w:rFonts w:asciiTheme="minorHAnsi" w:hAnsiTheme="minorHAnsi" w:cstheme="minorHAnsi"/>
          <w:color w:val="auto"/>
          <w:sz w:val="22"/>
          <w:szCs w:val="22"/>
        </w:rPr>
        <w:t xml:space="preserve"> details </w:t>
      </w:r>
      <w:r w:rsidR="003A44FC">
        <w:rPr>
          <w:rFonts w:asciiTheme="minorHAnsi" w:hAnsiTheme="minorHAnsi" w:cstheme="minorHAnsi"/>
          <w:color w:val="auto"/>
          <w:sz w:val="22"/>
          <w:szCs w:val="22"/>
        </w:rPr>
        <w:t>of the costs borne by members in two forms:</w:t>
      </w:r>
    </w:p>
    <w:p w14:paraId="039F689F" w14:textId="0541E09A" w:rsidR="003A44FC" w:rsidRDefault="003A44FC" w:rsidP="003A44FC">
      <w:pPr>
        <w:pStyle w:val="Default"/>
        <w:numPr>
          <w:ilvl w:val="0"/>
          <w:numId w:val="40"/>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the annual management charge (AMC) which is the fee applied by the investment manager for managing the funds</w:t>
      </w:r>
    </w:p>
    <w:p w14:paraId="4B5217E9" w14:textId="6CB505B0" w:rsidR="003A44FC" w:rsidRDefault="003A44FC" w:rsidP="003A44FC">
      <w:pPr>
        <w:pStyle w:val="Default"/>
        <w:numPr>
          <w:ilvl w:val="0"/>
          <w:numId w:val="40"/>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the total expense ratio (TER) which is made up of the AMC and additional fund expenses, such as custody costs, where applicable.</w:t>
      </w:r>
    </w:p>
    <w:p w14:paraId="6D83C0CF" w14:textId="77777777" w:rsidR="003A44FC" w:rsidRDefault="003A44FC" w:rsidP="003A44FC">
      <w:pPr>
        <w:pStyle w:val="Default"/>
        <w:ind w:left="720"/>
        <w:rPr>
          <w:rFonts w:asciiTheme="minorHAnsi" w:hAnsiTheme="minorHAnsi" w:cstheme="minorHAnsi"/>
          <w:color w:val="auto"/>
          <w:sz w:val="22"/>
          <w:szCs w:val="22"/>
        </w:rPr>
      </w:pPr>
    </w:p>
    <w:p w14:paraId="643BD221" w14:textId="1B55685B" w:rsidR="003A44FC" w:rsidRDefault="003A44FC" w:rsidP="003A44F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Charges are generally higher for actively managed funds than for </w:t>
      </w:r>
      <w:r w:rsidR="00E8562F">
        <w:rPr>
          <w:rFonts w:asciiTheme="minorHAnsi" w:hAnsiTheme="minorHAnsi" w:cstheme="minorHAnsi"/>
          <w:color w:val="auto"/>
          <w:sz w:val="22"/>
          <w:szCs w:val="22"/>
        </w:rPr>
        <w:t>index (</w:t>
      </w:r>
      <w:r>
        <w:rPr>
          <w:rFonts w:asciiTheme="minorHAnsi" w:hAnsiTheme="minorHAnsi" w:cstheme="minorHAnsi"/>
          <w:color w:val="auto"/>
          <w:sz w:val="22"/>
          <w:szCs w:val="22"/>
        </w:rPr>
        <w:t>passive</w:t>
      </w:r>
      <w:r w:rsidR="00E8562F">
        <w:rPr>
          <w:rFonts w:asciiTheme="minorHAnsi" w:hAnsiTheme="minorHAnsi" w:cstheme="minorHAnsi"/>
          <w:color w:val="auto"/>
          <w:sz w:val="22"/>
          <w:szCs w:val="22"/>
        </w:rPr>
        <w:t>)</w:t>
      </w:r>
      <w:r>
        <w:rPr>
          <w:rFonts w:asciiTheme="minorHAnsi" w:hAnsiTheme="minorHAnsi" w:cstheme="minorHAnsi"/>
          <w:color w:val="auto"/>
          <w:sz w:val="22"/>
          <w:szCs w:val="22"/>
        </w:rPr>
        <w:t xml:space="preserve"> funds.</w:t>
      </w:r>
    </w:p>
    <w:p w14:paraId="4F6ED794" w14:textId="77777777" w:rsidR="002C3B19" w:rsidRDefault="002C3B19" w:rsidP="00C400EE">
      <w:pPr>
        <w:pStyle w:val="Default"/>
        <w:rPr>
          <w:rFonts w:asciiTheme="minorHAnsi" w:hAnsiTheme="minorHAnsi" w:cstheme="minorHAnsi"/>
          <w:color w:val="auto"/>
          <w:sz w:val="22"/>
          <w:szCs w:val="22"/>
        </w:rPr>
      </w:pPr>
    </w:p>
    <w:p w14:paraId="46DA1846" w14:textId="7A9F9F91" w:rsidR="002C3B19" w:rsidRDefault="003A44FC"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The Scheme complies with the regulations on charge controls that were introduced from April 2015. Specifically, the annual charges for funds in the Scheme’s default investment arrangement over 2020 </w:t>
      </w:r>
      <w:r w:rsidR="001D6D83">
        <w:rPr>
          <w:rFonts w:asciiTheme="minorHAnsi" w:hAnsiTheme="minorHAnsi" w:cstheme="minorHAnsi"/>
          <w:color w:val="auto"/>
          <w:sz w:val="22"/>
          <w:szCs w:val="22"/>
        </w:rPr>
        <w:t xml:space="preserve">are </w:t>
      </w:r>
      <w:r w:rsidR="00631051">
        <w:rPr>
          <w:rFonts w:asciiTheme="minorHAnsi" w:hAnsiTheme="minorHAnsi" w:cstheme="minorHAnsi"/>
          <w:color w:val="auto"/>
          <w:sz w:val="22"/>
          <w:szCs w:val="22"/>
        </w:rPr>
        <w:t xml:space="preserve">well within </w:t>
      </w:r>
      <w:r>
        <w:rPr>
          <w:rFonts w:asciiTheme="minorHAnsi" w:hAnsiTheme="minorHAnsi" w:cstheme="minorHAnsi"/>
          <w:color w:val="auto"/>
          <w:sz w:val="22"/>
          <w:szCs w:val="22"/>
        </w:rPr>
        <w:t>the ‘charge cap’ of 0.75% of the value of those funds.</w:t>
      </w:r>
    </w:p>
    <w:p w14:paraId="6661916D" w14:textId="2E7EEE2A" w:rsidR="00BF327C" w:rsidRDefault="00BF327C" w:rsidP="00C400EE">
      <w:pPr>
        <w:pStyle w:val="Default"/>
        <w:rPr>
          <w:rFonts w:asciiTheme="minorHAnsi" w:hAnsiTheme="minorHAnsi" w:cstheme="minorHAnsi"/>
          <w:color w:val="auto"/>
          <w:sz w:val="22"/>
          <w:szCs w:val="22"/>
        </w:rPr>
      </w:pPr>
    </w:p>
    <w:p w14:paraId="568393C1" w14:textId="5483ADD6" w:rsidR="00BF327C" w:rsidRDefault="00BF327C"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Charges over 2020 were as follows:</w:t>
      </w:r>
    </w:p>
    <w:p w14:paraId="7426361E" w14:textId="00243728" w:rsidR="002C3B19" w:rsidRPr="00BF327C" w:rsidRDefault="002C3B19" w:rsidP="00BF327C">
      <w:pPr>
        <w:pStyle w:val="Default"/>
        <w:jc w:val="right"/>
        <w:rPr>
          <w:rFonts w:asciiTheme="minorHAnsi" w:hAnsiTheme="minorHAnsi" w:cstheme="minorHAnsi"/>
          <w:color w:val="auto"/>
          <w:sz w:val="18"/>
          <w:szCs w:val="22"/>
        </w:rPr>
      </w:pPr>
    </w:p>
    <w:tbl>
      <w:tblPr>
        <w:tblStyle w:val="QuantumBandedTable"/>
        <w:tblW w:w="9348" w:type="dxa"/>
        <w:tblLook w:val="04A0" w:firstRow="1" w:lastRow="0" w:firstColumn="1" w:lastColumn="0" w:noHBand="0" w:noVBand="1"/>
      </w:tblPr>
      <w:tblGrid>
        <w:gridCol w:w="4387"/>
        <w:gridCol w:w="2551"/>
        <w:gridCol w:w="2410"/>
      </w:tblGrid>
      <w:tr w:rsidR="00BF327C" w14:paraId="3D025809" w14:textId="77777777" w:rsidTr="00F37B13">
        <w:trPr>
          <w:cnfStyle w:val="100000000000" w:firstRow="1" w:lastRow="0" w:firstColumn="0" w:lastColumn="0" w:oddVBand="0" w:evenVBand="0" w:oddHBand="0" w:evenHBand="0" w:firstRowFirstColumn="0" w:firstRowLastColumn="0" w:lastRowFirstColumn="0" w:lastRowLastColumn="0"/>
          <w:trHeight w:val="294"/>
        </w:trPr>
        <w:tc>
          <w:tcPr>
            <w:tcW w:w="4387" w:type="dxa"/>
          </w:tcPr>
          <w:p w14:paraId="3871AE3B" w14:textId="463AEC39" w:rsidR="00BF327C" w:rsidRDefault="00BF327C" w:rsidP="009D116D">
            <w:pPr>
              <w:spacing w:after="40"/>
            </w:pPr>
            <w:r>
              <w:t>Fund</w:t>
            </w:r>
          </w:p>
        </w:tc>
        <w:tc>
          <w:tcPr>
            <w:tcW w:w="2551" w:type="dxa"/>
            <w:hideMark/>
          </w:tcPr>
          <w:p w14:paraId="7C35D1FD" w14:textId="2B147145" w:rsidR="00BF327C" w:rsidRDefault="00E8562F" w:rsidP="009D116D">
            <w:pPr>
              <w:spacing w:after="40"/>
              <w:jc w:val="center"/>
              <w:rPr>
                <w:rFonts w:eastAsiaTheme="minorHAnsi"/>
                <w:szCs w:val="22"/>
              </w:rPr>
            </w:pPr>
            <w:r>
              <w:t>AMC</w:t>
            </w:r>
          </w:p>
        </w:tc>
        <w:tc>
          <w:tcPr>
            <w:tcW w:w="2410" w:type="dxa"/>
            <w:hideMark/>
          </w:tcPr>
          <w:p w14:paraId="37C5DED5" w14:textId="0DCF6FD1" w:rsidR="00BF327C" w:rsidRDefault="00BF327C" w:rsidP="009D116D">
            <w:pPr>
              <w:spacing w:after="40"/>
              <w:jc w:val="center"/>
              <w:rPr>
                <w:rFonts w:eastAsiaTheme="minorHAnsi"/>
                <w:szCs w:val="22"/>
              </w:rPr>
            </w:pPr>
            <w:r>
              <w:t>TER</w:t>
            </w:r>
          </w:p>
        </w:tc>
      </w:tr>
      <w:tr w:rsidR="00BF327C" w:rsidRPr="005A0F81" w14:paraId="0A9A00F5" w14:textId="77777777" w:rsidTr="00F37B13">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1DF83620" w14:textId="43A4EA0D" w:rsidR="00BF327C" w:rsidRPr="005A0F81" w:rsidRDefault="00E8562F" w:rsidP="009D116D">
            <w:pPr>
              <w:tabs>
                <w:tab w:val="left" w:pos="4820"/>
              </w:tabs>
              <w:spacing w:after="40"/>
              <w:rPr>
                <w:szCs w:val="22"/>
              </w:rPr>
            </w:pPr>
            <w:r>
              <w:rPr>
                <w:szCs w:val="22"/>
              </w:rPr>
              <w:t xml:space="preserve">LGIM </w:t>
            </w:r>
            <w:r w:rsidR="00631051">
              <w:rPr>
                <w:szCs w:val="22"/>
              </w:rPr>
              <w:t>Global Equity Fixed Weights 60:40 Index</w:t>
            </w:r>
          </w:p>
        </w:tc>
        <w:tc>
          <w:tcPr>
            <w:tcW w:w="2551" w:type="dxa"/>
          </w:tcPr>
          <w:p w14:paraId="56412FD5" w14:textId="74B89CD8" w:rsidR="00BF327C" w:rsidRPr="00B01E72" w:rsidRDefault="00E8562F" w:rsidP="009D116D">
            <w:pPr>
              <w:tabs>
                <w:tab w:val="left" w:pos="4820"/>
              </w:tabs>
              <w:spacing w:after="40"/>
              <w:jc w:val="center"/>
              <w:rPr>
                <w:szCs w:val="22"/>
              </w:rPr>
            </w:pPr>
            <w:r w:rsidRPr="00B01E72">
              <w:rPr>
                <w:szCs w:val="22"/>
              </w:rPr>
              <w:t>0.</w:t>
            </w:r>
            <w:r w:rsidR="00631051">
              <w:rPr>
                <w:szCs w:val="22"/>
              </w:rPr>
              <w:t>16</w:t>
            </w:r>
            <w:r w:rsidRPr="00B01E72">
              <w:rPr>
                <w:szCs w:val="22"/>
              </w:rPr>
              <w:t>%</w:t>
            </w:r>
          </w:p>
        </w:tc>
        <w:tc>
          <w:tcPr>
            <w:tcW w:w="2410" w:type="dxa"/>
          </w:tcPr>
          <w:p w14:paraId="1DD4DFCA" w14:textId="077225BB" w:rsidR="00BF327C" w:rsidRPr="00B01E72" w:rsidRDefault="00E8562F" w:rsidP="009D116D">
            <w:pPr>
              <w:spacing w:after="40"/>
              <w:jc w:val="center"/>
              <w:rPr>
                <w:szCs w:val="22"/>
              </w:rPr>
            </w:pPr>
            <w:r w:rsidRPr="00B01E72">
              <w:rPr>
                <w:szCs w:val="22"/>
              </w:rPr>
              <w:t>0.</w:t>
            </w:r>
            <w:r w:rsidR="00631051">
              <w:rPr>
                <w:szCs w:val="22"/>
              </w:rPr>
              <w:t>19</w:t>
            </w:r>
            <w:r w:rsidRPr="00B01E72">
              <w:rPr>
                <w:szCs w:val="22"/>
              </w:rPr>
              <w:t>%</w:t>
            </w:r>
          </w:p>
        </w:tc>
      </w:tr>
      <w:tr w:rsidR="00BF327C" w:rsidRPr="005A0F81" w14:paraId="0899A667" w14:textId="77777777" w:rsidTr="00F37B13">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51236FCD" w14:textId="15AFCBD3" w:rsidR="00BF327C" w:rsidRPr="005A0F81" w:rsidRDefault="00E8562F" w:rsidP="009D116D">
            <w:pPr>
              <w:tabs>
                <w:tab w:val="left" w:pos="4820"/>
              </w:tabs>
              <w:spacing w:after="40"/>
              <w:rPr>
                <w:szCs w:val="22"/>
              </w:rPr>
            </w:pPr>
            <w:r>
              <w:rPr>
                <w:szCs w:val="22"/>
              </w:rPr>
              <w:t>LGIM</w:t>
            </w:r>
            <w:r w:rsidR="00631051">
              <w:rPr>
                <w:szCs w:val="22"/>
              </w:rPr>
              <w:t xml:space="preserve"> Pre-Retirement</w:t>
            </w:r>
          </w:p>
        </w:tc>
        <w:tc>
          <w:tcPr>
            <w:tcW w:w="2551" w:type="dxa"/>
          </w:tcPr>
          <w:p w14:paraId="5784D92C" w14:textId="07A3E7D2" w:rsidR="00BF327C" w:rsidRPr="00B01E72" w:rsidRDefault="00E8562F" w:rsidP="009D116D">
            <w:pPr>
              <w:tabs>
                <w:tab w:val="left" w:pos="4820"/>
              </w:tabs>
              <w:spacing w:after="40"/>
              <w:jc w:val="center"/>
              <w:rPr>
                <w:szCs w:val="22"/>
              </w:rPr>
            </w:pPr>
            <w:r w:rsidRPr="00B01E72">
              <w:rPr>
                <w:szCs w:val="22"/>
              </w:rPr>
              <w:t>0.</w:t>
            </w:r>
            <w:r w:rsidR="00631051">
              <w:rPr>
                <w:szCs w:val="22"/>
              </w:rPr>
              <w:t>15</w:t>
            </w:r>
            <w:r w:rsidRPr="00B01E72">
              <w:rPr>
                <w:szCs w:val="22"/>
              </w:rPr>
              <w:t>%</w:t>
            </w:r>
          </w:p>
        </w:tc>
        <w:tc>
          <w:tcPr>
            <w:tcW w:w="2410" w:type="dxa"/>
          </w:tcPr>
          <w:p w14:paraId="1E8C54B0" w14:textId="7D630217" w:rsidR="00BF327C" w:rsidRPr="00B01E72" w:rsidRDefault="00E8562F" w:rsidP="009D116D">
            <w:pPr>
              <w:spacing w:after="40"/>
              <w:jc w:val="center"/>
              <w:rPr>
                <w:szCs w:val="22"/>
              </w:rPr>
            </w:pPr>
            <w:r w:rsidRPr="00B01E72">
              <w:rPr>
                <w:szCs w:val="22"/>
              </w:rPr>
              <w:t>0.</w:t>
            </w:r>
            <w:r w:rsidR="00631051">
              <w:rPr>
                <w:szCs w:val="22"/>
              </w:rPr>
              <w:t>15</w:t>
            </w:r>
            <w:r w:rsidRPr="00B01E72">
              <w:rPr>
                <w:szCs w:val="22"/>
              </w:rPr>
              <w:t>%</w:t>
            </w:r>
          </w:p>
        </w:tc>
      </w:tr>
      <w:tr w:rsidR="00BF327C" w:rsidRPr="005A0F81" w14:paraId="318CD40A" w14:textId="77777777" w:rsidTr="00F37B13">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09917551" w14:textId="4DE22D3D" w:rsidR="00BF327C" w:rsidRPr="005A0F81" w:rsidRDefault="00E8562F" w:rsidP="009D116D">
            <w:pPr>
              <w:tabs>
                <w:tab w:val="left" w:pos="4820"/>
              </w:tabs>
              <w:spacing w:after="40"/>
              <w:rPr>
                <w:szCs w:val="22"/>
              </w:rPr>
            </w:pPr>
            <w:r>
              <w:rPr>
                <w:szCs w:val="22"/>
              </w:rPr>
              <w:t xml:space="preserve">LGIM </w:t>
            </w:r>
            <w:r w:rsidR="00631051">
              <w:rPr>
                <w:szCs w:val="22"/>
              </w:rPr>
              <w:t>Cash</w:t>
            </w:r>
          </w:p>
        </w:tc>
        <w:tc>
          <w:tcPr>
            <w:tcW w:w="2551" w:type="dxa"/>
          </w:tcPr>
          <w:p w14:paraId="2C4E6B3C" w14:textId="5A2AF7C5" w:rsidR="00BF327C" w:rsidRPr="00B01E72" w:rsidRDefault="00E8562F" w:rsidP="009D116D">
            <w:pPr>
              <w:tabs>
                <w:tab w:val="left" w:pos="4820"/>
              </w:tabs>
              <w:spacing w:after="40"/>
              <w:jc w:val="center"/>
              <w:rPr>
                <w:szCs w:val="22"/>
              </w:rPr>
            </w:pPr>
            <w:r w:rsidRPr="00B01E72">
              <w:rPr>
                <w:szCs w:val="22"/>
              </w:rPr>
              <w:t>0.</w:t>
            </w:r>
            <w:r w:rsidR="00AE25AA">
              <w:rPr>
                <w:szCs w:val="22"/>
              </w:rPr>
              <w:t>13</w:t>
            </w:r>
            <w:r w:rsidRPr="00B01E72">
              <w:rPr>
                <w:szCs w:val="22"/>
              </w:rPr>
              <w:t>%</w:t>
            </w:r>
          </w:p>
        </w:tc>
        <w:tc>
          <w:tcPr>
            <w:tcW w:w="2410" w:type="dxa"/>
          </w:tcPr>
          <w:p w14:paraId="5774A939" w14:textId="4EE84071" w:rsidR="00BF327C" w:rsidRPr="00B01E72" w:rsidRDefault="00E8562F" w:rsidP="009D116D">
            <w:pPr>
              <w:spacing w:after="40"/>
              <w:jc w:val="center"/>
              <w:rPr>
                <w:szCs w:val="22"/>
              </w:rPr>
            </w:pPr>
            <w:r w:rsidRPr="00B01E72">
              <w:rPr>
                <w:szCs w:val="22"/>
              </w:rPr>
              <w:t>0.</w:t>
            </w:r>
            <w:r w:rsidR="00AE25AA">
              <w:rPr>
                <w:szCs w:val="22"/>
              </w:rPr>
              <w:t>13</w:t>
            </w:r>
            <w:r w:rsidRPr="00B01E72">
              <w:rPr>
                <w:szCs w:val="22"/>
              </w:rPr>
              <w:t>%</w:t>
            </w:r>
          </w:p>
        </w:tc>
      </w:tr>
      <w:tr w:rsidR="003A4505" w:rsidRPr="005A0F81" w14:paraId="76A9BF18" w14:textId="77777777" w:rsidTr="00F37B13">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6794FBFD" w14:textId="20F3560C" w:rsidR="003A4505" w:rsidRDefault="003A4505" w:rsidP="009D116D">
            <w:pPr>
              <w:tabs>
                <w:tab w:val="left" w:pos="4820"/>
              </w:tabs>
              <w:spacing w:after="40"/>
              <w:rPr>
                <w:szCs w:val="22"/>
              </w:rPr>
            </w:pPr>
            <w:r>
              <w:rPr>
                <w:szCs w:val="22"/>
              </w:rPr>
              <w:t>Newton UK Income</w:t>
            </w:r>
          </w:p>
        </w:tc>
        <w:tc>
          <w:tcPr>
            <w:tcW w:w="2551" w:type="dxa"/>
          </w:tcPr>
          <w:p w14:paraId="5994197C" w14:textId="6A432853" w:rsidR="003A4505" w:rsidRPr="005E2FA9" w:rsidRDefault="003A4505" w:rsidP="009D116D">
            <w:pPr>
              <w:tabs>
                <w:tab w:val="left" w:pos="4820"/>
              </w:tabs>
              <w:spacing w:after="40"/>
              <w:jc w:val="center"/>
              <w:rPr>
                <w:szCs w:val="22"/>
              </w:rPr>
            </w:pPr>
            <w:r w:rsidRPr="005E2FA9">
              <w:rPr>
                <w:szCs w:val="22"/>
              </w:rPr>
              <w:t>0.50%</w:t>
            </w:r>
          </w:p>
        </w:tc>
        <w:tc>
          <w:tcPr>
            <w:tcW w:w="2410" w:type="dxa"/>
          </w:tcPr>
          <w:p w14:paraId="21A29E90" w14:textId="247356BC" w:rsidR="003A4505" w:rsidRPr="005E2FA9" w:rsidRDefault="003A4505" w:rsidP="009D116D">
            <w:pPr>
              <w:spacing w:after="40"/>
              <w:jc w:val="center"/>
              <w:rPr>
                <w:szCs w:val="22"/>
              </w:rPr>
            </w:pPr>
            <w:r w:rsidRPr="005E2FA9">
              <w:rPr>
                <w:szCs w:val="22"/>
              </w:rPr>
              <w:t>0.54%</w:t>
            </w:r>
          </w:p>
        </w:tc>
      </w:tr>
      <w:tr w:rsidR="003A4505" w:rsidRPr="005A0F81" w14:paraId="37BC65BC" w14:textId="77777777" w:rsidTr="00F37B13">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2326C170" w14:textId="431C31D8" w:rsidR="003A4505" w:rsidRDefault="003A4505" w:rsidP="009D116D">
            <w:pPr>
              <w:tabs>
                <w:tab w:val="left" w:pos="4820"/>
              </w:tabs>
              <w:spacing w:after="40"/>
              <w:rPr>
                <w:szCs w:val="22"/>
              </w:rPr>
            </w:pPr>
            <w:r>
              <w:rPr>
                <w:szCs w:val="22"/>
              </w:rPr>
              <w:t>Newton Multi Asset Global Balanced</w:t>
            </w:r>
          </w:p>
        </w:tc>
        <w:tc>
          <w:tcPr>
            <w:tcW w:w="2551" w:type="dxa"/>
          </w:tcPr>
          <w:p w14:paraId="20D7ABBF" w14:textId="48864F28" w:rsidR="003A4505" w:rsidRPr="005E2FA9" w:rsidRDefault="003A4505" w:rsidP="009D116D">
            <w:pPr>
              <w:tabs>
                <w:tab w:val="left" w:pos="4820"/>
              </w:tabs>
              <w:spacing w:after="40"/>
              <w:jc w:val="center"/>
              <w:rPr>
                <w:szCs w:val="22"/>
              </w:rPr>
            </w:pPr>
            <w:r w:rsidRPr="005E2FA9">
              <w:rPr>
                <w:szCs w:val="22"/>
              </w:rPr>
              <w:t>0.45%</w:t>
            </w:r>
          </w:p>
        </w:tc>
        <w:tc>
          <w:tcPr>
            <w:tcW w:w="2410" w:type="dxa"/>
          </w:tcPr>
          <w:p w14:paraId="0CE491DC" w14:textId="0D861BE9" w:rsidR="003A4505" w:rsidRPr="005E2FA9" w:rsidRDefault="003A4505" w:rsidP="009D116D">
            <w:pPr>
              <w:spacing w:after="40"/>
              <w:jc w:val="center"/>
              <w:rPr>
                <w:szCs w:val="22"/>
              </w:rPr>
            </w:pPr>
            <w:r w:rsidRPr="005E2FA9">
              <w:rPr>
                <w:szCs w:val="22"/>
              </w:rPr>
              <w:t>0.50%</w:t>
            </w:r>
          </w:p>
        </w:tc>
      </w:tr>
      <w:tr w:rsidR="003A4505" w:rsidRPr="005A0F81" w14:paraId="5F0D7335" w14:textId="77777777" w:rsidTr="00F37B13">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66E6F072" w14:textId="6491F1D8" w:rsidR="003A4505" w:rsidRPr="005E2FA9" w:rsidRDefault="003A4505" w:rsidP="009D116D">
            <w:pPr>
              <w:tabs>
                <w:tab w:val="left" w:pos="4820"/>
              </w:tabs>
              <w:spacing w:after="40"/>
              <w:rPr>
                <w:szCs w:val="22"/>
              </w:rPr>
            </w:pPr>
            <w:r w:rsidRPr="005E2FA9">
              <w:rPr>
                <w:szCs w:val="22"/>
              </w:rPr>
              <w:t>Newton Long Gilt</w:t>
            </w:r>
          </w:p>
        </w:tc>
        <w:tc>
          <w:tcPr>
            <w:tcW w:w="2551" w:type="dxa"/>
          </w:tcPr>
          <w:p w14:paraId="44A3435E" w14:textId="26517777" w:rsidR="003A4505" w:rsidRPr="005E2FA9" w:rsidRDefault="003A4505" w:rsidP="009D116D">
            <w:pPr>
              <w:tabs>
                <w:tab w:val="left" w:pos="4820"/>
              </w:tabs>
              <w:spacing w:after="40"/>
              <w:jc w:val="center"/>
              <w:rPr>
                <w:szCs w:val="22"/>
              </w:rPr>
            </w:pPr>
            <w:r w:rsidRPr="005E2FA9">
              <w:rPr>
                <w:szCs w:val="22"/>
              </w:rPr>
              <w:t>0.20%</w:t>
            </w:r>
          </w:p>
        </w:tc>
        <w:tc>
          <w:tcPr>
            <w:tcW w:w="2410" w:type="dxa"/>
          </w:tcPr>
          <w:p w14:paraId="465C53F3" w14:textId="143DABE7" w:rsidR="003A4505" w:rsidRPr="005E2FA9" w:rsidRDefault="003A4505" w:rsidP="009D116D">
            <w:pPr>
              <w:spacing w:after="40"/>
              <w:jc w:val="center"/>
              <w:rPr>
                <w:szCs w:val="22"/>
              </w:rPr>
            </w:pPr>
            <w:r w:rsidRPr="005E2FA9">
              <w:rPr>
                <w:szCs w:val="22"/>
              </w:rPr>
              <w:t>0.</w:t>
            </w:r>
            <w:r w:rsidR="005E2FA9" w:rsidRPr="005E2FA9">
              <w:rPr>
                <w:szCs w:val="22"/>
              </w:rPr>
              <w:t>28</w:t>
            </w:r>
            <w:r w:rsidRPr="005E2FA9">
              <w:rPr>
                <w:szCs w:val="22"/>
              </w:rPr>
              <w:t>%</w:t>
            </w:r>
          </w:p>
        </w:tc>
      </w:tr>
      <w:tr w:rsidR="003A4505" w:rsidRPr="005A0F81" w14:paraId="3DF93E57" w14:textId="77777777" w:rsidTr="00F37B13">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14099E9A" w14:textId="718FFA26" w:rsidR="003A4505" w:rsidRDefault="003A4505" w:rsidP="009D116D">
            <w:pPr>
              <w:tabs>
                <w:tab w:val="left" w:pos="4820"/>
              </w:tabs>
              <w:spacing w:after="40"/>
              <w:rPr>
                <w:szCs w:val="22"/>
              </w:rPr>
            </w:pPr>
            <w:r>
              <w:rPr>
                <w:szCs w:val="22"/>
              </w:rPr>
              <w:t>Newton Long Corporate Bond</w:t>
            </w:r>
          </w:p>
        </w:tc>
        <w:tc>
          <w:tcPr>
            <w:tcW w:w="2551" w:type="dxa"/>
          </w:tcPr>
          <w:p w14:paraId="5016240E" w14:textId="18A1AEB2" w:rsidR="003A4505" w:rsidRPr="005E2FA9" w:rsidRDefault="003A4505" w:rsidP="009D116D">
            <w:pPr>
              <w:tabs>
                <w:tab w:val="left" w:pos="4820"/>
              </w:tabs>
              <w:spacing w:after="40"/>
              <w:jc w:val="center"/>
              <w:rPr>
                <w:szCs w:val="22"/>
              </w:rPr>
            </w:pPr>
            <w:r w:rsidRPr="005E2FA9">
              <w:rPr>
                <w:szCs w:val="22"/>
              </w:rPr>
              <w:t>0.20%</w:t>
            </w:r>
          </w:p>
        </w:tc>
        <w:tc>
          <w:tcPr>
            <w:tcW w:w="2410" w:type="dxa"/>
          </w:tcPr>
          <w:p w14:paraId="7C720A12" w14:textId="05553DD4" w:rsidR="003A4505" w:rsidRPr="005E2FA9" w:rsidRDefault="003A4505" w:rsidP="009D116D">
            <w:pPr>
              <w:spacing w:after="40"/>
              <w:jc w:val="center"/>
              <w:rPr>
                <w:szCs w:val="22"/>
              </w:rPr>
            </w:pPr>
            <w:r w:rsidRPr="005E2FA9">
              <w:rPr>
                <w:szCs w:val="22"/>
              </w:rPr>
              <w:t>0.3</w:t>
            </w:r>
            <w:r w:rsidR="005E2FA9" w:rsidRPr="005E2FA9">
              <w:rPr>
                <w:szCs w:val="22"/>
              </w:rPr>
              <w:t>0</w:t>
            </w:r>
            <w:r w:rsidRPr="005E2FA9">
              <w:rPr>
                <w:szCs w:val="22"/>
              </w:rPr>
              <w:t>%</w:t>
            </w:r>
          </w:p>
        </w:tc>
      </w:tr>
      <w:tr w:rsidR="003A4505" w:rsidRPr="005A0F81" w14:paraId="070AD253" w14:textId="77777777" w:rsidTr="00F37B13">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42CDD887" w14:textId="01C03AF5" w:rsidR="003A4505" w:rsidRDefault="003A4505" w:rsidP="009D116D">
            <w:pPr>
              <w:tabs>
                <w:tab w:val="left" w:pos="4820"/>
              </w:tabs>
              <w:spacing w:after="40"/>
              <w:rPr>
                <w:szCs w:val="22"/>
              </w:rPr>
            </w:pPr>
            <w:r>
              <w:rPr>
                <w:szCs w:val="22"/>
              </w:rPr>
              <w:t>Newton Continental Europe</w:t>
            </w:r>
          </w:p>
        </w:tc>
        <w:tc>
          <w:tcPr>
            <w:tcW w:w="2551" w:type="dxa"/>
          </w:tcPr>
          <w:p w14:paraId="6DF897E5" w14:textId="55835FD4" w:rsidR="003A4505" w:rsidRPr="005E2FA9" w:rsidRDefault="003A4505" w:rsidP="009D116D">
            <w:pPr>
              <w:tabs>
                <w:tab w:val="left" w:pos="4820"/>
              </w:tabs>
              <w:spacing w:after="40"/>
              <w:jc w:val="center"/>
              <w:rPr>
                <w:szCs w:val="22"/>
              </w:rPr>
            </w:pPr>
            <w:r w:rsidRPr="005E2FA9">
              <w:rPr>
                <w:szCs w:val="22"/>
              </w:rPr>
              <w:t>0.50%</w:t>
            </w:r>
          </w:p>
        </w:tc>
        <w:tc>
          <w:tcPr>
            <w:tcW w:w="2410" w:type="dxa"/>
          </w:tcPr>
          <w:p w14:paraId="74E818C2" w14:textId="34EAB200" w:rsidR="003A4505" w:rsidRPr="005E2FA9" w:rsidRDefault="003A4505" w:rsidP="009D116D">
            <w:pPr>
              <w:spacing w:after="40"/>
              <w:jc w:val="center"/>
              <w:rPr>
                <w:szCs w:val="22"/>
              </w:rPr>
            </w:pPr>
            <w:r w:rsidRPr="005E2FA9">
              <w:rPr>
                <w:szCs w:val="22"/>
              </w:rPr>
              <w:t>0.5</w:t>
            </w:r>
            <w:r w:rsidR="005E2FA9" w:rsidRPr="005E2FA9">
              <w:rPr>
                <w:szCs w:val="22"/>
              </w:rPr>
              <w:t>8</w:t>
            </w:r>
            <w:r w:rsidRPr="005E2FA9">
              <w:rPr>
                <w:szCs w:val="22"/>
              </w:rPr>
              <w:t>%</w:t>
            </w:r>
          </w:p>
        </w:tc>
      </w:tr>
      <w:tr w:rsidR="003A4505" w:rsidRPr="005A0F81" w14:paraId="24316C40" w14:textId="77777777" w:rsidTr="00F37B13">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125C0C89" w14:textId="088123AB" w:rsidR="003A4505" w:rsidRDefault="003A4505" w:rsidP="009D116D">
            <w:pPr>
              <w:tabs>
                <w:tab w:val="left" w:pos="4820"/>
              </w:tabs>
              <w:spacing w:after="40"/>
              <w:rPr>
                <w:szCs w:val="22"/>
              </w:rPr>
            </w:pPr>
            <w:r>
              <w:rPr>
                <w:szCs w:val="22"/>
              </w:rPr>
              <w:t>Newton UK Equity</w:t>
            </w:r>
          </w:p>
        </w:tc>
        <w:tc>
          <w:tcPr>
            <w:tcW w:w="2551" w:type="dxa"/>
          </w:tcPr>
          <w:p w14:paraId="70599CCA" w14:textId="52242364" w:rsidR="003A4505" w:rsidRPr="005E2FA9" w:rsidRDefault="003A4505" w:rsidP="009D116D">
            <w:pPr>
              <w:tabs>
                <w:tab w:val="left" w:pos="4820"/>
              </w:tabs>
              <w:spacing w:after="40"/>
              <w:jc w:val="center"/>
              <w:rPr>
                <w:szCs w:val="22"/>
              </w:rPr>
            </w:pPr>
            <w:r w:rsidRPr="005E2FA9">
              <w:rPr>
                <w:szCs w:val="22"/>
              </w:rPr>
              <w:t>0.50%</w:t>
            </w:r>
          </w:p>
        </w:tc>
        <w:tc>
          <w:tcPr>
            <w:tcW w:w="2410" w:type="dxa"/>
          </w:tcPr>
          <w:p w14:paraId="38E0D3FD" w14:textId="52F3A677" w:rsidR="003A4505" w:rsidRPr="005E2FA9" w:rsidRDefault="003A4505" w:rsidP="009D116D">
            <w:pPr>
              <w:spacing w:after="40"/>
              <w:jc w:val="center"/>
              <w:rPr>
                <w:szCs w:val="22"/>
              </w:rPr>
            </w:pPr>
            <w:r w:rsidRPr="005E2FA9">
              <w:rPr>
                <w:szCs w:val="22"/>
              </w:rPr>
              <w:t>0.54%</w:t>
            </w:r>
          </w:p>
        </w:tc>
      </w:tr>
      <w:tr w:rsidR="003A4505" w:rsidRPr="005A0F81" w14:paraId="0AA43EE1" w14:textId="77777777" w:rsidTr="00F37B13">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7B173CF3" w14:textId="3082BF45" w:rsidR="003A4505" w:rsidRDefault="003A4505" w:rsidP="009D116D">
            <w:pPr>
              <w:tabs>
                <w:tab w:val="left" w:pos="4820"/>
              </w:tabs>
              <w:spacing w:after="40"/>
              <w:rPr>
                <w:szCs w:val="22"/>
              </w:rPr>
            </w:pPr>
            <w:r>
              <w:rPr>
                <w:szCs w:val="22"/>
              </w:rPr>
              <w:t>Newton Oriental</w:t>
            </w:r>
          </w:p>
        </w:tc>
        <w:tc>
          <w:tcPr>
            <w:tcW w:w="2551" w:type="dxa"/>
          </w:tcPr>
          <w:p w14:paraId="458A2865" w14:textId="72A58A82" w:rsidR="003A4505" w:rsidRPr="005E2FA9" w:rsidRDefault="003A4505" w:rsidP="009D116D">
            <w:pPr>
              <w:tabs>
                <w:tab w:val="left" w:pos="4820"/>
              </w:tabs>
              <w:spacing w:after="40"/>
              <w:jc w:val="center"/>
              <w:rPr>
                <w:szCs w:val="22"/>
              </w:rPr>
            </w:pPr>
            <w:r w:rsidRPr="005E2FA9">
              <w:rPr>
                <w:szCs w:val="22"/>
              </w:rPr>
              <w:t>0.50%</w:t>
            </w:r>
          </w:p>
        </w:tc>
        <w:tc>
          <w:tcPr>
            <w:tcW w:w="2410" w:type="dxa"/>
          </w:tcPr>
          <w:p w14:paraId="603C76BE" w14:textId="729610A0" w:rsidR="003A4505" w:rsidRPr="005E2FA9" w:rsidRDefault="003A4505" w:rsidP="009D116D">
            <w:pPr>
              <w:spacing w:after="40"/>
              <w:jc w:val="center"/>
              <w:rPr>
                <w:szCs w:val="22"/>
              </w:rPr>
            </w:pPr>
            <w:r w:rsidRPr="005E2FA9">
              <w:rPr>
                <w:szCs w:val="22"/>
              </w:rPr>
              <w:t>0.6</w:t>
            </w:r>
            <w:r w:rsidR="005E2FA9" w:rsidRPr="005E2FA9">
              <w:rPr>
                <w:szCs w:val="22"/>
              </w:rPr>
              <w:t>5</w:t>
            </w:r>
            <w:r w:rsidRPr="005E2FA9">
              <w:rPr>
                <w:szCs w:val="22"/>
              </w:rPr>
              <w:t>%</w:t>
            </w:r>
          </w:p>
        </w:tc>
      </w:tr>
    </w:tbl>
    <w:p w14:paraId="3E4C68EE" w14:textId="0864B7CD" w:rsidR="00BF327C" w:rsidRDefault="009D116D" w:rsidP="009D116D">
      <w:pPr>
        <w:pStyle w:val="Default"/>
        <w:jc w:val="right"/>
        <w:rPr>
          <w:rFonts w:asciiTheme="minorHAnsi" w:hAnsiTheme="minorHAnsi" w:cstheme="minorHAnsi"/>
          <w:color w:val="auto"/>
          <w:sz w:val="22"/>
          <w:szCs w:val="22"/>
        </w:rPr>
      </w:pPr>
      <w:r w:rsidRPr="00BF327C">
        <w:rPr>
          <w:rFonts w:asciiTheme="minorHAnsi" w:hAnsiTheme="minorHAnsi" w:cstheme="minorHAnsi"/>
          <w:color w:val="auto"/>
          <w:sz w:val="18"/>
          <w:szCs w:val="22"/>
        </w:rPr>
        <w:t>Source: Legal &amp; General Investment Management</w:t>
      </w:r>
      <w:r>
        <w:rPr>
          <w:rFonts w:asciiTheme="minorHAnsi" w:hAnsiTheme="minorHAnsi" w:cstheme="minorHAnsi"/>
          <w:color w:val="auto"/>
          <w:sz w:val="18"/>
          <w:szCs w:val="22"/>
        </w:rPr>
        <w:t xml:space="preserve"> (LGIM) and </w:t>
      </w:r>
      <w:r w:rsidRPr="00BF327C">
        <w:rPr>
          <w:rFonts w:asciiTheme="minorHAnsi" w:hAnsiTheme="minorHAnsi" w:cstheme="minorHAnsi"/>
          <w:color w:val="auto"/>
          <w:sz w:val="18"/>
          <w:szCs w:val="22"/>
        </w:rPr>
        <w:t xml:space="preserve">Newton Investment Management </w:t>
      </w:r>
      <w:r>
        <w:rPr>
          <w:rFonts w:asciiTheme="minorHAnsi" w:hAnsiTheme="minorHAnsi" w:cstheme="minorHAnsi"/>
          <w:color w:val="auto"/>
          <w:sz w:val="18"/>
          <w:szCs w:val="22"/>
        </w:rPr>
        <w:t>(Newton)</w:t>
      </w:r>
    </w:p>
    <w:p w14:paraId="66B47C13" w14:textId="77777777" w:rsidR="009D116D" w:rsidRDefault="009D116D" w:rsidP="00C400EE">
      <w:pPr>
        <w:pStyle w:val="Default"/>
        <w:rPr>
          <w:rFonts w:asciiTheme="minorHAnsi" w:hAnsiTheme="minorHAnsi" w:cstheme="minorHAnsi"/>
          <w:color w:val="auto"/>
          <w:sz w:val="22"/>
          <w:szCs w:val="22"/>
        </w:rPr>
      </w:pPr>
    </w:p>
    <w:p w14:paraId="46395946" w14:textId="1AEBE4C8" w:rsidR="003A44FC" w:rsidRDefault="003A44FC"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addition to the investment managers’ expenses</w:t>
      </w:r>
      <w:r w:rsidR="005C7D65">
        <w:rPr>
          <w:rFonts w:asciiTheme="minorHAnsi" w:hAnsiTheme="minorHAnsi" w:cstheme="minorHAnsi"/>
          <w:color w:val="auto"/>
          <w:sz w:val="22"/>
          <w:szCs w:val="22"/>
        </w:rPr>
        <w:t xml:space="preserve"> included in the TER, investment funds are subject to other costs, such as those associated with trading a fund’s underlying securities, </w:t>
      </w:r>
      <w:proofErr w:type="gramStart"/>
      <w:r w:rsidR="005C7D65">
        <w:rPr>
          <w:rFonts w:asciiTheme="minorHAnsi" w:hAnsiTheme="minorHAnsi" w:cstheme="minorHAnsi"/>
          <w:color w:val="auto"/>
          <w:sz w:val="22"/>
          <w:szCs w:val="22"/>
        </w:rPr>
        <w:t>commissions</w:t>
      </w:r>
      <w:proofErr w:type="gramEnd"/>
      <w:r w:rsidR="005C7D65">
        <w:rPr>
          <w:rFonts w:asciiTheme="minorHAnsi" w:hAnsiTheme="minorHAnsi" w:cstheme="minorHAnsi"/>
          <w:color w:val="auto"/>
          <w:sz w:val="22"/>
          <w:szCs w:val="22"/>
        </w:rPr>
        <w:t xml:space="preserve"> and stamp duty. These expenses are not explicitly deducted from each fund but are captured by a reduction in the investment return.</w:t>
      </w:r>
    </w:p>
    <w:p w14:paraId="4A2F0520" w14:textId="77777777" w:rsidR="003A44FC" w:rsidRDefault="003A44FC" w:rsidP="00C400EE">
      <w:pPr>
        <w:pStyle w:val="Default"/>
        <w:rPr>
          <w:rFonts w:asciiTheme="minorHAnsi" w:hAnsiTheme="minorHAnsi" w:cstheme="minorHAnsi"/>
          <w:color w:val="auto"/>
          <w:sz w:val="22"/>
          <w:szCs w:val="22"/>
        </w:rPr>
      </w:pPr>
    </w:p>
    <w:p w14:paraId="416A9057" w14:textId="7CDBD44D" w:rsidR="003A44FC" w:rsidRDefault="005C7D65" w:rsidP="00C400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In reporting these transaction costs, the Trustees confirm that, to the best of their knowledge, the investment managers have followed guidance from the Financial Conduct Authority on calculating and disclosing transaction costs. The Trustees received transaction costs from </w:t>
      </w:r>
      <w:r w:rsidR="004C3ED1">
        <w:rPr>
          <w:rFonts w:asciiTheme="minorHAnsi" w:hAnsiTheme="minorHAnsi" w:cstheme="minorHAnsi"/>
          <w:color w:val="auto"/>
          <w:sz w:val="22"/>
          <w:szCs w:val="22"/>
        </w:rPr>
        <w:t xml:space="preserve">LGIM and </w:t>
      </w:r>
      <w:r>
        <w:rPr>
          <w:rFonts w:asciiTheme="minorHAnsi" w:hAnsiTheme="minorHAnsi" w:cstheme="minorHAnsi"/>
          <w:color w:val="auto"/>
          <w:sz w:val="22"/>
          <w:szCs w:val="22"/>
        </w:rPr>
        <w:t>Newton for 2020, as follows:</w:t>
      </w:r>
    </w:p>
    <w:p w14:paraId="20B8020F" w14:textId="77777777" w:rsidR="009D116D" w:rsidRDefault="009D116D" w:rsidP="00C400EE">
      <w:pPr>
        <w:pStyle w:val="Default"/>
        <w:rPr>
          <w:rFonts w:asciiTheme="minorHAnsi" w:hAnsiTheme="minorHAnsi" w:cstheme="minorHAnsi"/>
          <w:color w:val="FF0000"/>
          <w:sz w:val="22"/>
          <w:szCs w:val="22"/>
        </w:rPr>
      </w:pPr>
    </w:p>
    <w:tbl>
      <w:tblPr>
        <w:tblStyle w:val="QuantumBandedTable"/>
        <w:tblW w:w="7080" w:type="dxa"/>
        <w:tblLook w:val="04A0" w:firstRow="1" w:lastRow="0" w:firstColumn="1" w:lastColumn="0" w:noHBand="0" w:noVBand="1"/>
      </w:tblPr>
      <w:tblGrid>
        <w:gridCol w:w="4387"/>
        <w:gridCol w:w="2693"/>
      </w:tblGrid>
      <w:tr w:rsidR="009D116D" w14:paraId="38FA43FB" w14:textId="77777777" w:rsidTr="009D116D">
        <w:trPr>
          <w:cnfStyle w:val="100000000000" w:firstRow="1" w:lastRow="0" w:firstColumn="0" w:lastColumn="0" w:oddVBand="0" w:evenVBand="0" w:oddHBand="0" w:evenHBand="0" w:firstRowFirstColumn="0" w:firstRowLastColumn="0" w:lastRowFirstColumn="0" w:lastRowLastColumn="0"/>
          <w:trHeight w:val="294"/>
        </w:trPr>
        <w:tc>
          <w:tcPr>
            <w:tcW w:w="4387" w:type="dxa"/>
          </w:tcPr>
          <w:p w14:paraId="7E283A43" w14:textId="77777777" w:rsidR="009D116D" w:rsidRDefault="009D116D" w:rsidP="009D116D">
            <w:pPr>
              <w:spacing w:after="40"/>
            </w:pPr>
            <w:r>
              <w:t>Fund</w:t>
            </w:r>
          </w:p>
        </w:tc>
        <w:tc>
          <w:tcPr>
            <w:tcW w:w="2693" w:type="dxa"/>
            <w:hideMark/>
          </w:tcPr>
          <w:p w14:paraId="68502562" w14:textId="28E0E500" w:rsidR="009D116D" w:rsidRDefault="009D116D" w:rsidP="009D116D">
            <w:pPr>
              <w:spacing w:after="40"/>
              <w:jc w:val="center"/>
              <w:rPr>
                <w:rFonts w:eastAsiaTheme="minorHAnsi"/>
                <w:szCs w:val="22"/>
              </w:rPr>
            </w:pPr>
            <w:r>
              <w:t>Transaction charge in 2020</w:t>
            </w:r>
          </w:p>
        </w:tc>
      </w:tr>
      <w:tr w:rsidR="009D116D" w:rsidRPr="003A4505" w14:paraId="0F0A56C6" w14:textId="77777777" w:rsidTr="009D116D">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740EC421" w14:textId="6C9CE97F" w:rsidR="009D116D" w:rsidRPr="005A0F81" w:rsidRDefault="009D116D" w:rsidP="009D116D">
            <w:pPr>
              <w:tabs>
                <w:tab w:val="left" w:pos="4820"/>
              </w:tabs>
              <w:spacing w:after="40"/>
              <w:rPr>
                <w:szCs w:val="22"/>
              </w:rPr>
            </w:pPr>
            <w:r>
              <w:rPr>
                <w:szCs w:val="22"/>
              </w:rPr>
              <w:t xml:space="preserve">LGIM </w:t>
            </w:r>
            <w:r w:rsidR="00631051">
              <w:rPr>
                <w:szCs w:val="22"/>
              </w:rPr>
              <w:t>Global Equity Fixed Weights 60:40 Index</w:t>
            </w:r>
          </w:p>
        </w:tc>
        <w:tc>
          <w:tcPr>
            <w:tcW w:w="2693" w:type="dxa"/>
          </w:tcPr>
          <w:p w14:paraId="75871EEB" w14:textId="45951D05" w:rsidR="009D116D" w:rsidRPr="00B01E72" w:rsidRDefault="00B01E72" w:rsidP="009D116D">
            <w:pPr>
              <w:tabs>
                <w:tab w:val="left" w:pos="4820"/>
              </w:tabs>
              <w:spacing w:after="40"/>
              <w:jc w:val="center"/>
              <w:rPr>
                <w:szCs w:val="22"/>
              </w:rPr>
            </w:pPr>
            <w:r w:rsidRPr="00B01E72">
              <w:rPr>
                <w:szCs w:val="22"/>
              </w:rPr>
              <w:t>0.00</w:t>
            </w:r>
            <w:r w:rsidR="009D116D" w:rsidRPr="00B01E72">
              <w:rPr>
                <w:szCs w:val="22"/>
              </w:rPr>
              <w:t>%</w:t>
            </w:r>
          </w:p>
        </w:tc>
      </w:tr>
      <w:tr w:rsidR="009D116D" w:rsidRPr="003A4505" w14:paraId="4D13213B" w14:textId="77777777" w:rsidTr="009D116D">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1AAF928B" w14:textId="6E3E5A5F" w:rsidR="009D116D" w:rsidRPr="005A0F81" w:rsidRDefault="009D116D" w:rsidP="009D116D">
            <w:pPr>
              <w:tabs>
                <w:tab w:val="left" w:pos="4820"/>
              </w:tabs>
              <w:spacing w:after="40"/>
              <w:rPr>
                <w:szCs w:val="22"/>
              </w:rPr>
            </w:pPr>
            <w:r>
              <w:rPr>
                <w:szCs w:val="22"/>
              </w:rPr>
              <w:t xml:space="preserve">LGIM </w:t>
            </w:r>
            <w:r w:rsidR="00631051">
              <w:rPr>
                <w:szCs w:val="22"/>
              </w:rPr>
              <w:t>Pre-Retirement</w:t>
            </w:r>
          </w:p>
        </w:tc>
        <w:tc>
          <w:tcPr>
            <w:tcW w:w="2693" w:type="dxa"/>
            <w:vAlign w:val="top"/>
          </w:tcPr>
          <w:p w14:paraId="5C95A334" w14:textId="048723A2" w:rsidR="009D116D" w:rsidRPr="00B01E72" w:rsidRDefault="00B01E72" w:rsidP="009D116D">
            <w:pPr>
              <w:tabs>
                <w:tab w:val="left" w:pos="4820"/>
              </w:tabs>
              <w:spacing w:after="40"/>
              <w:jc w:val="center"/>
              <w:rPr>
                <w:szCs w:val="22"/>
              </w:rPr>
            </w:pPr>
            <w:r w:rsidRPr="00B01E72">
              <w:rPr>
                <w:szCs w:val="22"/>
              </w:rPr>
              <w:t>0.02</w:t>
            </w:r>
            <w:r w:rsidR="009D116D" w:rsidRPr="00B01E72">
              <w:rPr>
                <w:szCs w:val="22"/>
              </w:rPr>
              <w:t>%</w:t>
            </w:r>
          </w:p>
        </w:tc>
      </w:tr>
      <w:tr w:rsidR="009D116D" w:rsidRPr="003A4505" w14:paraId="175C4D1C" w14:textId="77777777" w:rsidTr="009D116D">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71EEAC2C" w14:textId="73008C3B" w:rsidR="009D116D" w:rsidRPr="005A0F81" w:rsidRDefault="009D116D" w:rsidP="009D116D">
            <w:pPr>
              <w:tabs>
                <w:tab w:val="left" w:pos="4820"/>
              </w:tabs>
              <w:spacing w:after="40"/>
              <w:rPr>
                <w:szCs w:val="22"/>
              </w:rPr>
            </w:pPr>
            <w:r>
              <w:rPr>
                <w:szCs w:val="22"/>
              </w:rPr>
              <w:t xml:space="preserve">LGIM </w:t>
            </w:r>
            <w:r w:rsidR="00631051">
              <w:rPr>
                <w:szCs w:val="22"/>
              </w:rPr>
              <w:t>Cash</w:t>
            </w:r>
          </w:p>
        </w:tc>
        <w:tc>
          <w:tcPr>
            <w:tcW w:w="2693" w:type="dxa"/>
            <w:vAlign w:val="top"/>
          </w:tcPr>
          <w:p w14:paraId="6C5008B8" w14:textId="4F6EB705" w:rsidR="009D116D" w:rsidRPr="00B01E72" w:rsidRDefault="00B01E72" w:rsidP="009D116D">
            <w:pPr>
              <w:tabs>
                <w:tab w:val="left" w:pos="4820"/>
              </w:tabs>
              <w:spacing w:after="40"/>
              <w:jc w:val="center"/>
              <w:rPr>
                <w:szCs w:val="22"/>
              </w:rPr>
            </w:pPr>
            <w:r w:rsidRPr="00B01E72">
              <w:rPr>
                <w:szCs w:val="22"/>
              </w:rPr>
              <w:t>0.0</w:t>
            </w:r>
            <w:r w:rsidR="00AE25AA">
              <w:rPr>
                <w:szCs w:val="22"/>
              </w:rPr>
              <w:t>0</w:t>
            </w:r>
            <w:r w:rsidRPr="00B01E72">
              <w:rPr>
                <w:szCs w:val="22"/>
              </w:rPr>
              <w:t>%</w:t>
            </w:r>
          </w:p>
        </w:tc>
      </w:tr>
      <w:tr w:rsidR="009D116D" w:rsidRPr="003A4505" w14:paraId="1BC1E60F" w14:textId="77777777" w:rsidTr="009D116D">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7BE559A5" w14:textId="77777777" w:rsidR="009D116D" w:rsidRDefault="009D116D" w:rsidP="009D116D">
            <w:pPr>
              <w:tabs>
                <w:tab w:val="left" w:pos="4820"/>
              </w:tabs>
              <w:spacing w:after="40"/>
              <w:rPr>
                <w:szCs w:val="22"/>
              </w:rPr>
            </w:pPr>
            <w:r>
              <w:rPr>
                <w:szCs w:val="22"/>
              </w:rPr>
              <w:t>Newton UK Income</w:t>
            </w:r>
          </w:p>
        </w:tc>
        <w:tc>
          <w:tcPr>
            <w:tcW w:w="2693" w:type="dxa"/>
            <w:vAlign w:val="top"/>
          </w:tcPr>
          <w:p w14:paraId="28ACFD3D" w14:textId="65702B5B" w:rsidR="009D116D" w:rsidRPr="005E2FA9" w:rsidRDefault="005E2FA9" w:rsidP="009D116D">
            <w:pPr>
              <w:tabs>
                <w:tab w:val="left" w:pos="4820"/>
              </w:tabs>
              <w:spacing w:after="40"/>
              <w:jc w:val="center"/>
              <w:rPr>
                <w:szCs w:val="22"/>
              </w:rPr>
            </w:pPr>
            <w:r w:rsidRPr="005E2FA9">
              <w:rPr>
                <w:szCs w:val="22"/>
              </w:rPr>
              <w:t>0.30</w:t>
            </w:r>
            <w:r w:rsidR="009D116D" w:rsidRPr="005E2FA9">
              <w:rPr>
                <w:szCs w:val="22"/>
              </w:rPr>
              <w:t>%</w:t>
            </w:r>
          </w:p>
        </w:tc>
      </w:tr>
      <w:tr w:rsidR="009D116D" w:rsidRPr="003A4505" w14:paraId="32E12DF2" w14:textId="77777777" w:rsidTr="009D116D">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78A38EDC" w14:textId="77777777" w:rsidR="009D116D" w:rsidRDefault="009D116D" w:rsidP="009D116D">
            <w:pPr>
              <w:tabs>
                <w:tab w:val="left" w:pos="4820"/>
              </w:tabs>
              <w:spacing w:after="40"/>
              <w:rPr>
                <w:szCs w:val="22"/>
              </w:rPr>
            </w:pPr>
            <w:r>
              <w:rPr>
                <w:szCs w:val="22"/>
              </w:rPr>
              <w:t>Newton Multi Asset Global Balanced</w:t>
            </w:r>
          </w:p>
        </w:tc>
        <w:tc>
          <w:tcPr>
            <w:tcW w:w="2693" w:type="dxa"/>
            <w:vAlign w:val="top"/>
          </w:tcPr>
          <w:p w14:paraId="35AC7DB7" w14:textId="1B3C3B85" w:rsidR="009D116D" w:rsidRPr="005E2FA9" w:rsidRDefault="005E2FA9" w:rsidP="009D116D">
            <w:pPr>
              <w:tabs>
                <w:tab w:val="left" w:pos="4820"/>
              </w:tabs>
              <w:spacing w:after="40"/>
              <w:jc w:val="center"/>
              <w:rPr>
                <w:szCs w:val="22"/>
              </w:rPr>
            </w:pPr>
            <w:r w:rsidRPr="005E2FA9">
              <w:rPr>
                <w:szCs w:val="22"/>
              </w:rPr>
              <w:t>0.10</w:t>
            </w:r>
            <w:r w:rsidR="009D116D" w:rsidRPr="005E2FA9">
              <w:rPr>
                <w:szCs w:val="22"/>
              </w:rPr>
              <w:t>%</w:t>
            </w:r>
          </w:p>
        </w:tc>
      </w:tr>
      <w:tr w:rsidR="009D116D" w:rsidRPr="003A4505" w14:paraId="2906878C" w14:textId="77777777" w:rsidTr="009D116D">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03AC65D3" w14:textId="77777777" w:rsidR="009D116D" w:rsidRDefault="009D116D" w:rsidP="009D116D">
            <w:pPr>
              <w:tabs>
                <w:tab w:val="left" w:pos="4820"/>
              </w:tabs>
              <w:spacing w:after="40"/>
              <w:rPr>
                <w:szCs w:val="22"/>
              </w:rPr>
            </w:pPr>
            <w:r>
              <w:rPr>
                <w:szCs w:val="22"/>
              </w:rPr>
              <w:t>Newton Long Gilt</w:t>
            </w:r>
          </w:p>
        </w:tc>
        <w:tc>
          <w:tcPr>
            <w:tcW w:w="2693" w:type="dxa"/>
            <w:vAlign w:val="top"/>
          </w:tcPr>
          <w:p w14:paraId="07CAF904" w14:textId="70C421A6" w:rsidR="009D116D" w:rsidRPr="005E2FA9" w:rsidRDefault="005E2FA9" w:rsidP="009D116D">
            <w:pPr>
              <w:tabs>
                <w:tab w:val="left" w:pos="4820"/>
              </w:tabs>
              <w:spacing w:after="40"/>
              <w:jc w:val="center"/>
              <w:rPr>
                <w:szCs w:val="22"/>
              </w:rPr>
            </w:pPr>
            <w:r w:rsidRPr="005E2FA9">
              <w:rPr>
                <w:szCs w:val="22"/>
              </w:rPr>
              <w:t>0.00</w:t>
            </w:r>
            <w:r w:rsidR="009D116D" w:rsidRPr="005E2FA9">
              <w:rPr>
                <w:szCs w:val="22"/>
              </w:rPr>
              <w:t>%</w:t>
            </w:r>
          </w:p>
        </w:tc>
      </w:tr>
      <w:tr w:rsidR="009D116D" w:rsidRPr="003A4505" w14:paraId="6564D19D" w14:textId="77777777" w:rsidTr="009D116D">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7A8AC7DE" w14:textId="77777777" w:rsidR="009D116D" w:rsidRDefault="009D116D" w:rsidP="009D116D">
            <w:pPr>
              <w:tabs>
                <w:tab w:val="left" w:pos="4820"/>
              </w:tabs>
              <w:spacing w:after="40"/>
              <w:rPr>
                <w:szCs w:val="22"/>
              </w:rPr>
            </w:pPr>
            <w:r>
              <w:rPr>
                <w:szCs w:val="22"/>
              </w:rPr>
              <w:t>Newton Long Corporate Bond</w:t>
            </w:r>
          </w:p>
        </w:tc>
        <w:tc>
          <w:tcPr>
            <w:tcW w:w="2693" w:type="dxa"/>
            <w:vAlign w:val="top"/>
          </w:tcPr>
          <w:p w14:paraId="392290D3" w14:textId="2F4BD052" w:rsidR="009D116D" w:rsidRPr="005E2FA9" w:rsidRDefault="005E2FA9" w:rsidP="009D116D">
            <w:pPr>
              <w:tabs>
                <w:tab w:val="left" w:pos="4820"/>
              </w:tabs>
              <w:spacing w:after="40"/>
              <w:jc w:val="center"/>
              <w:rPr>
                <w:szCs w:val="22"/>
              </w:rPr>
            </w:pPr>
            <w:r w:rsidRPr="005E2FA9">
              <w:rPr>
                <w:szCs w:val="22"/>
              </w:rPr>
              <w:t>0.00</w:t>
            </w:r>
            <w:r w:rsidR="009D116D" w:rsidRPr="005E2FA9">
              <w:rPr>
                <w:szCs w:val="22"/>
              </w:rPr>
              <w:t>%</w:t>
            </w:r>
          </w:p>
        </w:tc>
      </w:tr>
      <w:tr w:rsidR="009D116D" w:rsidRPr="003A4505" w14:paraId="0FFC96F4" w14:textId="77777777" w:rsidTr="009D116D">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67CA6DA4" w14:textId="77777777" w:rsidR="009D116D" w:rsidRDefault="009D116D" w:rsidP="009D116D">
            <w:pPr>
              <w:tabs>
                <w:tab w:val="left" w:pos="4820"/>
              </w:tabs>
              <w:spacing w:after="40"/>
              <w:rPr>
                <w:szCs w:val="22"/>
              </w:rPr>
            </w:pPr>
            <w:r>
              <w:rPr>
                <w:szCs w:val="22"/>
              </w:rPr>
              <w:t>Newton Continental Europe</w:t>
            </w:r>
          </w:p>
        </w:tc>
        <w:tc>
          <w:tcPr>
            <w:tcW w:w="2693" w:type="dxa"/>
            <w:vAlign w:val="top"/>
          </w:tcPr>
          <w:p w14:paraId="5BDD2536" w14:textId="0A83ACBD" w:rsidR="009D116D" w:rsidRPr="005E2FA9" w:rsidRDefault="005E2FA9" w:rsidP="009D116D">
            <w:pPr>
              <w:tabs>
                <w:tab w:val="left" w:pos="4820"/>
              </w:tabs>
              <w:spacing w:after="40"/>
              <w:jc w:val="center"/>
              <w:rPr>
                <w:szCs w:val="22"/>
              </w:rPr>
            </w:pPr>
            <w:r w:rsidRPr="005E2FA9">
              <w:rPr>
                <w:szCs w:val="22"/>
              </w:rPr>
              <w:t>0.09</w:t>
            </w:r>
            <w:r w:rsidR="009D116D" w:rsidRPr="005E2FA9">
              <w:rPr>
                <w:szCs w:val="22"/>
              </w:rPr>
              <w:t>%</w:t>
            </w:r>
          </w:p>
        </w:tc>
      </w:tr>
      <w:tr w:rsidR="009D116D" w:rsidRPr="003A4505" w14:paraId="6D87182D" w14:textId="77777777" w:rsidTr="009D116D">
        <w:trPr>
          <w:cnfStyle w:val="000000100000" w:firstRow="0" w:lastRow="0" w:firstColumn="0" w:lastColumn="0" w:oddVBand="0" w:evenVBand="0" w:oddHBand="1" w:evenHBand="0" w:firstRowFirstColumn="0" w:firstRowLastColumn="0" w:lastRowFirstColumn="0" w:lastRowLastColumn="0"/>
          <w:trHeight w:val="278"/>
        </w:trPr>
        <w:tc>
          <w:tcPr>
            <w:tcW w:w="4387" w:type="dxa"/>
          </w:tcPr>
          <w:p w14:paraId="6837B706" w14:textId="77777777" w:rsidR="009D116D" w:rsidRDefault="009D116D" w:rsidP="009D116D">
            <w:pPr>
              <w:tabs>
                <w:tab w:val="left" w:pos="4820"/>
              </w:tabs>
              <w:spacing w:after="40"/>
              <w:rPr>
                <w:szCs w:val="22"/>
              </w:rPr>
            </w:pPr>
            <w:r>
              <w:rPr>
                <w:szCs w:val="22"/>
              </w:rPr>
              <w:t>Newton UK Equity</w:t>
            </w:r>
          </w:p>
        </w:tc>
        <w:tc>
          <w:tcPr>
            <w:tcW w:w="2693" w:type="dxa"/>
            <w:vAlign w:val="top"/>
          </w:tcPr>
          <w:p w14:paraId="3C755DB6" w14:textId="7886850E" w:rsidR="009D116D" w:rsidRPr="005E2FA9" w:rsidRDefault="005E2FA9" w:rsidP="009D116D">
            <w:pPr>
              <w:tabs>
                <w:tab w:val="left" w:pos="4820"/>
              </w:tabs>
              <w:spacing w:after="40"/>
              <w:jc w:val="center"/>
              <w:rPr>
                <w:szCs w:val="22"/>
              </w:rPr>
            </w:pPr>
            <w:r w:rsidRPr="005E2FA9">
              <w:rPr>
                <w:szCs w:val="22"/>
              </w:rPr>
              <w:t>0.09</w:t>
            </w:r>
            <w:r w:rsidR="009D116D" w:rsidRPr="005E2FA9">
              <w:rPr>
                <w:szCs w:val="22"/>
              </w:rPr>
              <w:t>%</w:t>
            </w:r>
          </w:p>
        </w:tc>
      </w:tr>
      <w:tr w:rsidR="009D116D" w:rsidRPr="003A4505" w14:paraId="01A3AD16" w14:textId="77777777" w:rsidTr="009D116D">
        <w:trPr>
          <w:cnfStyle w:val="000000010000" w:firstRow="0" w:lastRow="0" w:firstColumn="0" w:lastColumn="0" w:oddVBand="0" w:evenVBand="0" w:oddHBand="0" w:evenHBand="1" w:firstRowFirstColumn="0" w:firstRowLastColumn="0" w:lastRowFirstColumn="0" w:lastRowLastColumn="0"/>
          <w:trHeight w:val="278"/>
        </w:trPr>
        <w:tc>
          <w:tcPr>
            <w:tcW w:w="4387" w:type="dxa"/>
          </w:tcPr>
          <w:p w14:paraId="72B75893" w14:textId="77777777" w:rsidR="009D116D" w:rsidRDefault="009D116D" w:rsidP="009D116D">
            <w:pPr>
              <w:tabs>
                <w:tab w:val="left" w:pos="4820"/>
              </w:tabs>
              <w:spacing w:after="40"/>
              <w:rPr>
                <w:szCs w:val="22"/>
              </w:rPr>
            </w:pPr>
            <w:r>
              <w:rPr>
                <w:szCs w:val="22"/>
              </w:rPr>
              <w:t>Newton Oriental</w:t>
            </w:r>
          </w:p>
        </w:tc>
        <w:tc>
          <w:tcPr>
            <w:tcW w:w="2693" w:type="dxa"/>
            <w:vAlign w:val="top"/>
          </w:tcPr>
          <w:p w14:paraId="7ECE04B2" w14:textId="5BAB6557" w:rsidR="009D116D" w:rsidRPr="005E2FA9" w:rsidRDefault="005E2FA9" w:rsidP="009D116D">
            <w:pPr>
              <w:tabs>
                <w:tab w:val="left" w:pos="4820"/>
              </w:tabs>
              <w:spacing w:after="40"/>
              <w:jc w:val="center"/>
              <w:rPr>
                <w:szCs w:val="22"/>
              </w:rPr>
            </w:pPr>
            <w:r w:rsidRPr="005E2FA9">
              <w:rPr>
                <w:szCs w:val="22"/>
              </w:rPr>
              <w:t>0.26</w:t>
            </w:r>
            <w:r w:rsidR="009D116D" w:rsidRPr="005E2FA9">
              <w:rPr>
                <w:szCs w:val="22"/>
              </w:rPr>
              <w:t>%</w:t>
            </w:r>
          </w:p>
        </w:tc>
      </w:tr>
    </w:tbl>
    <w:p w14:paraId="7AC3E7CA" w14:textId="763D6B80" w:rsidR="009D116D" w:rsidRPr="00BF327C" w:rsidRDefault="009D116D" w:rsidP="009D116D">
      <w:pPr>
        <w:pStyle w:val="Default"/>
        <w:tabs>
          <w:tab w:val="left" w:pos="7088"/>
        </w:tabs>
        <w:rPr>
          <w:rFonts w:asciiTheme="minorHAnsi" w:hAnsiTheme="minorHAnsi" w:cstheme="minorHAnsi"/>
          <w:color w:val="auto"/>
          <w:sz w:val="18"/>
          <w:szCs w:val="22"/>
        </w:rPr>
      </w:pPr>
      <w:r>
        <w:rPr>
          <w:rFonts w:asciiTheme="minorHAnsi" w:hAnsiTheme="minorHAnsi" w:cstheme="minorHAnsi"/>
          <w:color w:val="auto"/>
          <w:sz w:val="18"/>
          <w:szCs w:val="22"/>
        </w:rPr>
        <w:t xml:space="preserve">                                                                                                                               </w:t>
      </w:r>
      <w:r w:rsidRPr="00BF327C">
        <w:rPr>
          <w:rFonts w:asciiTheme="minorHAnsi" w:hAnsiTheme="minorHAnsi" w:cstheme="minorHAnsi"/>
          <w:color w:val="auto"/>
          <w:sz w:val="18"/>
          <w:szCs w:val="22"/>
        </w:rPr>
        <w:t xml:space="preserve">Source: </w:t>
      </w:r>
      <w:r>
        <w:rPr>
          <w:rFonts w:asciiTheme="minorHAnsi" w:hAnsiTheme="minorHAnsi" w:cstheme="minorHAnsi"/>
          <w:color w:val="auto"/>
          <w:sz w:val="18"/>
          <w:szCs w:val="22"/>
        </w:rPr>
        <w:t xml:space="preserve">LGIM and </w:t>
      </w:r>
      <w:r w:rsidRPr="00BF327C">
        <w:rPr>
          <w:rFonts w:asciiTheme="minorHAnsi" w:hAnsiTheme="minorHAnsi" w:cstheme="minorHAnsi"/>
          <w:color w:val="auto"/>
          <w:sz w:val="18"/>
          <w:szCs w:val="22"/>
        </w:rPr>
        <w:t>Newton</w:t>
      </w:r>
    </w:p>
    <w:p w14:paraId="258322DC" w14:textId="77777777" w:rsidR="004C3ED1" w:rsidRDefault="004C3ED1" w:rsidP="004C3ED1">
      <w:r>
        <w:lastRenderedPageBreak/>
        <w:t xml:space="preserve">Transaction costs are incurred </w:t>
      </w:r>
      <w:proofErr w:type="gramStart"/>
      <w:r>
        <w:t>as a result of</w:t>
      </w:r>
      <w:proofErr w:type="gramEnd"/>
      <w:r>
        <w:t xml:space="preserve"> buying, selling, lending or borrowing investments. The costs mainly arise </w:t>
      </w:r>
      <w:proofErr w:type="gramStart"/>
      <w:r>
        <w:t>as a result of</w:t>
      </w:r>
      <w:proofErr w:type="gramEnd"/>
      <w:r>
        <w:t xml:space="preserve"> delivering a fund’s target investment return where a passive or active investment approach is used. As an example, a fund may need to buy or sell assets when members pay money into or take money out of a fund and the buying or selling of assets will incur costs.</w:t>
      </w:r>
    </w:p>
    <w:p w14:paraId="32DD289D" w14:textId="77777777" w:rsidR="004C3ED1" w:rsidRDefault="004C3ED1" w:rsidP="004C3ED1">
      <w:r>
        <w:t>Transaction costs can be negative, due to the method that must be used to calculate them.</w:t>
      </w:r>
    </w:p>
    <w:p w14:paraId="696BEEF1" w14:textId="6B023C8D" w:rsidR="004C3ED1" w:rsidRDefault="004C3ED1" w:rsidP="004C3ED1">
      <w:r>
        <w:t xml:space="preserve">Transaction costs arise </w:t>
      </w:r>
      <w:proofErr w:type="gramStart"/>
      <w:r>
        <w:t>as a result of</w:t>
      </w:r>
      <w:proofErr w:type="gramEnd"/>
      <w:r>
        <w:t xml:space="preserve"> participating in a financial market and are separate from any annual management charges. The transaction cost for buying or selling an investment includes all costs incurred by a buyer or seller from the point an order to transact is received to the point at which the transaction completes. These costs include all charges, commissions, </w:t>
      </w:r>
      <w:proofErr w:type="gramStart"/>
      <w:r>
        <w:t>taxes</w:t>
      </w:r>
      <w:proofErr w:type="gramEnd"/>
      <w:r>
        <w:t xml:space="preserve"> and other associated payments incurred directly or indirectly. These costs are ultimately borne by assets of the arrangement or of any investment in which the arrangement is directly or indirectly invested. Of these costs, some are easily identifiable as specific costs incurred, but some are less identifiable and may rely on the investment manager’s judgement.</w:t>
      </w:r>
      <w:r w:rsidRPr="00C24E86">
        <w:t xml:space="preserve"> </w:t>
      </w:r>
      <w:r>
        <w:br/>
      </w:r>
      <w:r>
        <w:br/>
        <w:t>Costs for actively managed funds may be higher, as shown above. The manager will allow for this cost when taking positions, such that the additional cost compared to an index fund is expected to be offset through future performance.</w:t>
      </w:r>
    </w:p>
    <w:p w14:paraId="4FD9DF6A" w14:textId="2CB3081F" w:rsidR="00C63D1E" w:rsidRDefault="00C63D1E" w:rsidP="00C63D1E">
      <w:pPr>
        <w:pStyle w:val="Heading3"/>
      </w:pPr>
      <w:r>
        <w:t>Illustration of costs and charges</w:t>
      </w:r>
    </w:p>
    <w:p w14:paraId="2088A49E" w14:textId="5E346BD5" w:rsidR="00C63D1E" w:rsidRPr="00C63D1E" w:rsidRDefault="00C63D1E" w:rsidP="00C63D1E">
      <w:pPr>
        <w:pStyle w:val="Heading4"/>
        <w:spacing w:after="0"/>
        <w:rPr>
          <w:i/>
        </w:rPr>
      </w:pPr>
      <w:r w:rsidRPr="00C63D1E">
        <w:rPr>
          <w:i/>
        </w:rPr>
        <w:t>Active member</w:t>
      </w:r>
    </w:p>
    <w:p w14:paraId="351FFA58" w14:textId="692A1B15" w:rsidR="00C63D1E" w:rsidRDefault="00C63D1E" w:rsidP="00C63D1E">
      <w:pPr>
        <w:rPr>
          <w:sz w:val="18"/>
          <w:szCs w:val="18"/>
        </w:rPr>
      </w:pPr>
      <w:r>
        <w:t xml:space="preserve">The figures in the table below show the effect of the fund managers’ charges on </w:t>
      </w:r>
      <w:proofErr w:type="spellStart"/>
      <w:proofErr w:type="gramStart"/>
      <w:r>
        <w:t>a</w:t>
      </w:r>
      <w:proofErr w:type="spellEnd"/>
      <w:proofErr w:type="gramEnd"/>
      <w:r>
        <w:t xml:space="preserve"> active member’s fund value over incremental periods for the ne</w:t>
      </w:r>
      <w:r w:rsidRPr="007F591F">
        <w:t xml:space="preserve">xt </w:t>
      </w:r>
      <w:r w:rsidR="00B57936" w:rsidRPr="007F591F">
        <w:t>40</w:t>
      </w:r>
      <w:r w:rsidRPr="007F591F">
        <w:t xml:space="preserve"> years</w:t>
      </w:r>
      <w:r w:rsidR="007F591F" w:rsidRPr="007F591F">
        <w:t>.</w:t>
      </w:r>
      <w:r>
        <w:t xml:space="preserve"> The </w:t>
      </w:r>
      <w:r w:rsidR="00231E79">
        <w:t xml:space="preserve">following </w:t>
      </w:r>
      <w:r>
        <w:t xml:space="preserve">table shows the effect based on the assumptions set out in the notes below the table. </w:t>
      </w:r>
    </w:p>
    <w:tbl>
      <w:tblPr>
        <w:tblStyle w:val="QuantumBasicTable"/>
        <w:tblW w:w="9067" w:type="dxa"/>
        <w:tblInd w:w="20" w:type="dxa"/>
        <w:tblLayout w:type="fixed"/>
        <w:tblLook w:val="04A0" w:firstRow="1" w:lastRow="0" w:firstColumn="1" w:lastColumn="0" w:noHBand="0" w:noVBand="1"/>
      </w:tblPr>
      <w:tblGrid>
        <w:gridCol w:w="1134"/>
        <w:gridCol w:w="993"/>
        <w:gridCol w:w="992"/>
        <w:gridCol w:w="992"/>
        <w:gridCol w:w="992"/>
        <w:gridCol w:w="993"/>
        <w:gridCol w:w="992"/>
        <w:gridCol w:w="992"/>
        <w:gridCol w:w="987"/>
      </w:tblGrid>
      <w:tr w:rsidR="00C63D1E" w:rsidRPr="00C34899" w14:paraId="2432BD66" w14:textId="77777777" w:rsidTr="008C4B34">
        <w:trPr>
          <w:cnfStyle w:val="100000000000" w:firstRow="1" w:lastRow="0" w:firstColumn="0" w:lastColumn="0" w:oddVBand="0" w:evenVBand="0" w:oddHBand="0" w:evenHBand="0" w:firstRowFirstColumn="0" w:firstRowLastColumn="0" w:lastRowFirstColumn="0" w:lastRowLastColumn="0"/>
          <w:trHeight w:val="300"/>
        </w:trPr>
        <w:tc>
          <w:tcPr>
            <w:tcW w:w="5103" w:type="dxa"/>
            <w:gridSpan w:val="5"/>
            <w:noWrap/>
            <w:hideMark/>
          </w:tcPr>
          <w:p w14:paraId="26D3DD9C" w14:textId="77777777" w:rsidR="00C63D1E" w:rsidRPr="006542D7" w:rsidRDefault="00C63D1E" w:rsidP="008C4B34">
            <w:pPr>
              <w:spacing w:after="0"/>
              <w:rPr>
                <w:b w:val="0"/>
                <w:bCs/>
                <w:sz w:val="18"/>
                <w:szCs w:val="18"/>
              </w:rPr>
            </w:pPr>
            <w:r w:rsidRPr="006542D7">
              <w:rPr>
                <w:b w:val="0"/>
                <w:bCs/>
                <w:sz w:val="18"/>
                <w:szCs w:val="18"/>
              </w:rPr>
              <w:t xml:space="preserve">Projected </w:t>
            </w:r>
            <w:r>
              <w:rPr>
                <w:b w:val="0"/>
                <w:bCs/>
                <w:sz w:val="18"/>
                <w:szCs w:val="18"/>
              </w:rPr>
              <w:t>p</w:t>
            </w:r>
            <w:r w:rsidRPr="006542D7">
              <w:rPr>
                <w:b w:val="0"/>
                <w:bCs/>
                <w:sz w:val="18"/>
                <w:szCs w:val="18"/>
              </w:rPr>
              <w:t xml:space="preserve">ension </w:t>
            </w:r>
            <w:r>
              <w:rPr>
                <w:b w:val="0"/>
                <w:bCs/>
                <w:sz w:val="18"/>
                <w:szCs w:val="18"/>
              </w:rPr>
              <w:t>fund</w:t>
            </w:r>
            <w:r w:rsidRPr="006542D7">
              <w:rPr>
                <w:b w:val="0"/>
                <w:bCs/>
                <w:sz w:val="18"/>
                <w:szCs w:val="18"/>
              </w:rPr>
              <w:t xml:space="preserve"> in today’s money </w:t>
            </w:r>
          </w:p>
        </w:tc>
        <w:tc>
          <w:tcPr>
            <w:tcW w:w="993" w:type="dxa"/>
            <w:noWrap/>
            <w:hideMark/>
          </w:tcPr>
          <w:p w14:paraId="28E962C5" w14:textId="77777777" w:rsidR="00C63D1E" w:rsidRPr="00C34899" w:rsidRDefault="00C63D1E" w:rsidP="008C4B34">
            <w:pPr>
              <w:rPr>
                <w:sz w:val="18"/>
                <w:szCs w:val="18"/>
              </w:rPr>
            </w:pPr>
          </w:p>
        </w:tc>
        <w:tc>
          <w:tcPr>
            <w:tcW w:w="992" w:type="dxa"/>
            <w:noWrap/>
            <w:hideMark/>
          </w:tcPr>
          <w:p w14:paraId="1C7EE2C8" w14:textId="77777777" w:rsidR="00C63D1E" w:rsidRPr="00C34899" w:rsidRDefault="00C63D1E" w:rsidP="008C4B34">
            <w:pPr>
              <w:rPr>
                <w:sz w:val="18"/>
                <w:szCs w:val="18"/>
              </w:rPr>
            </w:pPr>
          </w:p>
        </w:tc>
        <w:tc>
          <w:tcPr>
            <w:tcW w:w="992" w:type="dxa"/>
            <w:noWrap/>
            <w:hideMark/>
          </w:tcPr>
          <w:p w14:paraId="4ACEC382" w14:textId="77777777" w:rsidR="00C63D1E" w:rsidRPr="00C34899" w:rsidRDefault="00C63D1E" w:rsidP="008C4B34">
            <w:pPr>
              <w:rPr>
                <w:sz w:val="18"/>
                <w:szCs w:val="18"/>
              </w:rPr>
            </w:pPr>
          </w:p>
        </w:tc>
        <w:tc>
          <w:tcPr>
            <w:tcW w:w="987" w:type="dxa"/>
            <w:noWrap/>
            <w:hideMark/>
          </w:tcPr>
          <w:p w14:paraId="792F3C8C" w14:textId="77777777" w:rsidR="00C63D1E" w:rsidRPr="00C34899" w:rsidRDefault="00C63D1E" w:rsidP="008C4B34">
            <w:pPr>
              <w:rPr>
                <w:sz w:val="18"/>
                <w:szCs w:val="18"/>
              </w:rPr>
            </w:pPr>
          </w:p>
        </w:tc>
      </w:tr>
      <w:tr w:rsidR="00C63D1E" w:rsidRPr="00C34899" w14:paraId="3BF8088A" w14:textId="77777777" w:rsidTr="008C4B34">
        <w:trPr>
          <w:trHeight w:val="300"/>
        </w:trPr>
        <w:tc>
          <w:tcPr>
            <w:tcW w:w="1134" w:type="dxa"/>
            <w:noWrap/>
            <w:hideMark/>
          </w:tcPr>
          <w:p w14:paraId="4998B351" w14:textId="77777777" w:rsidR="00C63D1E" w:rsidRPr="00231E79" w:rsidRDefault="00C63D1E" w:rsidP="008C4B34">
            <w:pPr>
              <w:spacing w:after="0"/>
              <w:rPr>
                <w:b/>
                <w:sz w:val="18"/>
                <w:szCs w:val="18"/>
              </w:rPr>
            </w:pPr>
          </w:p>
        </w:tc>
        <w:tc>
          <w:tcPr>
            <w:tcW w:w="7933" w:type="dxa"/>
            <w:gridSpan w:val="8"/>
            <w:hideMark/>
          </w:tcPr>
          <w:p w14:paraId="02240C49" w14:textId="77777777" w:rsidR="00C63D1E" w:rsidRPr="00231E79" w:rsidRDefault="00C63D1E" w:rsidP="008C4B34">
            <w:pPr>
              <w:spacing w:after="0"/>
              <w:jc w:val="center"/>
              <w:rPr>
                <w:b/>
                <w:sz w:val="18"/>
                <w:szCs w:val="18"/>
              </w:rPr>
            </w:pPr>
            <w:r w:rsidRPr="00231E79">
              <w:rPr>
                <w:b/>
                <w:sz w:val="18"/>
                <w:szCs w:val="18"/>
              </w:rPr>
              <w:t>Fund choice</w:t>
            </w:r>
          </w:p>
        </w:tc>
      </w:tr>
      <w:tr w:rsidR="00C63D1E" w:rsidRPr="00C34899" w14:paraId="7CA5101C" w14:textId="77777777" w:rsidTr="008C4B34">
        <w:trPr>
          <w:trHeight w:val="600"/>
        </w:trPr>
        <w:tc>
          <w:tcPr>
            <w:tcW w:w="1134" w:type="dxa"/>
            <w:noWrap/>
            <w:vAlign w:val="top"/>
            <w:hideMark/>
          </w:tcPr>
          <w:p w14:paraId="356C5C92" w14:textId="77777777" w:rsidR="00C63D1E" w:rsidRPr="00231E79" w:rsidRDefault="00C63D1E" w:rsidP="008C4B34">
            <w:pPr>
              <w:spacing w:after="0"/>
              <w:rPr>
                <w:b/>
                <w:sz w:val="18"/>
                <w:szCs w:val="18"/>
              </w:rPr>
            </w:pPr>
          </w:p>
        </w:tc>
        <w:tc>
          <w:tcPr>
            <w:tcW w:w="1985" w:type="dxa"/>
            <w:gridSpan w:val="2"/>
            <w:vAlign w:val="top"/>
            <w:hideMark/>
          </w:tcPr>
          <w:p w14:paraId="19280DA1" w14:textId="77777777" w:rsidR="00C63D1E" w:rsidRPr="00231E79" w:rsidRDefault="00C63D1E" w:rsidP="008C4B34">
            <w:pPr>
              <w:spacing w:after="0"/>
              <w:jc w:val="center"/>
              <w:rPr>
                <w:b/>
                <w:sz w:val="18"/>
                <w:szCs w:val="18"/>
              </w:rPr>
            </w:pPr>
            <w:r w:rsidRPr="00231E79">
              <w:rPr>
                <w:b/>
                <w:sz w:val="18"/>
                <w:szCs w:val="18"/>
              </w:rPr>
              <w:t>Default investment strategy</w:t>
            </w:r>
          </w:p>
        </w:tc>
        <w:tc>
          <w:tcPr>
            <w:tcW w:w="1984" w:type="dxa"/>
            <w:gridSpan w:val="2"/>
            <w:vAlign w:val="top"/>
            <w:hideMark/>
          </w:tcPr>
          <w:p w14:paraId="31B961C5" w14:textId="77777777" w:rsidR="00231E79" w:rsidRDefault="007F591F" w:rsidP="00231E79">
            <w:pPr>
              <w:spacing w:after="0"/>
              <w:jc w:val="center"/>
              <w:rPr>
                <w:b/>
                <w:sz w:val="18"/>
                <w:szCs w:val="18"/>
              </w:rPr>
            </w:pPr>
            <w:r w:rsidRPr="00231E79">
              <w:rPr>
                <w:b/>
                <w:sz w:val="18"/>
                <w:szCs w:val="18"/>
              </w:rPr>
              <w:t>Newton Global Balanced</w:t>
            </w:r>
          </w:p>
          <w:p w14:paraId="309FA2FF" w14:textId="7AB9FFEC" w:rsidR="00C63D1E" w:rsidRPr="00231E79" w:rsidRDefault="00231E79" w:rsidP="00231E79">
            <w:pPr>
              <w:spacing w:before="0" w:after="120"/>
              <w:jc w:val="center"/>
              <w:rPr>
                <w:b/>
                <w:sz w:val="18"/>
                <w:szCs w:val="18"/>
              </w:rPr>
            </w:pPr>
            <w:r>
              <w:rPr>
                <w:b/>
                <w:sz w:val="18"/>
                <w:szCs w:val="18"/>
              </w:rPr>
              <w:t>(</w:t>
            </w:r>
            <w:proofErr w:type="gramStart"/>
            <w:r>
              <w:rPr>
                <w:b/>
                <w:sz w:val="18"/>
                <w:szCs w:val="18"/>
              </w:rPr>
              <w:t>fund</w:t>
            </w:r>
            <w:proofErr w:type="gramEnd"/>
            <w:r>
              <w:rPr>
                <w:b/>
                <w:sz w:val="18"/>
                <w:szCs w:val="18"/>
              </w:rPr>
              <w:t xml:space="preserve"> with most investment)</w:t>
            </w:r>
          </w:p>
        </w:tc>
        <w:tc>
          <w:tcPr>
            <w:tcW w:w="1985" w:type="dxa"/>
            <w:gridSpan w:val="2"/>
            <w:vAlign w:val="top"/>
            <w:hideMark/>
          </w:tcPr>
          <w:p w14:paraId="38353644" w14:textId="77777777" w:rsidR="00C63D1E" w:rsidRDefault="007F591F" w:rsidP="008C4B34">
            <w:pPr>
              <w:spacing w:after="0"/>
              <w:jc w:val="center"/>
              <w:rPr>
                <w:b/>
                <w:sz w:val="18"/>
                <w:szCs w:val="18"/>
              </w:rPr>
            </w:pPr>
            <w:r w:rsidRPr="00231E79">
              <w:rPr>
                <w:b/>
                <w:sz w:val="18"/>
                <w:szCs w:val="18"/>
              </w:rPr>
              <w:t>LGIM Global Equity</w:t>
            </w:r>
          </w:p>
          <w:p w14:paraId="773CCB61" w14:textId="112D7A6C" w:rsidR="00231E79" w:rsidRPr="00231E79" w:rsidRDefault="00231E79" w:rsidP="00231E79">
            <w:pPr>
              <w:spacing w:before="0" w:after="0"/>
              <w:jc w:val="center"/>
              <w:rPr>
                <w:b/>
                <w:sz w:val="18"/>
                <w:szCs w:val="18"/>
              </w:rPr>
            </w:pPr>
            <w:r>
              <w:rPr>
                <w:b/>
                <w:sz w:val="18"/>
                <w:szCs w:val="18"/>
              </w:rPr>
              <w:t>(</w:t>
            </w:r>
            <w:proofErr w:type="gramStart"/>
            <w:r>
              <w:rPr>
                <w:b/>
                <w:sz w:val="18"/>
                <w:szCs w:val="18"/>
              </w:rPr>
              <w:t>fund</w:t>
            </w:r>
            <w:proofErr w:type="gramEnd"/>
            <w:r>
              <w:rPr>
                <w:b/>
                <w:sz w:val="18"/>
                <w:szCs w:val="18"/>
              </w:rPr>
              <w:t xml:space="preserve"> with highest assumed return)</w:t>
            </w:r>
          </w:p>
        </w:tc>
        <w:tc>
          <w:tcPr>
            <w:tcW w:w="1979" w:type="dxa"/>
            <w:gridSpan w:val="2"/>
            <w:vAlign w:val="top"/>
            <w:hideMark/>
          </w:tcPr>
          <w:p w14:paraId="4C9C0D00" w14:textId="77777777" w:rsidR="00231E79" w:rsidRDefault="00C63D1E" w:rsidP="00231E79">
            <w:pPr>
              <w:spacing w:after="0"/>
              <w:jc w:val="center"/>
              <w:rPr>
                <w:b/>
                <w:sz w:val="18"/>
                <w:szCs w:val="18"/>
              </w:rPr>
            </w:pPr>
            <w:r w:rsidRPr="00231E79">
              <w:rPr>
                <w:b/>
                <w:sz w:val="18"/>
                <w:szCs w:val="18"/>
              </w:rPr>
              <w:t xml:space="preserve">LGIM </w:t>
            </w:r>
            <w:r w:rsidR="007F591F" w:rsidRPr="00231E79">
              <w:rPr>
                <w:b/>
                <w:sz w:val="18"/>
                <w:szCs w:val="18"/>
              </w:rPr>
              <w:t>Cash</w:t>
            </w:r>
          </w:p>
          <w:p w14:paraId="725331A9" w14:textId="19DB1C0A" w:rsidR="00C63D1E" w:rsidRPr="00231E79" w:rsidRDefault="00231E79" w:rsidP="00231E79">
            <w:pPr>
              <w:spacing w:before="0" w:after="0"/>
              <w:jc w:val="center"/>
              <w:rPr>
                <w:b/>
                <w:sz w:val="18"/>
                <w:szCs w:val="18"/>
              </w:rPr>
            </w:pPr>
            <w:r>
              <w:rPr>
                <w:b/>
                <w:sz w:val="18"/>
                <w:szCs w:val="18"/>
              </w:rPr>
              <w:t>(</w:t>
            </w:r>
            <w:proofErr w:type="gramStart"/>
            <w:r>
              <w:rPr>
                <w:b/>
                <w:sz w:val="18"/>
                <w:szCs w:val="18"/>
              </w:rPr>
              <w:t>fund</w:t>
            </w:r>
            <w:proofErr w:type="gramEnd"/>
            <w:r>
              <w:rPr>
                <w:b/>
                <w:sz w:val="18"/>
                <w:szCs w:val="18"/>
              </w:rPr>
              <w:t xml:space="preserve"> with lowest assumed return)</w:t>
            </w:r>
          </w:p>
        </w:tc>
      </w:tr>
      <w:tr w:rsidR="00C63D1E" w:rsidRPr="00C34899" w14:paraId="003F1984" w14:textId="77777777" w:rsidTr="008C4B34">
        <w:trPr>
          <w:trHeight w:val="600"/>
        </w:trPr>
        <w:tc>
          <w:tcPr>
            <w:tcW w:w="1134" w:type="dxa"/>
            <w:vAlign w:val="top"/>
            <w:hideMark/>
          </w:tcPr>
          <w:p w14:paraId="6367FBC7" w14:textId="77777777" w:rsidR="00C63D1E" w:rsidRPr="00231E79" w:rsidRDefault="00C63D1E" w:rsidP="008C4B34">
            <w:pPr>
              <w:spacing w:after="0"/>
              <w:rPr>
                <w:b/>
                <w:sz w:val="18"/>
                <w:szCs w:val="18"/>
              </w:rPr>
            </w:pPr>
            <w:r w:rsidRPr="00231E79">
              <w:rPr>
                <w:b/>
                <w:sz w:val="18"/>
                <w:szCs w:val="18"/>
              </w:rPr>
              <w:t>Years</w:t>
            </w:r>
          </w:p>
        </w:tc>
        <w:tc>
          <w:tcPr>
            <w:tcW w:w="993" w:type="dxa"/>
            <w:vAlign w:val="top"/>
            <w:hideMark/>
          </w:tcPr>
          <w:p w14:paraId="2732FA01" w14:textId="77777777" w:rsidR="00C63D1E" w:rsidRPr="00231E79" w:rsidRDefault="00C63D1E" w:rsidP="008C4B34">
            <w:pPr>
              <w:spacing w:after="0"/>
              <w:rPr>
                <w:b/>
                <w:sz w:val="18"/>
                <w:szCs w:val="18"/>
              </w:rPr>
            </w:pPr>
            <w:r w:rsidRPr="00231E79">
              <w:rPr>
                <w:b/>
                <w:sz w:val="18"/>
                <w:szCs w:val="18"/>
              </w:rPr>
              <w:t>Before charges</w:t>
            </w:r>
          </w:p>
        </w:tc>
        <w:tc>
          <w:tcPr>
            <w:tcW w:w="992" w:type="dxa"/>
            <w:vAlign w:val="top"/>
            <w:hideMark/>
          </w:tcPr>
          <w:p w14:paraId="69ADC3BD" w14:textId="77777777" w:rsidR="00C63D1E" w:rsidRPr="00231E79" w:rsidRDefault="00C63D1E" w:rsidP="008C4B34">
            <w:pPr>
              <w:spacing w:after="0"/>
              <w:rPr>
                <w:b/>
                <w:sz w:val="18"/>
                <w:szCs w:val="18"/>
              </w:rPr>
            </w:pPr>
            <w:r w:rsidRPr="00231E79">
              <w:rPr>
                <w:b/>
                <w:sz w:val="18"/>
                <w:szCs w:val="18"/>
              </w:rPr>
              <w:t>After all charges &amp; costs deducted</w:t>
            </w:r>
          </w:p>
        </w:tc>
        <w:tc>
          <w:tcPr>
            <w:tcW w:w="992" w:type="dxa"/>
            <w:vAlign w:val="top"/>
            <w:hideMark/>
          </w:tcPr>
          <w:p w14:paraId="4A3B1F86" w14:textId="77777777" w:rsidR="00C63D1E" w:rsidRPr="00231E79" w:rsidRDefault="00C63D1E" w:rsidP="008C4B34">
            <w:pPr>
              <w:spacing w:after="0"/>
              <w:rPr>
                <w:b/>
                <w:sz w:val="18"/>
                <w:szCs w:val="18"/>
              </w:rPr>
            </w:pPr>
            <w:r w:rsidRPr="00231E79">
              <w:rPr>
                <w:b/>
                <w:sz w:val="18"/>
                <w:szCs w:val="18"/>
              </w:rPr>
              <w:t>Before charges</w:t>
            </w:r>
          </w:p>
        </w:tc>
        <w:tc>
          <w:tcPr>
            <w:tcW w:w="992" w:type="dxa"/>
            <w:vAlign w:val="top"/>
            <w:hideMark/>
          </w:tcPr>
          <w:p w14:paraId="593526CE" w14:textId="77777777" w:rsidR="00C63D1E" w:rsidRPr="00231E79" w:rsidRDefault="00C63D1E" w:rsidP="008C4B34">
            <w:pPr>
              <w:spacing w:after="0"/>
              <w:rPr>
                <w:b/>
                <w:sz w:val="18"/>
                <w:szCs w:val="18"/>
              </w:rPr>
            </w:pPr>
            <w:r w:rsidRPr="00231E79">
              <w:rPr>
                <w:b/>
                <w:sz w:val="18"/>
                <w:szCs w:val="18"/>
              </w:rPr>
              <w:t>After all charges &amp; costs deducted</w:t>
            </w:r>
          </w:p>
        </w:tc>
        <w:tc>
          <w:tcPr>
            <w:tcW w:w="993" w:type="dxa"/>
            <w:vAlign w:val="top"/>
            <w:hideMark/>
          </w:tcPr>
          <w:p w14:paraId="671E7F7B" w14:textId="77777777" w:rsidR="00C63D1E" w:rsidRPr="00231E79" w:rsidRDefault="00C63D1E" w:rsidP="008C4B34">
            <w:pPr>
              <w:spacing w:after="0"/>
              <w:rPr>
                <w:b/>
                <w:sz w:val="18"/>
                <w:szCs w:val="18"/>
              </w:rPr>
            </w:pPr>
            <w:r w:rsidRPr="00231E79">
              <w:rPr>
                <w:b/>
                <w:sz w:val="18"/>
                <w:szCs w:val="18"/>
              </w:rPr>
              <w:t>Before charges</w:t>
            </w:r>
          </w:p>
        </w:tc>
        <w:tc>
          <w:tcPr>
            <w:tcW w:w="992" w:type="dxa"/>
            <w:vAlign w:val="top"/>
            <w:hideMark/>
          </w:tcPr>
          <w:p w14:paraId="180D78F0" w14:textId="77777777" w:rsidR="00C63D1E" w:rsidRPr="00231E79" w:rsidRDefault="00C63D1E" w:rsidP="008C4B34">
            <w:pPr>
              <w:spacing w:after="0"/>
              <w:rPr>
                <w:b/>
                <w:sz w:val="18"/>
                <w:szCs w:val="18"/>
              </w:rPr>
            </w:pPr>
            <w:r w:rsidRPr="00231E79">
              <w:rPr>
                <w:b/>
                <w:sz w:val="18"/>
                <w:szCs w:val="18"/>
              </w:rPr>
              <w:t>After all charges &amp; costs deducted</w:t>
            </w:r>
          </w:p>
        </w:tc>
        <w:tc>
          <w:tcPr>
            <w:tcW w:w="992" w:type="dxa"/>
            <w:vAlign w:val="top"/>
            <w:hideMark/>
          </w:tcPr>
          <w:p w14:paraId="57E54E33" w14:textId="77777777" w:rsidR="00C63D1E" w:rsidRPr="00231E79" w:rsidRDefault="00C63D1E" w:rsidP="008C4B34">
            <w:pPr>
              <w:spacing w:after="0"/>
              <w:rPr>
                <w:b/>
                <w:sz w:val="18"/>
                <w:szCs w:val="18"/>
              </w:rPr>
            </w:pPr>
            <w:r w:rsidRPr="00231E79">
              <w:rPr>
                <w:b/>
                <w:sz w:val="18"/>
                <w:szCs w:val="18"/>
              </w:rPr>
              <w:t>Before charges</w:t>
            </w:r>
          </w:p>
        </w:tc>
        <w:tc>
          <w:tcPr>
            <w:tcW w:w="987" w:type="dxa"/>
            <w:vAlign w:val="top"/>
            <w:hideMark/>
          </w:tcPr>
          <w:p w14:paraId="12F5F184" w14:textId="77777777" w:rsidR="00C63D1E" w:rsidRPr="00231E79" w:rsidRDefault="00C63D1E" w:rsidP="008C4B34">
            <w:pPr>
              <w:spacing w:after="0"/>
              <w:rPr>
                <w:b/>
                <w:sz w:val="18"/>
                <w:szCs w:val="18"/>
              </w:rPr>
            </w:pPr>
            <w:r w:rsidRPr="00231E79">
              <w:rPr>
                <w:b/>
                <w:sz w:val="18"/>
                <w:szCs w:val="18"/>
              </w:rPr>
              <w:t>After all charges &amp; costs deducted</w:t>
            </w:r>
          </w:p>
        </w:tc>
      </w:tr>
      <w:tr w:rsidR="00C63D1E" w:rsidRPr="00193341" w14:paraId="504C6579" w14:textId="77777777" w:rsidTr="008C4B34">
        <w:trPr>
          <w:trHeight w:val="300"/>
        </w:trPr>
        <w:tc>
          <w:tcPr>
            <w:tcW w:w="1134" w:type="dxa"/>
            <w:noWrap/>
            <w:vAlign w:val="top"/>
            <w:hideMark/>
          </w:tcPr>
          <w:p w14:paraId="0FC29826"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1</w:t>
            </w:r>
          </w:p>
        </w:tc>
        <w:tc>
          <w:tcPr>
            <w:tcW w:w="993" w:type="dxa"/>
            <w:noWrap/>
            <w:vAlign w:val="top"/>
            <w:hideMark/>
          </w:tcPr>
          <w:p w14:paraId="3753B051" w14:textId="6F0AA4F2"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61,600</w:t>
            </w:r>
          </w:p>
        </w:tc>
        <w:tc>
          <w:tcPr>
            <w:tcW w:w="992" w:type="dxa"/>
            <w:noWrap/>
            <w:vAlign w:val="top"/>
            <w:hideMark/>
          </w:tcPr>
          <w:p w14:paraId="209FD259" w14:textId="3E0877E5"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61,500</w:t>
            </w:r>
          </w:p>
        </w:tc>
        <w:tc>
          <w:tcPr>
            <w:tcW w:w="992" w:type="dxa"/>
            <w:noWrap/>
            <w:vAlign w:val="top"/>
            <w:hideMark/>
          </w:tcPr>
          <w:p w14:paraId="2E5571DB" w14:textId="21AF43BE"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63</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1EFDAA04" w14:textId="1C8BCCF1"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63</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6</w:t>
            </w:r>
            <w:r w:rsidRPr="00231E79">
              <w:rPr>
                <w:rFonts w:asciiTheme="minorHAnsi" w:hAnsiTheme="minorHAnsi" w:cstheme="minorHAnsi"/>
                <w:sz w:val="18"/>
                <w:szCs w:val="18"/>
              </w:rPr>
              <w:t>00</w:t>
            </w:r>
          </w:p>
        </w:tc>
        <w:tc>
          <w:tcPr>
            <w:tcW w:w="993" w:type="dxa"/>
            <w:noWrap/>
            <w:vAlign w:val="top"/>
            <w:hideMark/>
          </w:tcPr>
          <w:p w14:paraId="04700B90" w14:textId="00F75EB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64</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597837F4" w14:textId="090F7663"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64</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74075EA9" w14:textId="2F276545"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60,800</w:t>
            </w:r>
          </w:p>
        </w:tc>
        <w:tc>
          <w:tcPr>
            <w:tcW w:w="987" w:type="dxa"/>
            <w:noWrap/>
            <w:vAlign w:val="top"/>
            <w:hideMark/>
          </w:tcPr>
          <w:p w14:paraId="59C75D1F" w14:textId="49FFCCE9"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60</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7</w:t>
            </w:r>
            <w:r w:rsidRPr="00231E79">
              <w:rPr>
                <w:rFonts w:asciiTheme="minorHAnsi" w:hAnsiTheme="minorHAnsi" w:cstheme="minorHAnsi"/>
                <w:sz w:val="18"/>
                <w:szCs w:val="18"/>
              </w:rPr>
              <w:t>00</w:t>
            </w:r>
          </w:p>
        </w:tc>
      </w:tr>
      <w:tr w:rsidR="00C63D1E" w:rsidRPr="00193341" w14:paraId="206DD5E9" w14:textId="77777777" w:rsidTr="008C4B34">
        <w:trPr>
          <w:trHeight w:val="300"/>
        </w:trPr>
        <w:tc>
          <w:tcPr>
            <w:tcW w:w="1134" w:type="dxa"/>
            <w:noWrap/>
            <w:vAlign w:val="top"/>
            <w:hideMark/>
          </w:tcPr>
          <w:p w14:paraId="1DDDAC6C"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3</w:t>
            </w:r>
          </w:p>
        </w:tc>
        <w:tc>
          <w:tcPr>
            <w:tcW w:w="993" w:type="dxa"/>
            <w:noWrap/>
            <w:vAlign w:val="top"/>
            <w:hideMark/>
          </w:tcPr>
          <w:p w14:paraId="5C2C806D" w14:textId="79701154"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65,500</w:t>
            </w:r>
          </w:p>
        </w:tc>
        <w:tc>
          <w:tcPr>
            <w:tcW w:w="992" w:type="dxa"/>
            <w:noWrap/>
            <w:vAlign w:val="top"/>
            <w:hideMark/>
          </w:tcPr>
          <w:p w14:paraId="3247C398" w14:textId="67A3B0B2"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65,200</w:t>
            </w:r>
          </w:p>
        </w:tc>
        <w:tc>
          <w:tcPr>
            <w:tcW w:w="992" w:type="dxa"/>
            <w:noWrap/>
            <w:vAlign w:val="top"/>
            <w:hideMark/>
          </w:tcPr>
          <w:p w14:paraId="06276A93" w14:textId="4FDEFEBF"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72</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31304067" w14:textId="61CDCE50"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71</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2</w:t>
            </w:r>
            <w:r w:rsidRPr="00231E79">
              <w:rPr>
                <w:rFonts w:asciiTheme="minorHAnsi" w:hAnsiTheme="minorHAnsi" w:cstheme="minorHAnsi"/>
                <w:sz w:val="18"/>
                <w:szCs w:val="18"/>
              </w:rPr>
              <w:t>00</w:t>
            </w:r>
          </w:p>
        </w:tc>
        <w:tc>
          <w:tcPr>
            <w:tcW w:w="993" w:type="dxa"/>
            <w:noWrap/>
            <w:vAlign w:val="top"/>
            <w:hideMark/>
          </w:tcPr>
          <w:p w14:paraId="23236F55" w14:textId="101E9D1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73</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6</w:t>
            </w:r>
            <w:r w:rsidRPr="00231E79">
              <w:rPr>
                <w:rFonts w:asciiTheme="minorHAnsi" w:hAnsiTheme="minorHAnsi" w:cstheme="minorHAnsi"/>
                <w:sz w:val="18"/>
                <w:szCs w:val="18"/>
              </w:rPr>
              <w:t>00</w:t>
            </w:r>
          </w:p>
        </w:tc>
        <w:tc>
          <w:tcPr>
            <w:tcW w:w="992" w:type="dxa"/>
            <w:noWrap/>
            <w:vAlign w:val="top"/>
            <w:hideMark/>
          </w:tcPr>
          <w:p w14:paraId="2172E766" w14:textId="3AFF405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73</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5023ED86" w14:textId="35368F6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62,300</w:t>
            </w:r>
          </w:p>
        </w:tc>
        <w:tc>
          <w:tcPr>
            <w:tcW w:w="987" w:type="dxa"/>
            <w:noWrap/>
            <w:vAlign w:val="top"/>
            <w:hideMark/>
          </w:tcPr>
          <w:p w14:paraId="0D5C13BC" w14:textId="0F49627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6</w:t>
            </w:r>
            <w:r w:rsidRPr="00231E79">
              <w:rPr>
                <w:rFonts w:asciiTheme="minorHAnsi" w:hAnsiTheme="minorHAnsi" w:cstheme="minorHAnsi"/>
                <w:sz w:val="18"/>
                <w:szCs w:val="18"/>
              </w:rPr>
              <w:t>2,</w:t>
            </w:r>
            <w:r w:rsidR="00B724D0" w:rsidRPr="00231E79">
              <w:rPr>
                <w:rFonts w:asciiTheme="minorHAnsi" w:hAnsiTheme="minorHAnsi" w:cstheme="minorHAnsi"/>
                <w:sz w:val="18"/>
                <w:szCs w:val="18"/>
              </w:rPr>
              <w:t>2</w:t>
            </w:r>
            <w:r w:rsidRPr="00231E79">
              <w:rPr>
                <w:rFonts w:asciiTheme="minorHAnsi" w:hAnsiTheme="minorHAnsi" w:cstheme="minorHAnsi"/>
                <w:sz w:val="18"/>
                <w:szCs w:val="18"/>
              </w:rPr>
              <w:t>00</w:t>
            </w:r>
          </w:p>
        </w:tc>
      </w:tr>
      <w:tr w:rsidR="00C63D1E" w:rsidRPr="00193341" w14:paraId="62433EA0" w14:textId="77777777" w:rsidTr="008C4B34">
        <w:trPr>
          <w:trHeight w:val="300"/>
        </w:trPr>
        <w:tc>
          <w:tcPr>
            <w:tcW w:w="1134" w:type="dxa"/>
            <w:noWrap/>
            <w:vAlign w:val="top"/>
            <w:hideMark/>
          </w:tcPr>
          <w:p w14:paraId="30B4117B"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5</w:t>
            </w:r>
          </w:p>
        </w:tc>
        <w:tc>
          <w:tcPr>
            <w:tcW w:w="993" w:type="dxa"/>
            <w:noWrap/>
            <w:vAlign w:val="top"/>
            <w:hideMark/>
          </w:tcPr>
          <w:p w14:paraId="070F5A41" w14:textId="188647C7"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70,400</w:t>
            </w:r>
          </w:p>
        </w:tc>
        <w:tc>
          <w:tcPr>
            <w:tcW w:w="992" w:type="dxa"/>
            <w:noWrap/>
            <w:vAlign w:val="top"/>
            <w:hideMark/>
          </w:tcPr>
          <w:p w14:paraId="7306166C" w14:textId="5BD73860"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69,800</w:t>
            </w:r>
          </w:p>
        </w:tc>
        <w:tc>
          <w:tcPr>
            <w:tcW w:w="992" w:type="dxa"/>
            <w:noWrap/>
            <w:vAlign w:val="top"/>
            <w:hideMark/>
          </w:tcPr>
          <w:p w14:paraId="4B9730E2" w14:textId="2861430F"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80</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023B2D7D" w14:textId="79818A21"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79</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1</w:t>
            </w:r>
            <w:r w:rsidRPr="00231E79">
              <w:rPr>
                <w:rFonts w:asciiTheme="minorHAnsi" w:hAnsiTheme="minorHAnsi" w:cstheme="minorHAnsi"/>
                <w:sz w:val="18"/>
                <w:szCs w:val="18"/>
              </w:rPr>
              <w:t>00</w:t>
            </w:r>
          </w:p>
        </w:tc>
        <w:tc>
          <w:tcPr>
            <w:tcW w:w="993" w:type="dxa"/>
            <w:noWrap/>
            <w:vAlign w:val="top"/>
            <w:hideMark/>
          </w:tcPr>
          <w:p w14:paraId="334CD0A7" w14:textId="618F7CF4"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83</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6</w:t>
            </w:r>
            <w:r w:rsidRPr="00231E79">
              <w:rPr>
                <w:rFonts w:asciiTheme="minorHAnsi" w:hAnsiTheme="minorHAnsi" w:cstheme="minorHAnsi"/>
                <w:sz w:val="18"/>
                <w:szCs w:val="18"/>
              </w:rPr>
              <w:t>00</w:t>
            </w:r>
          </w:p>
        </w:tc>
        <w:tc>
          <w:tcPr>
            <w:tcW w:w="992" w:type="dxa"/>
            <w:noWrap/>
            <w:vAlign w:val="top"/>
            <w:hideMark/>
          </w:tcPr>
          <w:p w14:paraId="24ED7203" w14:textId="5C258CE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82</w:t>
            </w:r>
            <w:r w:rsidRPr="00231E79">
              <w:rPr>
                <w:rFonts w:asciiTheme="minorHAnsi" w:hAnsiTheme="minorHAnsi" w:cstheme="minorHAnsi"/>
                <w:sz w:val="18"/>
                <w:szCs w:val="18"/>
              </w:rPr>
              <w:t>,</w:t>
            </w:r>
            <w:r w:rsidR="00B853EC" w:rsidRPr="00231E79">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443B9151" w14:textId="7AA1ADF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63,800</w:t>
            </w:r>
          </w:p>
        </w:tc>
        <w:tc>
          <w:tcPr>
            <w:tcW w:w="987" w:type="dxa"/>
            <w:noWrap/>
            <w:vAlign w:val="top"/>
            <w:hideMark/>
          </w:tcPr>
          <w:p w14:paraId="3C429B0E" w14:textId="18E123AF"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63</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5</w:t>
            </w:r>
            <w:r w:rsidRPr="00231E79">
              <w:rPr>
                <w:rFonts w:asciiTheme="minorHAnsi" w:hAnsiTheme="minorHAnsi" w:cstheme="minorHAnsi"/>
                <w:sz w:val="18"/>
                <w:szCs w:val="18"/>
              </w:rPr>
              <w:t>00</w:t>
            </w:r>
          </w:p>
        </w:tc>
      </w:tr>
      <w:tr w:rsidR="00C63D1E" w:rsidRPr="00193341" w14:paraId="7FA94603" w14:textId="77777777" w:rsidTr="008C4B34">
        <w:trPr>
          <w:trHeight w:val="300"/>
        </w:trPr>
        <w:tc>
          <w:tcPr>
            <w:tcW w:w="1134" w:type="dxa"/>
            <w:noWrap/>
            <w:vAlign w:val="top"/>
            <w:hideMark/>
          </w:tcPr>
          <w:p w14:paraId="48C67876"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10</w:t>
            </w:r>
          </w:p>
        </w:tc>
        <w:tc>
          <w:tcPr>
            <w:tcW w:w="993" w:type="dxa"/>
            <w:noWrap/>
            <w:vAlign w:val="top"/>
            <w:hideMark/>
          </w:tcPr>
          <w:p w14:paraId="010815C5" w14:textId="740BF83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88,400</w:t>
            </w:r>
          </w:p>
        </w:tc>
        <w:tc>
          <w:tcPr>
            <w:tcW w:w="992" w:type="dxa"/>
            <w:noWrap/>
            <w:vAlign w:val="top"/>
            <w:hideMark/>
          </w:tcPr>
          <w:p w14:paraId="2E37E44F" w14:textId="029BB183"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86,200</w:t>
            </w:r>
          </w:p>
        </w:tc>
        <w:tc>
          <w:tcPr>
            <w:tcW w:w="992" w:type="dxa"/>
            <w:noWrap/>
            <w:vAlign w:val="top"/>
            <w:hideMark/>
          </w:tcPr>
          <w:p w14:paraId="313E77F4" w14:textId="0C7E6EF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105</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448C9508" w14:textId="1A90812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101</w:t>
            </w:r>
            <w:r w:rsidRPr="00231E79">
              <w:rPr>
                <w:rFonts w:asciiTheme="minorHAnsi" w:hAnsiTheme="minorHAnsi" w:cstheme="minorHAnsi"/>
                <w:sz w:val="18"/>
                <w:szCs w:val="18"/>
              </w:rPr>
              <w:t>,000</w:t>
            </w:r>
          </w:p>
        </w:tc>
        <w:tc>
          <w:tcPr>
            <w:tcW w:w="993" w:type="dxa"/>
            <w:noWrap/>
            <w:vAlign w:val="top"/>
            <w:hideMark/>
          </w:tcPr>
          <w:p w14:paraId="603E3DBE" w14:textId="0DDE6B2E"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112</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4ED37E7C" w14:textId="305C289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110</w:t>
            </w:r>
            <w:r w:rsidRPr="00231E79">
              <w:rPr>
                <w:rFonts w:asciiTheme="minorHAnsi" w:hAnsiTheme="minorHAnsi" w:cstheme="minorHAnsi"/>
                <w:sz w:val="18"/>
                <w:szCs w:val="18"/>
              </w:rPr>
              <w:t>,</w:t>
            </w:r>
            <w:r w:rsidR="00B853EC"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22A83A6F" w14:textId="4A0A4C58"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67,400</w:t>
            </w:r>
          </w:p>
        </w:tc>
        <w:tc>
          <w:tcPr>
            <w:tcW w:w="987" w:type="dxa"/>
            <w:noWrap/>
            <w:vAlign w:val="top"/>
            <w:hideMark/>
          </w:tcPr>
          <w:p w14:paraId="2AD67091" w14:textId="3532606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66</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8</w:t>
            </w:r>
            <w:r w:rsidRPr="00231E79">
              <w:rPr>
                <w:rFonts w:asciiTheme="minorHAnsi" w:hAnsiTheme="minorHAnsi" w:cstheme="minorHAnsi"/>
                <w:sz w:val="18"/>
                <w:szCs w:val="18"/>
              </w:rPr>
              <w:t>00</w:t>
            </w:r>
          </w:p>
        </w:tc>
      </w:tr>
      <w:tr w:rsidR="00C63D1E" w:rsidRPr="00193341" w14:paraId="789CB399" w14:textId="77777777" w:rsidTr="008C4B34">
        <w:trPr>
          <w:trHeight w:val="300"/>
        </w:trPr>
        <w:tc>
          <w:tcPr>
            <w:tcW w:w="1134" w:type="dxa"/>
            <w:noWrap/>
            <w:vAlign w:val="top"/>
            <w:hideMark/>
          </w:tcPr>
          <w:p w14:paraId="1BEFCB0A"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15</w:t>
            </w:r>
          </w:p>
        </w:tc>
        <w:tc>
          <w:tcPr>
            <w:tcW w:w="993" w:type="dxa"/>
            <w:noWrap/>
            <w:vAlign w:val="top"/>
            <w:hideMark/>
          </w:tcPr>
          <w:p w14:paraId="594D127A" w14:textId="02C834D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112,000</w:t>
            </w:r>
          </w:p>
        </w:tc>
        <w:tc>
          <w:tcPr>
            <w:tcW w:w="992" w:type="dxa"/>
            <w:noWrap/>
            <w:vAlign w:val="top"/>
            <w:hideMark/>
          </w:tcPr>
          <w:p w14:paraId="7CCAB5F9" w14:textId="094E2528"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107,000</w:t>
            </w:r>
          </w:p>
        </w:tc>
        <w:tc>
          <w:tcPr>
            <w:tcW w:w="992" w:type="dxa"/>
            <w:noWrap/>
            <w:vAlign w:val="top"/>
            <w:hideMark/>
          </w:tcPr>
          <w:p w14:paraId="07B401A1" w14:textId="0B9A85C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13</w:t>
            </w:r>
            <w:r w:rsidRPr="00231E79">
              <w:rPr>
                <w:rFonts w:asciiTheme="minorHAnsi" w:hAnsiTheme="minorHAnsi" w:cstheme="minorHAnsi"/>
                <w:sz w:val="18"/>
                <w:szCs w:val="18"/>
              </w:rPr>
              <w:t>4,</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1FAF2DD2" w14:textId="2ADD02E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12</w:t>
            </w:r>
            <w:r w:rsidRPr="00231E79">
              <w:rPr>
                <w:rFonts w:asciiTheme="minorHAnsi" w:hAnsiTheme="minorHAnsi" w:cstheme="minorHAnsi"/>
                <w:sz w:val="18"/>
                <w:szCs w:val="18"/>
              </w:rPr>
              <w:t>6,</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3" w:type="dxa"/>
            <w:noWrap/>
            <w:vAlign w:val="top"/>
            <w:hideMark/>
          </w:tcPr>
          <w:p w14:paraId="1E7D8AD6" w14:textId="63B51DF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w:t>
            </w:r>
            <w:r w:rsidRPr="00231E79">
              <w:rPr>
                <w:rFonts w:asciiTheme="minorHAnsi" w:hAnsiTheme="minorHAnsi" w:cstheme="minorHAnsi"/>
                <w:sz w:val="18"/>
                <w:szCs w:val="18"/>
              </w:rPr>
              <w:t>4</w:t>
            </w:r>
            <w:r w:rsidR="007F591F" w:rsidRPr="00231E79">
              <w:rPr>
                <w:rFonts w:asciiTheme="minorHAnsi" w:hAnsiTheme="minorHAnsi" w:cstheme="minorHAnsi"/>
                <w:sz w:val="18"/>
                <w:szCs w:val="18"/>
              </w:rPr>
              <w:t>7</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5143FA66" w14:textId="00D28BE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1</w:t>
            </w:r>
            <w:r w:rsidRPr="00231E79">
              <w:rPr>
                <w:rFonts w:asciiTheme="minorHAnsi" w:hAnsiTheme="minorHAnsi" w:cstheme="minorHAnsi"/>
                <w:sz w:val="18"/>
                <w:szCs w:val="18"/>
              </w:rPr>
              <w:t>4</w:t>
            </w:r>
            <w:r w:rsidR="00B853EC" w:rsidRPr="00231E79">
              <w:rPr>
                <w:rFonts w:asciiTheme="minorHAnsi" w:hAnsiTheme="minorHAnsi" w:cstheme="minorHAnsi"/>
                <w:sz w:val="18"/>
                <w:szCs w:val="18"/>
              </w:rPr>
              <w:t>3</w:t>
            </w:r>
            <w:r w:rsidRPr="00231E79">
              <w:rPr>
                <w:rFonts w:asciiTheme="minorHAnsi" w:hAnsiTheme="minorHAnsi" w:cstheme="minorHAnsi"/>
                <w:sz w:val="18"/>
                <w:szCs w:val="18"/>
              </w:rPr>
              <w:t>,000</w:t>
            </w:r>
          </w:p>
        </w:tc>
        <w:tc>
          <w:tcPr>
            <w:tcW w:w="992" w:type="dxa"/>
            <w:noWrap/>
            <w:vAlign w:val="top"/>
            <w:hideMark/>
          </w:tcPr>
          <w:p w14:paraId="37E9FFE9" w14:textId="5B848000"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70,500</w:t>
            </w:r>
          </w:p>
        </w:tc>
        <w:tc>
          <w:tcPr>
            <w:tcW w:w="987" w:type="dxa"/>
            <w:noWrap/>
            <w:vAlign w:val="top"/>
            <w:hideMark/>
          </w:tcPr>
          <w:p w14:paraId="270B53DB" w14:textId="3B054C25"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69</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7</w:t>
            </w:r>
            <w:r w:rsidRPr="00231E79">
              <w:rPr>
                <w:rFonts w:asciiTheme="minorHAnsi" w:hAnsiTheme="minorHAnsi" w:cstheme="minorHAnsi"/>
                <w:sz w:val="18"/>
                <w:szCs w:val="18"/>
              </w:rPr>
              <w:t>00</w:t>
            </w:r>
          </w:p>
        </w:tc>
      </w:tr>
      <w:tr w:rsidR="00C63D1E" w:rsidRPr="00193341" w14:paraId="302C48E5" w14:textId="77777777" w:rsidTr="008C4B34">
        <w:trPr>
          <w:trHeight w:val="300"/>
        </w:trPr>
        <w:tc>
          <w:tcPr>
            <w:tcW w:w="1134" w:type="dxa"/>
            <w:noWrap/>
            <w:vAlign w:val="top"/>
            <w:hideMark/>
          </w:tcPr>
          <w:p w14:paraId="2EA2F9E1"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20</w:t>
            </w:r>
          </w:p>
        </w:tc>
        <w:tc>
          <w:tcPr>
            <w:tcW w:w="993" w:type="dxa"/>
            <w:noWrap/>
            <w:vAlign w:val="top"/>
            <w:hideMark/>
          </w:tcPr>
          <w:p w14:paraId="3D590BF9" w14:textId="16BE5F72"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140,000</w:t>
            </w:r>
          </w:p>
        </w:tc>
        <w:tc>
          <w:tcPr>
            <w:tcW w:w="992" w:type="dxa"/>
            <w:noWrap/>
            <w:vAlign w:val="top"/>
            <w:hideMark/>
          </w:tcPr>
          <w:p w14:paraId="1C2D2421" w14:textId="48C6F049"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132,000</w:t>
            </w:r>
          </w:p>
        </w:tc>
        <w:tc>
          <w:tcPr>
            <w:tcW w:w="992" w:type="dxa"/>
            <w:noWrap/>
            <w:vAlign w:val="top"/>
            <w:hideMark/>
          </w:tcPr>
          <w:p w14:paraId="0ACFC335" w14:textId="3F1FF574"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167</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5F808B17" w14:textId="4A6500F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w:t>
            </w:r>
            <w:r w:rsidRPr="00231E79">
              <w:rPr>
                <w:rFonts w:asciiTheme="minorHAnsi" w:hAnsiTheme="minorHAnsi" w:cstheme="minorHAnsi"/>
                <w:sz w:val="18"/>
                <w:szCs w:val="18"/>
              </w:rPr>
              <w:t>5</w:t>
            </w:r>
            <w:r w:rsidR="007F591F" w:rsidRPr="00231E79">
              <w:rPr>
                <w:rFonts w:asciiTheme="minorHAnsi" w:hAnsiTheme="minorHAnsi" w:cstheme="minorHAnsi"/>
                <w:sz w:val="18"/>
                <w:szCs w:val="18"/>
              </w:rPr>
              <w:t>4</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3" w:type="dxa"/>
            <w:noWrap/>
            <w:vAlign w:val="top"/>
            <w:hideMark/>
          </w:tcPr>
          <w:p w14:paraId="6164CC18" w14:textId="1634D3D3"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189</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72F68D48" w14:textId="681002C7"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1</w:t>
            </w:r>
            <w:r w:rsidRPr="00231E79">
              <w:rPr>
                <w:rFonts w:asciiTheme="minorHAnsi" w:hAnsiTheme="minorHAnsi" w:cstheme="minorHAnsi"/>
                <w:sz w:val="18"/>
                <w:szCs w:val="18"/>
              </w:rPr>
              <w:t>8</w:t>
            </w:r>
            <w:r w:rsidR="00B853EC" w:rsidRPr="00231E79">
              <w:rPr>
                <w:rFonts w:asciiTheme="minorHAnsi" w:hAnsiTheme="minorHAnsi" w:cstheme="minorHAnsi"/>
                <w:sz w:val="18"/>
                <w:szCs w:val="18"/>
              </w:rPr>
              <w:t>3</w:t>
            </w:r>
            <w:r w:rsidRPr="00231E79">
              <w:rPr>
                <w:rFonts w:asciiTheme="minorHAnsi" w:hAnsiTheme="minorHAnsi" w:cstheme="minorHAnsi"/>
                <w:sz w:val="18"/>
                <w:szCs w:val="18"/>
              </w:rPr>
              <w:t>,</w:t>
            </w:r>
            <w:r w:rsidR="00B853EC"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7796F7D1" w14:textId="622C38C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73,400</w:t>
            </w:r>
          </w:p>
        </w:tc>
        <w:tc>
          <w:tcPr>
            <w:tcW w:w="987" w:type="dxa"/>
            <w:noWrap/>
            <w:vAlign w:val="top"/>
            <w:hideMark/>
          </w:tcPr>
          <w:p w14:paraId="75AE0615" w14:textId="22D1266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£7</w:t>
            </w:r>
            <w:r w:rsidR="00B724D0" w:rsidRPr="00231E79">
              <w:rPr>
                <w:rFonts w:asciiTheme="minorHAnsi" w:hAnsiTheme="minorHAnsi" w:cstheme="minorHAnsi"/>
                <w:sz w:val="18"/>
                <w:szCs w:val="18"/>
              </w:rPr>
              <w:t>2</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3</w:t>
            </w:r>
            <w:r w:rsidRPr="00231E79">
              <w:rPr>
                <w:rFonts w:asciiTheme="minorHAnsi" w:hAnsiTheme="minorHAnsi" w:cstheme="minorHAnsi"/>
                <w:sz w:val="18"/>
                <w:szCs w:val="18"/>
              </w:rPr>
              <w:t>00</w:t>
            </w:r>
          </w:p>
        </w:tc>
      </w:tr>
      <w:tr w:rsidR="00C63D1E" w:rsidRPr="00193341" w14:paraId="046FE5DC" w14:textId="77777777" w:rsidTr="008C4B34">
        <w:trPr>
          <w:trHeight w:val="300"/>
        </w:trPr>
        <w:tc>
          <w:tcPr>
            <w:tcW w:w="1134" w:type="dxa"/>
            <w:noWrap/>
            <w:vAlign w:val="top"/>
            <w:hideMark/>
          </w:tcPr>
          <w:p w14:paraId="2DF53702"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25</w:t>
            </w:r>
          </w:p>
        </w:tc>
        <w:tc>
          <w:tcPr>
            <w:tcW w:w="993" w:type="dxa"/>
            <w:noWrap/>
            <w:vAlign w:val="top"/>
            <w:hideMark/>
          </w:tcPr>
          <w:p w14:paraId="334C1BF2" w14:textId="19D93A1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173,000</w:t>
            </w:r>
          </w:p>
        </w:tc>
        <w:tc>
          <w:tcPr>
            <w:tcW w:w="992" w:type="dxa"/>
            <w:noWrap/>
            <w:vAlign w:val="top"/>
            <w:hideMark/>
          </w:tcPr>
          <w:p w14:paraId="09D8F30D" w14:textId="62C3793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160,000</w:t>
            </w:r>
          </w:p>
        </w:tc>
        <w:tc>
          <w:tcPr>
            <w:tcW w:w="992" w:type="dxa"/>
            <w:noWrap/>
            <w:vAlign w:val="top"/>
            <w:hideMark/>
          </w:tcPr>
          <w:p w14:paraId="62F0EEEC" w14:textId="5096294D"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2</w:t>
            </w:r>
            <w:r w:rsidRPr="00231E79">
              <w:rPr>
                <w:rFonts w:asciiTheme="minorHAnsi" w:hAnsiTheme="minorHAnsi" w:cstheme="minorHAnsi"/>
                <w:sz w:val="18"/>
                <w:szCs w:val="18"/>
              </w:rPr>
              <w:t>0</w:t>
            </w:r>
            <w:r w:rsidR="007F591F" w:rsidRPr="00231E79">
              <w:rPr>
                <w:rFonts w:asciiTheme="minorHAnsi" w:hAnsiTheme="minorHAnsi" w:cstheme="minorHAnsi"/>
                <w:sz w:val="18"/>
                <w:szCs w:val="18"/>
              </w:rPr>
              <w:t>6</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500AAC39" w14:textId="229F04D7"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187</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3" w:type="dxa"/>
            <w:noWrap/>
            <w:vAlign w:val="top"/>
            <w:hideMark/>
          </w:tcPr>
          <w:p w14:paraId="447DF467" w14:textId="1203EE2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£2</w:t>
            </w:r>
            <w:r w:rsidR="007F591F" w:rsidRPr="00231E79">
              <w:rPr>
                <w:rFonts w:asciiTheme="minorHAnsi" w:hAnsiTheme="minorHAnsi" w:cstheme="minorHAnsi"/>
                <w:sz w:val="18"/>
                <w:szCs w:val="18"/>
              </w:rPr>
              <w:t>40</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2F15EA43" w14:textId="22EB2CC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230</w:t>
            </w:r>
            <w:r w:rsidRPr="00231E79">
              <w:rPr>
                <w:rFonts w:asciiTheme="minorHAnsi" w:hAnsiTheme="minorHAnsi" w:cstheme="minorHAnsi"/>
                <w:sz w:val="18"/>
                <w:szCs w:val="18"/>
              </w:rPr>
              <w:t>,</w:t>
            </w:r>
            <w:r w:rsidR="00B853EC"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76C8D3D2" w14:textId="3406156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76,100</w:t>
            </w:r>
          </w:p>
        </w:tc>
        <w:tc>
          <w:tcPr>
            <w:tcW w:w="987" w:type="dxa"/>
            <w:noWrap/>
            <w:vAlign w:val="top"/>
            <w:hideMark/>
          </w:tcPr>
          <w:p w14:paraId="11730412" w14:textId="674A960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£7</w:t>
            </w:r>
            <w:r w:rsidR="00B724D0" w:rsidRPr="00231E79">
              <w:rPr>
                <w:rFonts w:asciiTheme="minorHAnsi" w:hAnsiTheme="minorHAnsi" w:cstheme="minorHAnsi"/>
                <w:sz w:val="18"/>
                <w:szCs w:val="18"/>
              </w:rPr>
              <w:t>4</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7</w:t>
            </w:r>
            <w:r w:rsidRPr="00231E79">
              <w:rPr>
                <w:rFonts w:asciiTheme="minorHAnsi" w:hAnsiTheme="minorHAnsi" w:cstheme="minorHAnsi"/>
                <w:sz w:val="18"/>
                <w:szCs w:val="18"/>
              </w:rPr>
              <w:t>00</w:t>
            </w:r>
          </w:p>
        </w:tc>
      </w:tr>
      <w:tr w:rsidR="00C63D1E" w:rsidRPr="00193341" w14:paraId="5DD2C1A6" w14:textId="77777777" w:rsidTr="008C4B34">
        <w:trPr>
          <w:trHeight w:val="300"/>
        </w:trPr>
        <w:tc>
          <w:tcPr>
            <w:tcW w:w="1134" w:type="dxa"/>
            <w:noWrap/>
            <w:vAlign w:val="top"/>
            <w:hideMark/>
          </w:tcPr>
          <w:p w14:paraId="53D1C8B1"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30</w:t>
            </w:r>
          </w:p>
        </w:tc>
        <w:tc>
          <w:tcPr>
            <w:tcW w:w="993" w:type="dxa"/>
            <w:noWrap/>
            <w:vAlign w:val="top"/>
            <w:hideMark/>
          </w:tcPr>
          <w:p w14:paraId="320D08BE" w14:textId="44411A51"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212,000</w:t>
            </w:r>
          </w:p>
        </w:tc>
        <w:tc>
          <w:tcPr>
            <w:tcW w:w="992" w:type="dxa"/>
            <w:noWrap/>
            <w:vAlign w:val="top"/>
            <w:hideMark/>
          </w:tcPr>
          <w:p w14:paraId="39151DB7" w14:textId="2A11153F"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192,000</w:t>
            </w:r>
          </w:p>
        </w:tc>
        <w:tc>
          <w:tcPr>
            <w:tcW w:w="992" w:type="dxa"/>
            <w:noWrap/>
            <w:vAlign w:val="top"/>
            <w:hideMark/>
          </w:tcPr>
          <w:p w14:paraId="7A21D443" w14:textId="35880F71"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2</w:t>
            </w:r>
            <w:r w:rsidRPr="00231E79">
              <w:rPr>
                <w:rFonts w:asciiTheme="minorHAnsi" w:hAnsiTheme="minorHAnsi" w:cstheme="minorHAnsi"/>
                <w:sz w:val="18"/>
                <w:szCs w:val="18"/>
              </w:rPr>
              <w:t>5</w:t>
            </w:r>
            <w:r w:rsidR="007F591F" w:rsidRPr="00231E79">
              <w:rPr>
                <w:rFonts w:asciiTheme="minorHAnsi" w:hAnsiTheme="minorHAnsi" w:cstheme="minorHAnsi"/>
                <w:sz w:val="18"/>
                <w:szCs w:val="18"/>
              </w:rPr>
              <w:t>2</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7ED905EC" w14:textId="53550E3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224</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3" w:type="dxa"/>
            <w:noWrap/>
            <w:vAlign w:val="top"/>
            <w:hideMark/>
          </w:tcPr>
          <w:p w14:paraId="66C52B0A" w14:textId="66C3BCCA"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£3</w:t>
            </w:r>
            <w:r w:rsidR="007F591F" w:rsidRPr="00231E79">
              <w:rPr>
                <w:rFonts w:asciiTheme="minorHAnsi" w:hAnsiTheme="minorHAnsi" w:cstheme="minorHAnsi"/>
                <w:sz w:val="18"/>
                <w:szCs w:val="18"/>
              </w:rPr>
              <w:t>01</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351105A9" w14:textId="7953CC4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287</w:t>
            </w:r>
            <w:r w:rsidRPr="00231E79">
              <w:rPr>
                <w:rFonts w:asciiTheme="minorHAnsi" w:hAnsiTheme="minorHAnsi" w:cstheme="minorHAnsi"/>
                <w:sz w:val="18"/>
                <w:szCs w:val="18"/>
              </w:rPr>
              <w:t>,</w:t>
            </w:r>
            <w:r w:rsidR="00B853EC"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6912F4DE" w14:textId="09C8B82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78,400</w:t>
            </w:r>
          </w:p>
        </w:tc>
        <w:tc>
          <w:tcPr>
            <w:tcW w:w="987" w:type="dxa"/>
            <w:noWrap/>
            <w:vAlign w:val="top"/>
            <w:hideMark/>
          </w:tcPr>
          <w:p w14:paraId="1748C5A3" w14:textId="6AF1890C"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76</w:t>
            </w:r>
            <w:r w:rsidRPr="00231E79">
              <w:rPr>
                <w:rFonts w:asciiTheme="minorHAnsi" w:hAnsiTheme="minorHAnsi" w:cstheme="minorHAnsi"/>
                <w:sz w:val="18"/>
                <w:szCs w:val="18"/>
              </w:rPr>
              <w:t>,</w:t>
            </w:r>
            <w:r w:rsidR="00B724D0" w:rsidRPr="00231E79">
              <w:rPr>
                <w:rFonts w:asciiTheme="minorHAnsi" w:hAnsiTheme="minorHAnsi" w:cstheme="minorHAnsi"/>
                <w:sz w:val="18"/>
                <w:szCs w:val="18"/>
              </w:rPr>
              <w:t>9</w:t>
            </w:r>
            <w:r w:rsidRPr="00231E79">
              <w:rPr>
                <w:rFonts w:asciiTheme="minorHAnsi" w:hAnsiTheme="minorHAnsi" w:cstheme="minorHAnsi"/>
                <w:sz w:val="18"/>
                <w:szCs w:val="18"/>
              </w:rPr>
              <w:t>00</w:t>
            </w:r>
          </w:p>
        </w:tc>
      </w:tr>
      <w:tr w:rsidR="00C63D1E" w:rsidRPr="00193341" w14:paraId="12A99797" w14:textId="77777777" w:rsidTr="008C4B34">
        <w:trPr>
          <w:trHeight w:val="300"/>
        </w:trPr>
        <w:tc>
          <w:tcPr>
            <w:tcW w:w="1134" w:type="dxa"/>
            <w:noWrap/>
            <w:vAlign w:val="top"/>
            <w:hideMark/>
          </w:tcPr>
          <w:p w14:paraId="795BE96C" w14:textId="77777777" w:rsidR="00C63D1E" w:rsidRPr="00231E79" w:rsidRDefault="00C63D1E" w:rsidP="008C4B34">
            <w:pPr>
              <w:spacing w:after="0"/>
              <w:rPr>
                <w:rFonts w:asciiTheme="minorHAnsi" w:hAnsiTheme="minorHAnsi" w:cstheme="minorHAnsi"/>
                <w:b/>
                <w:color w:val="000000"/>
                <w:sz w:val="18"/>
                <w:szCs w:val="18"/>
              </w:rPr>
            </w:pPr>
            <w:r w:rsidRPr="00231E79">
              <w:rPr>
                <w:b/>
                <w:sz w:val="18"/>
                <w:szCs w:val="18"/>
              </w:rPr>
              <w:t>35</w:t>
            </w:r>
          </w:p>
        </w:tc>
        <w:tc>
          <w:tcPr>
            <w:tcW w:w="993" w:type="dxa"/>
            <w:noWrap/>
            <w:vAlign w:val="top"/>
            <w:hideMark/>
          </w:tcPr>
          <w:p w14:paraId="5616D88F" w14:textId="2C8673E2"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£2</w:t>
            </w:r>
            <w:r w:rsidR="007F591F" w:rsidRPr="00231E79">
              <w:rPr>
                <w:rFonts w:asciiTheme="minorHAnsi" w:hAnsiTheme="minorHAnsi" w:cstheme="minorHAnsi"/>
                <w:sz w:val="18"/>
                <w:szCs w:val="18"/>
              </w:rPr>
              <w:t>57</w:t>
            </w:r>
            <w:r w:rsidRPr="00231E79">
              <w:rPr>
                <w:rFonts w:asciiTheme="minorHAnsi" w:hAnsiTheme="minorHAnsi" w:cstheme="minorHAnsi"/>
                <w:sz w:val="18"/>
                <w:szCs w:val="18"/>
              </w:rPr>
              <w:t>,000</w:t>
            </w:r>
          </w:p>
        </w:tc>
        <w:tc>
          <w:tcPr>
            <w:tcW w:w="992" w:type="dxa"/>
            <w:noWrap/>
            <w:vAlign w:val="top"/>
            <w:hideMark/>
          </w:tcPr>
          <w:p w14:paraId="457EB765" w14:textId="1815423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228,000</w:t>
            </w:r>
          </w:p>
        </w:tc>
        <w:tc>
          <w:tcPr>
            <w:tcW w:w="992" w:type="dxa"/>
            <w:noWrap/>
            <w:vAlign w:val="top"/>
            <w:hideMark/>
          </w:tcPr>
          <w:p w14:paraId="294E888A" w14:textId="6E22C234"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3</w:t>
            </w:r>
            <w:r w:rsidRPr="00231E79">
              <w:rPr>
                <w:rFonts w:asciiTheme="minorHAnsi" w:hAnsiTheme="minorHAnsi" w:cstheme="minorHAnsi"/>
                <w:sz w:val="18"/>
                <w:szCs w:val="18"/>
              </w:rPr>
              <w:t>0</w:t>
            </w:r>
            <w:r w:rsidR="007F591F" w:rsidRPr="00231E79">
              <w:rPr>
                <w:rFonts w:asciiTheme="minorHAnsi" w:hAnsiTheme="minorHAnsi" w:cstheme="minorHAnsi"/>
                <w:sz w:val="18"/>
                <w:szCs w:val="18"/>
              </w:rPr>
              <w:t>6</w:t>
            </w:r>
            <w:r w:rsidRPr="00231E79">
              <w:rPr>
                <w:rFonts w:asciiTheme="minorHAnsi" w:hAnsiTheme="minorHAnsi" w:cstheme="minorHAnsi"/>
                <w:sz w:val="18"/>
                <w:szCs w:val="18"/>
              </w:rPr>
              <w:t>,000</w:t>
            </w:r>
          </w:p>
        </w:tc>
        <w:tc>
          <w:tcPr>
            <w:tcW w:w="992" w:type="dxa"/>
            <w:noWrap/>
            <w:vAlign w:val="top"/>
            <w:hideMark/>
          </w:tcPr>
          <w:p w14:paraId="44D8F0B9" w14:textId="34F2B2A4"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266</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3" w:type="dxa"/>
            <w:noWrap/>
            <w:vAlign w:val="top"/>
            <w:hideMark/>
          </w:tcPr>
          <w:p w14:paraId="5197B3D6" w14:textId="0BF27E66"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7F591F" w:rsidRPr="00231E79">
              <w:rPr>
                <w:rFonts w:asciiTheme="minorHAnsi" w:hAnsiTheme="minorHAnsi" w:cstheme="minorHAnsi"/>
                <w:sz w:val="18"/>
                <w:szCs w:val="18"/>
              </w:rPr>
              <w:t>3</w:t>
            </w:r>
            <w:r w:rsidRPr="00231E79">
              <w:rPr>
                <w:rFonts w:asciiTheme="minorHAnsi" w:hAnsiTheme="minorHAnsi" w:cstheme="minorHAnsi"/>
                <w:sz w:val="18"/>
                <w:szCs w:val="18"/>
              </w:rPr>
              <w:t>7</w:t>
            </w:r>
            <w:r w:rsidR="007F591F" w:rsidRPr="00231E79">
              <w:rPr>
                <w:rFonts w:asciiTheme="minorHAnsi" w:hAnsiTheme="minorHAnsi" w:cstheme="minorHAnsi"/>
                <w:sz w:val="18"/>
                <w:szCs w:val="18"/>
              </w:rPr>
              <w:t>6</w:t>
            </w:r>
            <w:r w:rsidRPr="00231E79">
              <w:rPr>
                <w:rFonts w:asciiTheme="minorHAnsi" w:hAnsiTheme="minorHAnsi" w:cstheme="minorHAnsi"/>
                <w:sz w:val="18"/>
                <w:szCs w:val="18"/>
              </w:rPr>
              <w:t>,</w:t>
            </w:r>
            <w:r w:rsidR="007F591F" w:rsidRPr="00231E79">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43DAEF49" w14:textId="4B774E1B"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356,000</w:t>
            </w:r>
          </w:p>
        </w:tc>
        <w:tc>
          <w:tcPr>
            <w:tcW w:w="992" w:type="dxa"/>
            <w:noWrap/>
            <w:vAlign w:val="top"/>
            <w:hideMark/>
          </w:tcPr>
          <w:p w14:paraId="411A957E" w14:textId="7589BD1E"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853EC" w:rsidRPr="00231E79">
              <w:rPr>
                <w:rFonts w:asciiTheme="minorHAnsi" w:hAnsiTheme="minorHAnsi" w:cstheme="minorHAnsi"/>
                <w:sz w:val="18"/>
                <w:szCs w:val="18"/>
              </w:rPr>
              <w:t>80,600</w:t>
            </w:r>
          </w:p>
        </w:tc>
        <w:tc>
          <w:tcPr>
            <w:tcW w:w="987" w:type="dxa"/>
            <w:noWrap/>
            <w:vAlign w:val="top"/>
            <w:hideMark/>
          </w:tcPr>
          <w:p w14:paraId="33E5D1AD" w14:textId="404C202F" w:rsidR="00C63D1E" w:rsidRPr="00231E79" w:rsidRDefault="00C63D1E"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B724D0" w:rsidRPr="00231E79">
              <w:rPr>
                <w:rFonts w:asciiTheme="minorHAnsi" w:hAnsiTheme="minorHAnsi" w:cstheme="minorHAnsi"/>
                <w:sz w:val="18"/>
                <w:szCs w:val="18"/>
              </w:rPr>
              <w:t>7</w:t>
            </w:r>
            <w:r w:rsidRPr="00231E79">
              <w:rPr>
                <w:rFonts w:asciiTheme="minorHAnsi" w:hAnsiTheme="minorHAnsi" w:cstheme="minorHAnsi"/>
                <w:sz w:val="18"/>
                <w:szCs w:val="18"/>
              </w:rPr>
              <w:t>8,</w:t>
            </w:r>
            <w:r w:rsidR="00B724D0" w:rsidRPr="00231E79">
              <w:rPr>
                <w:rFonts w:asciiTheme="minorHAnsi" w:hAnsiTheme="minorHAnsi" w:cstheme="minorHAnsi"/>
                <w:sz w:val="18"/>
                <w:szCs w:val="18"/>
              </w:rPr>
              <w:t>8</w:t>
            </w:r>
            <w:r w:rsidRPr="00231E79">
              <w:rPr>
                <w:rFonts w:asciiTheme="minorHAnsi" w:hAnsiTheme="minorHAnsi" w:cstheme="minorHAnsi"/>
                <w:sz w:val="18"/>
                <w:szCs w:val="18"/>
              </w:rPr>
              <w:t>00</w:t>
            </w:r>
          </w:p>
        </w:tc>
      </w:tr>
      <w:tr w:rsidR="007F591F" w:rsidRPr="00193341" w14:paraId="52A3C510" w14:textId="77777777" w:rsidTr="008C4B34">
        <w:trPr>
          <w:trHeight w:val="300"/>
        </w:trPr>
        <w:tc>
          <w:tcPr>
            <w:tcW w:w="1134" w:type="dxa"/>
            <w:noWrap/>
            <w:vAlign w:val="top"/>
          </w:tcPr>
          <w:p w14:paraId="42DABA8D" w14:textId="77D9F64E" w:rsidR="007F591F" w:rsidRPr="00231E79" w:rsidRDefault="007F591F" w:rsidP="008C4B34">
            <w:pPr>
              <w:spacing w:after="0"/>
              <w:rPr>
                <w:b/>
                <w:sz w:val="18"/>
                <w:szCs w:val="18"/>
              </w:rPr>
            </w:pPr>
            <w:r w:rsidRPr="00231E79">
              <w:rPr>
                <w:b/>
                <w:sz w:val="18"/>
                <w:szCs w:val="18"/>
              </w:rPr>
              <w:t>40</w:t>
            </w:r>
          </w:p>
        </w:tc>
        <w:tc>
          <w:tcPr>
            <w:tcW w:w="993" w:type="dxa"/>
            <w:noWrap/>
            <w:vAlign w:val="top"/>
          </w:tcPr>
          <w:p w14:paraId="5C338977" w14:textId="51E9C65B" w:rsidR="007F591F" w:rsidRPr="00231E79" w:rsidRDefault="007F591F"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£309,000</w:t>
            </w:r>
          </w:p>
        </w:tc>
        <w:tc>
          <w:tcPr>
            <w:tcW w:w="992" w:type="dxa"/>
            <w:noWrap/>
            <w:vAlign w:val="top"/>
          </w:tcPr>
          <w:p w14:paraId="402D76B1" w14:textId="3C71A20E" w:rsidR="007F591F" w:rsidRPr="00231E79" w:rsidRDefault="007F591F"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£270,000</w:t>
            </w:r>
          </w:p>
        </w:tc>
        <w:tc>
          <w:tcPr>
            <w:tcW w:w="992" w:type="dxa"/>
            <w:noWrap/>
            <w:vAlign w:val="top"/>
          </w:tcPr>
          <w:p w14:paraId="2B2F43B0" w14:textId="6CFBE036" w:rsidR="007F591F" w:rsidRPr="00231E79" w:rsidRDefault="007F591F"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£368,000</w:t>
            </w:r>
          </w:p>
        </w:tc>
        <w:tc>
          <w:tcPr>
            <w:tcW w:w="992" w:type="dxa"/>
            <w:noWrap/>
            <w:vAlign w:val="top"/>
          </w:tcPr>
          <w:p w14:paraId="4F44732E" w14:textId="52A21746" w:rsidR="007F591F" w:rsidRPr="00231E79" w:rsidRDefault="007F591F"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£315,000</w:t>
            </w:r>
          </w:p>
        </w:tc>
        <w:tc>
          <w:tcPr>
            <w:tcW w:w="993" w:type="dxa"/>
            <w:noWrap/>
            <w:vAlign w:val="top"/>
          </w:tcPr>
          <w:p w14:paraId="1003870D" w14:textId="299B5E18" w:rsidR="007F591F" w:rsidRPr="00231E79" w:rsidRDefault="007F591F"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£467,000</w:t>
            </w:r>
          </w:p>
        </w:tc>
        <w:tc>
          <w:tcPr>
            <w:tcW w:w="992" w:type="dxa"/>
            <w:noWrap/>
            <w:vAlign w:val="top"/>
          </w:tcPr>
          <w:p w14:paraId="7260C14E" w14:textId="21B8FF0E" w:rsidR="007F591F" w:rsidRPr="00231E79" w:rsidRDefault="00B853EC"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£438,000</w:t>
            </w:r>
          </w:p>
        </w:tc>
        <w:tc>
          <w:tcPr>
            <w:tcW w:w="992" w:type="dxa"/>
            <w:noWrap/>
            <w:vAlign w:val="top"/>
          </w:tcPr>
          <w:p w14:paraId="04E4C766" w14:textId="262AB62D" w:rsidR="007F591F" w:rsidRPr="00231E79" w:rsidRDefault="00B853EC"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£82,500</w:t>
            </w:r>
          </w:p>
        </w:tc>
        <w:tc>
          <w:tcPr>
            <w:tcW w:w="987" w:type="dxa"/>
            <w:noWrap/>
            <w:vAlign w:val="top"/>
          </w:tcPr>
          <w:p w14:paraId="57C2437C" w14:textId="77DB5870" w:rsidR="007F591F" w:rsidRPr="00231E79" w:rsidRDefault="00B724D0" w:rsidP="008C4B34">
            <w:pPr>
              <w:spacing w:after="0"/>
              <w:jc w:val="center"/>
              <w:rPr>
                <w:rFonts w:asciiTheme="minorHAnsi" w:hAnsiTheme="minorHAnsi" w:cstheme="minorHAnsi"/>
                <w:sz w:val="18"/>
                <w:szCs w:val="18"/>
              </w:rPr>
            </w:pPr>
            <w:r w:rsidRPr="00231E79">
              <w:rPr>
                <w:rFonts w:asciiTheme="minorHAnsi" w:hAnsiTheme="minorHAnsi" w:cstheme="minorHAnsi"/>
                <w:sz w:val="18"/>
                <w:szCs w:val="18"/>
              </w:rPr>
              <w:t>£80,500</w:t>
            </w:r>
          </w:p>
        </w:tc>
      </w:tr>
    </w:tbl>
    <w:p w14:paraId="0F29491C" w14:textId="77777777" w:rsidR="00C63D1E" w:rsidRPr="00231E79" w:rsidRDefault="00C63D1E" w:rsidP="00C63D1E">
      <w:pPr>
        <w:spacing w:after="0"/>
        <w:rPr>
          <w:b/>
          <w:sz w:val="18"/>
        </w:rPr>
      </w:pPr>
      <w:r>
        <w:rPr>
          <w:b/>
          <w:sz w:val="18"/>
        </w:rPr>
        <w:lastRenderedPageBreak/>
        <w:br/>
      </w:r>
      <w:r w:rsidRPr="00231E79">
        <w:rPr>
          <w:b/>
          <w:sz w:val="18"/>
        </w:rPr>
        <w:t>Notes</w:t>
      </w:r>
      <w:r w:rsidRPr="00231E79">
        <w:rPr>
          <w:b/>
          <w:sz w:val="18"/>
        </w:rPr>
        <w:tab/>
      </w:r>
      <w:r w:rsidRPr="00231E79">
        <w:rPr>
          <w:b/>
          <w:sz w:val="18"/>
        </w:rPr>
        <w:tab/>
      </w:r>
      <w:r w:rsidRPr="00231E79">
        <w:rPr>
          <w:b/>
          <w:sz w:val="18"/>
        </w:rPr>
        <w:tab/>
      </w:r>
      <w:r w:rsidRPr="00231E79">
        <w:rPr>
          <w:b/>
          <w:sz w:val="18"/>
        </w:rPr>
        <w:tab/>
      </w:r>
      <w:r w:rsidRPr="00231E79">
        <w:rPr>
          <w:b/>
          <w:sz w:val="18"/>
        </w:rPr>
        <w:tab/>
      </w:r>
    </w:p>
    <w:p w14:paraId="3DE67510" w14:textId="77777777" w:rsidR="00C63D1E" w:rsidRPr="00231E79" w:rsidRDefault="00C63D1E" w:rsidP="00C63D1E">
      <w:pPr>
        <w:spacing w:after="0"/>
        <w:ind w:left="567" w:hanging="567"/>
        <w:rPr>
          <w:sz w:val="18"/>
        </w:rPr>
      </w:pPr>
      <w:r w:rsidRPr="00231E79">
        <w:rPr>
          <w:sz w:val="18"/>
        </w:rPr>
        <w:t>1.          Projected pension fund values are shown in today’s terms and do not need to be reduced further for the effect of future inflation.</w:t>
      </w:r>
      <w:r w:rsidRPr="00231E79">
        <w:rPr>
          <w:sz w:val="18"/>
        </w:rPr>
        <w:tab/>
      </w:r>
    </w:p>
    <w:p w14:paraId="4D25C200" w14:textId="57D65947" w:rsidR="00C63D1E" w:rsidRPr="00231E79" w:rsidRDefault="00C63D1E" w:rsidP="00C63D1E">
      <w:pPr>
        <w:spacing w:after="0"/>
        <w:ind w:left="567" w:hanging="567"/>
        <w:rPr>
          <w:sz w:val="18"/>
        </w:rPr>
      </w:pPr>
      <w:r w:rsidRPr="00231E79">
        <w:rPr>
          <w:sz w:val="18"/>
        </w:rPr>
        <w:t>2.          The starting pension fund value is assumed to be £</w:t>
      </w:r>
      <w:r w:rsidR="00B724D0" w:rsidRPr="00231E79">
        <w:rPr>
          <w:sz w:val="18"/>
        </w:rPr>
        <w:t>60</w:t>
      </w:r>
      <w:r w:rsidRPr="00231E79">
        <w:rPr>
          <w:sz w:val="18"/>
        </w:rPr>
        <w:t>,000.</w:t>
      </w:r>
      <w:r w:rsidRPr="00231E79">
        <w:rPr>
          <w:sz w:val="18"/>
        </w:rPr>
        <w:tab/>
      </w:r>
    </w:p>
    <w:p w14:paraId="3C905603" w14:textId="77777777" w:rsidR="00C63D1E" w:rsidRPr="00231E79" w:rsidRDefault="00C63D1E" w:rsidP="00C63D1E">
      <w:pPr>
        <w:spacing w:after="0"/>
        <w:ind w:left="567" w:hanging="567"/>
        <w:rPr>
          <w:sz w:val="18"/>
        </w:rPr>
      </w:pPr>
      <w:r w:rsidRPr="00231E79">
        <w:rPr>
          <w:sz w:val="18"/>
        </w:rPr>
        <w:t>3.          Inflation is assumed to be 2.50% each year.</w:t>
      </w:r>
      <w:r w:rsidRPr="00231E79">
        <w:rPr>
          <w:sz w:val="18"/>
        </w:rPr>
        <w:tab/>
      </w:r>
    </w:p>
    <w:p w14:paraId="08408D08" w14:textId="325A2070" w:rsidR="00C63D1E" w:rsidRPr="00231E79" w:rsidRDefault="00C63D1E" w:rsidP="00C63D1E">
      <w:pPr>
        <w:spacing w:after="0"/>
        <w:ind w:left="567" w:hanging="567"/>
        <w:rPr>
          <w:sz w:val="18"/>
        </w:rPr>
      </w:pPr>
      <w:r w:rsidRPr="00231E79">
        <w:rPr>
          <w:sz w:val="18"/>
        </w:rPr>
        <w:t xml:space="preserve">4.          </w:t>
      </w:r>
      <w:r w:rsidR="00B724D0" w:rsidRPr="00231E79">
        <w:rPr>
          <w:sz w:val="18"/>
        </w:rPr>
        <w:t>C</w:t>
      </w:r>
      <w:r w:rsidRPr="00231E79">
        <w:rPr>
          <w:sz w:val="18"/>
        </w:rPr>
        <w:t>ontributions are assumed</w:t>
      </w:r>
      <w:r w:rsidR="00B724D0" w:rsidRPr="00231E79">
        <w:rPr>
          <w:sz w:val="18"/>
        </w:rPr>
        <w:t xml:space="preserve"> to continue to retirement age (65) at the total rate of 8% and increase in line with assumed earnings inflation of 2.50% each year. Contributions are based on a current annual salary of £25,000</w:t>
      </w:r>
      <w:r w:rsidRPr="00231E79">
        <w:rPr>
          <w:sz w:val="18"/>
        </w:rPr>
        <w:t>.</w:t>
      </w:r>
      <w:r w:rsidRPr="00231E79">
        <w:rPr>
          <w:sz w:val="18"/>
        </w:rPr>
        <w:tab/>
      </w:r>
    </w:p>
    <w:p w14:paraId="2F6F1A83" w14:textId="77777777" w:rsidR="00C63D1E" w:rsidRPr="00231E79" w:rsidRDefault="00C63D1E" w:rsidP="00C63D1E">
      <w:pPr>
        <w:spacing w:after="0"/>
        <w:ind w:left="567" w:hanging="567"/>
        <w:rPr>
          <w:sz w:val="18"/>
        </w:rPr>
      </w:pPr>
      <w:r w:rsidRPr="00231E79">
        <w:rPr>
          <w:sz w:val="18"/>
        </w:rPr>
        <w:t>5.          Values shown are estimates and are not guaranteed.</w:t>
      </w:r>
      <w:r w:rsidRPr="00231E79">
        <w:rPr>
          <w:sz w:val="18"/>
        </w:rPr>
        <w:tab/>
      </w:r>
    </w:p>
    <w:p w14:paraId="5458ECAE" w14:textId="77777777" w:rsidR="00C63D1E" w:rsidRPr="00231E79" w:rsidRDefault="00C63D1E" w:rsidP="00C63D1E">
      <w:pPr>
        <w:spacing w:after="0"/>
        <w:ind w:left="567" w:hanging="567"/>
        <w:rPr>
          <w:sz w:val="18"/>
          <w:szCs w:val="18"/>
        </w:rPr>
      </w:pPr>
      <w:r w:rsidRPr="00231E79">
        <w:rPr>
          <w:sz w:val="18"/>
        </w:rPr>
        <w:t xml:space="preserve">6.          The </w:t>
      </w:r>
      <w:r w:rsidRPr="00231E79">
        <w:rPr>
          <w:sz w:val="18"/>
          <w:szCs w:val="18"/>
        </w:rPr>
        <w:t>projected growth rates before charges for the fund choices are as follows:</w:t>
      </w:r>
      <w:r w:rsidRPr="00231E79">
        <w:rPr>
          <w:sz w:val="18"/>
          <w:szCs w:val="18"/>
        </w:rPr>
        <w:tab/>
      </w:r>
    </w:p>
    <w:p w14:paraId="727CA7EC" w14:textId="6D0EE764" w:rsidR="00C63D1E" w:rsidRPr="00231E79" w:rsidRDefault="00C63D1E" w:rsidP="00C63D1E">
      <w:pPr>
        <w:spacing w:after="0"/>
        <w:ind w:left="567" w:hanging="567"/>
        <w:rPr>
          <w:sz w:val="18"/>
          <w:szCs w:val="18"/>
        </w:rPr>
      </w:pPr>
      <w:r w:rsidRPr="00231E79">
        <w:rPr>
          <w:sz w:val="18"/>
          <w:szCs w:val="18"/>
        </w:rPr>
        <w:tab/>
        <w:t xml:space="preserve">    a.         Default strategy: </w:t>
      </w:r>
      <w:r w:rsidR="00B724D0" w:rsidRPr="00231E79">
        <w:rPr>
          <w:sz w:val="18"/>
          <w:szCs w:val="18"/>
        </w:rPr>
        <w:t>1</w:t>
      </w:r>
      <w:r w:rsidRPr="00231E79">
        <w:rPr>
          <w:sz w:val="18"/>
          <w:szCs w:val="18"/>
        </w:rPr>
        <w:t>.</w:t>
      </w:r>
      <w:r w:rsidR="00B724D0" w:rsidRPr="00231E79">
        <w:rPr>
          <w:sz w:val="18"/>
          <w:szCs w:val="18"/>
        </w:rPr>
        <w:t>83</w:t>
      </w:r>
      <w:r w:rsidRPr="00231E79">
        <w:rPr>
          <w:sz w:val="18"/>
          <w:szCs w:val="18"/>
        </w:rPr>
        <w:t xml:space="preserve">% to </w:t>
      </w:r>
      <w:r w:rsidR="00B724D0" w:rsidRPr="00231E79">
        <w:rPr>
          <w:sz w:val="18"/>
          <w:szCs w:val="18"/>
        </w:rPr>
        <w:t>5</w:t>
      </w:r>
      <w:r w:rsidRPr="00231E79">
        <w:rPr>
          <w:sz w:val="18"/>
          <w:szCs w:val="18"/>
        </w:rPr>
        <w:t>.</w:t>
      </w:r>
      <w:r w:rsidR="00B724D0" w:rsidRPr="00231E79">
        <w:rPr>
          <w:sz w:val="18"/>
          <w:szCs w:val="18"/>
        </w:rPr>
        <w:t>19</w:t>
      </w:r>
      <w:r w:rsidRPr="00231E79">
        <w:rPr>
          <w:sz w:val="18"/>
          <w:szCs w:val="18"/>
        </w:rPr>
        <w:t>% pa. depending on how close the member is to retirement age.</w:t>
      </w:r>
      <w:r w:rsidRPr="00231E79">
        <w:rPr>
          <w:sz w:val="18"/>
          <w:szCs w:val="18"/>
        </w:rPr>
        <w:tab/>
      </w:r>
    </w:p>
    <w:p w14:paraId="33430B56" w14:textId="66A5432C" w:rsidR="00C63D1E" w:rsidRPr="00231E79" w:rsidRDefault="00C63D1E" w:rsidP="00C63D1E">
      <w:pPr>
        <w:spacing w:after="0"/>
        <w:ind w:left="567"/>
        <w:rPr>
          <w:sz w:val="18"/>
          <w:szCs w:val="18"/>
        </w:rPr>
      </w:pPr>
      <w:r w:rsidRPr="00231E79">
        <w:rPr>
          <w:sz w:val="18"/>
          <w:szCs w:val="18"/>
        </w:rPr>
        <w:t xml:space="preserve">    b         </w:t>
      </w:r>
      <w:r w:rsidR="00B724D0" w:rsidRPr="00231E79">
        <w:rPr>
          <w:sz w:val="18"/>
          <w:szCs w:val="18"/>
        </w:rPr>
        <w:t xml:space="preserve"> Newton Global Balanced</w:t>
      </w:r>
      <w:r w:rsidRPr="00231E79">
        <w:rPr>
          <w:sz w:val="18"/>
          <w:szCs w:val="18"/>
        </w:rPr>
        <w:t xml:space="preserve">: </w:t>
      </w:r>
      <w:r w:rsidR="00B724D0" w:rsidRPr="00231E79">
        <w:rPr>
          <w:sz w:val="18"/>
          <w:szCs w:val="18"/>
        </w:rPr>
        <w:t>5</w:t>
      </w:r>
      <w:r w:rsidRPr="00231E79">
        <w:rPr>
          <w:sz w:val="18"/>
          <w:szCs w:val="18"/>
        </w:rPr>
        <w:t>.</w:t>
      </w:r>
      <w:r w:rsidR="00B724D0" w:rsidRPr="00231E79">
        <w:rPr>
          <w:sz w:val="18"/>
          <w:szCs w:val="18"/>
        </w:rPr>
        <w:t>7</w:t>
      </w:r>
      <w:r w:rsidRPr="00231E79">
        <w:rPr>
          <w:sz w:val="18"/>
          <w:szCs w:val="18"/>
        </w:rPr>
        <w:t>5% pa</w:t>
      </w:r>
      <w:r w:rsidR="005F1B84" w:rsidRPr="00231E79">
        <w:rPr>
          <w:sz w:val="18"/>
          <w:szCs w:val="18"/>
        </w:rPr>
        <w:t>.</w:t>
      </w:r>
      <w:r w:rsidRPr="00231E79">
        <w:rPr>
          <w:sz w:val="18"/>
          <w:szCs w:val="18"/>
        </w:rPr>
        <w:tab/>
      </w:r>
    </w:p>
    <w:p w14:paraId="2E16ACCC" w14:textId="6F09D109" w:rsidR="00C63D1E" w:rsidRPr="00231E79" w:rsidRDefault="00C63D1E" w:rsidP="00C63D1E">
      <w:pPr>
        <w:spacing w:after="0"/>
        <w:ind w:left="567"/>
        <w:rPr>
          <w:sz w:val="18"/>
          <w:szCs w:val="18"/>
        </w:rPr>
      </w:pPr>
      <w:r w:rsidRPr="00231E79">
        <w:rPr>
          <w:sz w:val="18"/>
          <w:szCs w:val="18"/>
        </w:rPr>
        <w:t xml:space="preserve">    c.         LGIM </w:t>
      </w:r>
      <w:r w:rsidR="00B724D0" w:rsidRPr="00231E79">
        <w:rPr>
          <w:sz w:val="18"/>
          <w:szCs w:val="18"/>
        </w:rPr>
        <w:t>Global Equity</w:t>
      </w:r>
      <w:r w:rsidRPr="00231E79">
        <w:rPr>
          <w:sz w:val="18"/>
          <w:szCs w:val="18"/>
        </w:rPr>
        <w:t>: 6.</w:t>
      </w:r>
      <w:r w:rsidR="00B724D0" w:rsidRPr="00231E79">
        <w:rPr>
          <w:sz w:val="18"/>
          <w:szCs w:val="18"/>
        </w:rPr>
        <w:t>5</w:t>
      </w:r>
      <w:r w:rsidRPr="00231E79">
        <w:rPr>
          <w:sz w:val="18"/>
          <w:szCs w:val="18"/>
        </w:rPr>
        <w:t>0% pa.</w:t>
      </w:r>
      <w:r w:rsidRPr="00231E79">
        <w:rPr>
          <w:sz w:val="18"/>
          <w:szCs w:val="18"/>
        </w:rPr>
        <w:tab/>
      </w:r>
    </w:p>
    <w:p w14:paraId="38319D6A" w14:textId="7CF8C77C" w:rsidR="00C63D1E" w:rsidRPr="00B724D0" w:rsidRDefault="00C63D1E" w:rsidP="00C63D1E">
      <w:pPr>
        <w:rPr>
          <w:sz w:val="18"/>
          <w:szCs w:val="18"/>
        </w:rPr>
      </w:pPr>
      <w:r w:rsidRPr="00231E79">
        <w:rPr>
          <w:sz w:val="18"/>
          <w:szCs w:val="18"/>
        </w:rPr>
        <w:t xml:space="preserve"> </w:t>
      </w:r>
      <w:r w:rsidRPr="00231E79">
        <w:rPr>
          <w:sz w:val="18"/>
          <w:szCs w:val="18"/>
        </w:rPr>
        <w:tab/>
        <w:t xml:space="preserve">d.         LGIM </w:t>
      </w:r>
      <w:r w:rsidR="00231E79" w:rsidRPr="00231E79">
        <w:rPr>
          <w:sz w:val="18"/>
          <w:szCs w:val="18"/>
        </w:rPr>
        <w:t>Cash</w:t>
      </w:r>
      <w:r w:rsidRPr="00231E79">
        <w:rPr>
          <w:sz w:val="18"/>
          <w:szCs w:val="18"/>
        </w:rPr>
        <w:t xml:space="preserve">: </w:t>
      </w:r>
      <w:r w:rsidR="00231E79" w:rsidRPr="00231E79">
        <w:rPr>
          <w:sz w:val="18"/>
          <w:szCs w:val="18"/>
        </w:rPr>
        <w:t>0</w:t>
      </w:r>
      <w:r w:rsidRPr="00231E79">
        <w:rPr>
          <w:sz w:val="18"/>
          <w:szCs w:val="18"/>
        </w:rPr>
        <w:t>.5</w:t>
      </w:r>
      <w:r w:rsidR="00231E79" w:rsidRPr="00231E79">
        <w:rPr>
          <w:sz w:val="18"/>
          <w:szCs w:val="18"/>
        </w:rPr>
        <w:t>0</w:t>
      </w:r>
      <w:r w:rsidRPr="00231E79">
        <w:rPr>
          <w:sz w:val="18"/>
          <w:szCs w:val="18"/>
        </w:rPr>
        <w:t>% pa.</w:t>
      </w:r>
    </w:p>
    <w:p w14:paraId="74C063FD" w14:textId="3893AE95" w:rsidR="00C63D1E" w:rsidRPr="00C63D1E" w:rsidRDefault="00C63D1E" w:rsidP="00C63D1E">
      <w:pPr>
        <w:pStyle w:val="Heading4"/>
        <w:spacing w:after="0"/>
        <w:rPr>
          <w:i/>
        </w:rPr>
      </w:pPr>
      <w:r w:rsidRPr="00C63D1E">
        <w:rPr>
          <w:i/>
        </w:rPr>
        <w:t>Deferred member</w:t>
      </w:r>
    </w:p>
    <w:p w14:paraId="13C8D833" w14:textId="2AC616FA" w:rsidR="00C63D1E" w:rsidRDefault="00C63D1E" w:rsidP="00C63D1E">
      <w:r>
        <w:t xml:space="preserve">The figures in the table below show the effect of the fund managers’ charges on a deferred member’s fund value over incremental periods for </w:t>
      </w:r>
      <w:r w:rsidRPr="005548AE">
        <w:t xml:space="preserve">the next </w:t>
      </w:r>
      <w:r w:rsidR="005548AE" w:rsidRPr="005548AE">
        <w:t xml:space="preserve">40 </w:t>
      </w:r>
      <w:r w:rsidRPr="005548AE">
        <w:t>years</w:t>
      </w:r>
      <w:r w:rsidR="005548AE" w:rsidRPr="005548AE">
        <w:t xml:space="preserve">. </w:t>
      </w:r>
      <w:r w:rsidRPr="005548AE">
        <w:t>Th</w:t>
      </w:r>
      <w:r>
        <w:t xml:space="preserve">e table shows the effect based on the assumptions set out in the notes below the table. </w:t>
      </w:r>
    </w:p>
    <w:tbl>
      <w:tblPr>
        <w:tblStyle w:val="QuantumBasicTable"/>
        <w:tblW w:w="9067" w:type="dxa"/>
        <w:tblInd w:w="20" w:type="dxa"/>
        <w:tblLayout w:type="fixed"/>
        <w:tblLook w:val="04A0" w:firstRow="1" w:lastRow="0" w:firstColumn="1" w:lastColumn="0" w:noHBand="0" w:noVBand="1"/>
      </w:tblPr>
      <w:tblGrid>
        <w:gridCol w:w="1134"/>
        <w:gridCol w:w="993"/>
        <w:gridCol w:w="992"/>
        <w:gridCol w:w="992"/>
        <w:gridCol w:w="992"/>
        <w:gridCol w:w="993"/>
        <w:gridCol w:w="992"/>
        <w:gridCol w:w="992"/>
        <w:gridCol w:w="987"/>
      </w:tblGrid>
      <w:tr w:rsidR="00143BCD" w:rsidRPr="00C34899" w14:paraId="6C388AC3" w14:textId="77777777" w:rsidTr="00BD295F">
        <w:trPr>
          <w:cnfStyle w:val="100000000000" w:firstRow="1" w:lastRow="0" w:firstColumn="0" w:lastColumn="0" w:oddVBand="0" w:evenVBand="0" w:oddHBand="0" w:evenHBand="0" w:firstRowFirstColumn="0" w:firstRowLastColumn="0" w:lastRowFirstColumn="0" w:lastRowLastColumn="0"/>
          <w:trHeight w:val="300"/>
        </w:trPr>
        <w:tc>
          <w:tcPr>
            <w:tcW w:w="5103" w:type="dxa"/>
            <w:gridSpan w:val="5"/>
            <w:noWrap/>
            <w:hideMark/>
          </w:tcPr>
          <w:p w14:paraId="325D37B4" w14:textId="77777777" w:rsidR="00143BCD" w:rsidRPr="006542D7" w:rsidRDefault="00143BCD" w:rsidP="00BD295F">
            <w:pPr>
              <w:spacing w:after="0"/>
              <w:rPr>
                <w:b w:val="0"/>
                <w:bCs/>
                <w:sz w:val="18"/>
                <w:szCs w:val="18"/>
              </w:rPr>
            </w:pPr>
            <w:r w:rsidRPr="006542D7">
              <w:rPr>
                <w:b w:val="0"/>
                <w:bCs/>
                <w:sz w:val="18"/>
                <w:szCs w:val="18"/>
              </w:rPr>
              <w:t xml:space="preserve">Projected </w:t>
            </w:r>
            <w:r>
              <w:rPr>
                <w:b w:val="0"/>
                <w:bCs/>
                <w:sz w:val="18"/>
                <w:szCs w:val="18"/>
              </w:rPr>
              <w:t>p</w:t>
            </w:r>
            <w:r w:rsidRPr="006542D7">
              <w:rPr>
                <w:b w:val="0"/>
                <w:bCs/>
                <w:sz w:val="18"/>
                <w:szCs w:val="18"/>
              </w:rPr>
              <w:t xml:space="preserve">ension </w:t>
            </w:r>
            <w:r>
              <w:rPr>
                <w:b w:val="0"/>
                <w:bCs/>
                <w:sz w:val="18"/>
                <w:szCs w:val="18"/>
              </w:rPr>
              <w:t>fund</w:t>
            </w:r>
            <w:r w:rsidRPr="006542D7">
              <w:rPr>
                <w:b w:val="0"/>
                <w:bCs/>
                <w:sz w:val="18"/>
                <w:szCs w:val="18"/>
              </w:rPr>
              <w:t xml:space="preserve"> in today’s money </w:t>
            </w:r>
          </w:p>
        </w:tc>
        <w:tc>
          <w:tcPr>
            <w:tcW w:w="993" w:type="dxa"/>
            <w:noWrap/>
            <w:hideMark/>
          </w:tcPr>
          <w:p w14:paraId="3D2ED5B9" w14:textId="77777777" w:rsidR="00143BCD" w:rsidRPr="00C34899" w:rsidRDefault="00143BCD" w:rsidP="00BD295F">
            <w:pPr>
              <w:rPr>
                <w:sz w:val="18"/>
                <w:szCs w:val="18"/>
              </w:rPr>
            </w:pPr>
          </w:p>
        </w:tc>
        <w:tc>
          <w:tcPr>
            <w:tcW w:w="992" w:type="dxa"/>
            <w:noWrap/>
            <w:hideMark/>
          </w:tcPr>
          <w:p w14:paraId="48C9F22C" w14:textId="77777777" w:rsidR="00143BCD" w:rsidRPr="00C34899" w:rsidRDefault="00143BCD" w:rsidP="00BD295F">
            <w:pPr>
              <w:rPr>
                <w:sz w:val="18"/>
                <w:szCs w:val="18"/>
              </w:rPr>
            </w:pPr>
          </w:p>
        </w:tc>
        <w:tc>
          <w:tcPr>
            <w:tcW w:w="992" w:type="dxa"/>
            <w:noWrap/>
            <w:hideMark/>
          </w:tcPr>
          <w:p w14:paraId="065C6545" w14:textId="77777777" w:rsidR="00143BCD" w:rsidRPr="00C34899" w:rsidRDefault="00143BCD" w:rsidP="00BD295F">
            <w:pPr>
              <w:rPr>
                <w:sz w:val="18"/>
                <w:szCs w:val="18"/>
              </w:rPr>
            </w:pPr>
          </w:p>
        </w:tc>
        <w:tc>
          <w:tcPr>
            <w:tcW w:w="987" w:type="dxa"/>
            <w:noWrap/>
            <w:hideMark/>
          </w:tcPr>
          <w:p w14:paraId="21A5AF08" w14:textId="77777777" w:rsidR="00143BCD" w:rsidRPr="00C34899" w:rsidRDefault="00143BCD" w:rsidP="00BD295F">
            <w:pPr>
              <w:rPr>
                <w:sz w:val="18"/>
                <w:szCs w:val="18"/>
              </w:rPr>
            </w:pPr>
          </w:p>
        </w:tc>
      </w:tr>
      <w:tr w:rsidR="00143BCD" w:rsidRPr="00231E79" w14:paraId="3310994C" w14:textId="77777777" w:rsidTr="00BD295F">
        <w:trPr>
          <w:trHeight w:val="300"/>
        </w:trPr>
        <w:tc>
          <w:tcPr>
            <w:tcW w:w="1134" w:type="dxa"/>
            <w:noWrap/>
            <w:hideMark/>
          </w:tcPr>
          <w:p w14:paraId="50305845" w14:textId="77777777" w:rsidR="00143BCD" w:rsidRPr="00231E79" w:rsidRDefault="00143BCD" w:rsidP="00BD295F">
            <w:pPr>
              <w:spacing w:after="0"/>
              <w:rPr>
                <w:b/>
                <w:sz w:val="18"/>
                <w:szCs w:val="18"/>
              </w:rPr>
            </w:pPr>
          </w:p>
        </w:tc>
        <w:tc>
          <w:tcPr>
            <w:tcW w:w="7933" w:type="dxa"/>
            <w:gridSpan w:val="8"/>
            <w:hideMark/>
          </w:tcPr>
          <w:p w14:paraId="69B72B9A" w14:textId="77777777" w:rsidR="00143BCD" w:rsidRPr="00231E79" w:rsidRDefault="00143BCD" w:rsidP="00BD295F">
            <w:pPr>
              <w:spacing w:after="0"/>
              <w:jc w:val="center"/>
              <w:rPr>
                <w:b/>
                <w:sz w:val="18"/>
                <w:szCs w:val="18"/>
              </w:rPr>
            </w:pPr>
            <w:r w:rsidRPr="00231E79">
              <w:rPr>
                <w:b/>
                <w:sz w:val="18"/>
                <w:szCs w:val="18"/>
              </w:rPr>
              <w:t>Fund choice</w:t>
            </w:r>
          </w:p>
        </w:tc>
      </w:tr>
      <w:tr w:rsidR="00143BCD" w:rsidRPr="00231E79" w14:paraId="398FCE37" w14:textId="77777777" w:rsidTr="00BD295F">
        <w:trPr>
          <w:trHeight w:val="600"/>
        </w:trPr>
        <w:tc>
          <w:tcPr>
            <w:tcW w:w="1134" w:type="dxa"/>
            <w:noWrap/>
            <w:vAlign w:val="top"/>
            <w:hideMark/>
          </w:tcPr>
          <w:p w14:paraId="1ED5D719" w14:textId="77777777" w:rsidR="00143BCD" w:rsidRPr="00231E79" w:rsidRDefault="00143BCD" w:rsidP="00BD295F">
            <w:pPr>
              <w:spacing w:after="0"/>
              <w:rPr>
                <w:b/>
                <w:sz w:val="18"/>
                <w:szCs w:val="18"/>
              </w:rPr>
            </w:pPr>
          </w:p>
        </w:tc>
        <w:tc>
          <w:tcPr>
            <w:tcW w:w="1985" w:type="dxa"/>
            <w:gridSpan w:val="2"/>
            <w:vAlign w:val="top"/>
            <w:hideMark/>
          </w:tcPr>
          <w:p w14:paraId="0CA98F6F" w14:textId="77777777" w:rsidR="00143BCD" w:rsidRPr="00231E79" w:rsidRDefault="00143BCD" w:rsidP="00BD295F">
            <w:pPr>
              <w:spacing w:after="0"/>
              <w:jc w:val="center"/>
              <w:rPr>
                <w:b/>
                <w:sz w:val="18"/>
                <w:szCs w:val="18"/>
              </w:rPr>
            </w:pPr>
            <w:r w:rsidRPr="00231E79">
              <w:rPr>
                <w:b/>
                <w:sz w:val="18"/>
                <w:szCs w:val="18"/>
              </w:rPr>
              <w:t>Default investment strategy</w:t>
            </w:r>
          </w:p>
        </w:tc>
        <w:tc>
          <w:tcPr>
            <w:tcW w:w="1984" w:type="dxa"/>
            <w:gridSpan w:val="2"/>
            <w:vAlign w:val="top"/>
            <w:hideMark/>
          </w:tcPr>
          <w:p w14:paraId="5FF05563" w14:textId="77777777" w:rsidR="00143BCD" w:rsidRDefault="00143BCD" w:rsidP="00BD295F">
            <w:pPr>
              <w:spacing w:after="0"/>
              <w:jc w:val="center"/>
              <w:rPr>
                <w:b/>
                <w:sz w:val="18"/>
                <w:szCs w:val="18"/>
              </w:rPr>
            </w:pPr>
            <w:r w:rsidRPr="00231E79">
              <w:rPr>
                <w:b/>
                <w:sz w:val="18"/>
                <w:szCs w:val="18"/>
              </w:rPr>
              <w:t>Newton Global Balanced</w:t>
            </w:r>
          </w:p>
          <w:p w14:paraId="22089C6B" w14:textId="77777777" w:rsidR="00143BCD" w:rsidRPr="00231E79" w:rsidRDefault="00143BCD" w:rsidP="00BD295F">
            <w:pPr>
              <w:spacing w:before="0" w:after="120"/>
              <w:jc w:val="center"/>
              <w:rPr>
                <w:b/>
                <w:sz w:val="18"/>
                <w:szCs w:val="18"/>
              </w:rPr>
            </w:pPr>
            <w:r>
              <w:rPr>
                <w:b/>
                <w:sz w:val="18"/>
                <w:szCs w:val="18"/>
              </w:rPr>
              <w:t>(</w:t>
            </w:r>
            <w:proofErr w:type="gramStart"/>
            <w:r>
              <w:rPr>
                <w:b/>
                <w:sz w:val="18"/>
                <w:szCs w:val="18"/>
              </w:rPr>
              <w:t>fund</w:t>
            </w:r>
            <w:proofErr w:type="gramEnd"/>
            <w:r>
              <w:rPr>
                <w:b/>
                <w:sz w:val="18"/>
                <w:szCs w:val="18"/>
              </w:rPr>
              <w:t xml:space="preserve"> with most investment)</w:t>
            </w:r>
          </w:p>
        </w:tc>
        <w:tc>
          <w:tcPr>
            <w:tcW w:w="1985" w:type="dxa"/>
            <w:gridSpan w:val="2"/>
            <w:vAlign w:val="top"/>
            <w:hideMark/>
          </w:tcPr>
          <w:p w14:paraId="3F658C76" w14:textId="77777777" w:rsidR="00143BCD" w:rsidRDefault="00143BCD" w:rsidP="00BD295F">
            <w:pPr>
              <w:spacing w:after="0"/>
              <w:jc w:val="center"/>
              <w:rPr>
                <w:b/>
                <w:sz w:val="18"/>
                <w:szCs w:val="18"/>
              </w:rPr>
            </w:pPr>
            <w:r w:rsidRPr="00231E79">
              <w:rPr>
                <w:b/>
                <w:sz w:val="18"/>
                <w:szCs w:val="18"/>
              </w:rPr>
              <w:t>LGIM Global Equity</w:t>
            </w:r>
          </w:p>
          <w:p w14:paraId="35CA71AB" w14:textId="77777777" w:rsidR="00143BCD" w:rsidRPr="00231E79" w:rsidRDefault="00143BCD" w:rsidP="00BD295F">
            <w:pPr>
              <w:spacing w:before="0" w:after="0"/>
              <w:jc w:val="center"/>
              <w:rPr>
                <w:b/>
                <w:sz w:val="18"/>
                <w:szCs w:val="18"/>
              </w:rPr>
            </w:pPr>
            <w:r>
              <w:rPr>
                <w:b/>
                <w:sz w:val="18"/>
                <w:szCs w:val="18"/>
              </w:rPr>
              <w:t>(</w:t>
            </w:r>
            <w:proofErr w:type="gramStart"/>
            <w:r>
              <w:rPr>
                <w:b/>
                <w:sz w:val="18"/>
                <w:szCs w:val="18"/>
              </w:rPr>
              <w:t>fund</w:t>
            </w:r>
            <w:proofErr w:type="gramEnd"/>
            <w:r>
              <w:rPr>
                <w:b/>
                <w:sz w:val="18"/>
                <w:szCs w:val="18"/>
              </w:rPr>
              <w:t xml:space="preserve"> with highest assumed return)</w:t>
            </w:r>
          </w:p>
        </w:tc>
        <w:tc>
          <w:tcPr>
            <w:tcW w:w="1979" w:type="dxa"/>
            <w:gridSpan w:val="2"/>
            <w:vAlign w:val="top"/>
            <w:hideMark/>
          </w:tcPr>
          <w:p w14:paraId="32778F0E" w14:textId="77777777" w:rsidR="00143BCD" w:rsidRDefault="00143BCD" w:rsidP="00BD295F">
            <w:pPr>
              <w:spacing w:after="0"/>
              <w:jc w:val="center"/>
              <w:rPr>
                <w:b/>
                <w:sz w:val="18"/>
                <w:szCs w:val="18"/>
              </w:rPr>
            </w:pPr>
            <w:r w:rsidRPr="00231E79">
              <w:rPr>
                <w:b/>
                <w:sz w:val="18"/>
                <w:szCs w:val="18"/>
              </w:rPr>
              <w:t>LGIM Cash</w:t>
            </w:r>
          </w:p>
          <w:p w14:paraId="2FB7CF13" w14:textId="77777777" w:rsidR="00143BCD" w:rsidRPr="00231E79" w:rsidRDefault="00143BCD" w:rsidP="00BD295F">
            <w:pPr>
              <w:spacing w:before="0" w:after="0"/>
              <w:jc w:val="center"/>
              <w:rPr>
                <w:b/>
                <w:sz w:val="18"/>
                <w:szCs w:val="18"/>
              </w:rPr>
            </w:pPr>
            <w:r>
              <w:rPr>
                <w:b/>
                <w:sz w:val="18"/>
                <w:szCs w:val="18"/>
              </w:rPr>
              <w:t>(</w:t>
            </w:r>
            <w:proofErr w:type="gramStart"/>
            <w:r>
              <w:rPr>
                <w:b/>
                <w:sz w:val="18"/>
                <w:szCs w:val="18"/>
              </w:rPr>
              <w:t>fund</w:t>
            </w:r>
            <w:proofErr w:type="gramEnd"/>
            <w:r>
              <w:rPr>
                <w:b/>
                <w:sz w:val="18"/>
                <w:szCs w:val="18"/>
              </w:rPr>
              <w:t xml:space="preserve"> with lowest assumed return)</w:t>
            </w:r>
          </w:p>
        </w:tc>
      </w:tr>
      <w:tr w:rsidR="00143BCD" w:rsidRPr="00231E79" w14:paraId="3C4F7C57" w14:textId="77777777" w:rsidTr="00BD295F">
        <w:trPr>
          <w:trHeight w:val="600"/>
        </w:trPr>
        <w:tc>
          <w:tcPr>
            <w:tcW w:w="1134" w:type="dxa"/>
            <w:vAlign w:val="top"/>
            <w:hideMark/>
          </w:tcPr>
          <w:p w14:paraId="5CE6E44D" w14:textId="77777777" w:rsidR="00143BCD" w:rsidRPr="00231E79" w:rsidRDefault="00143BCD" w:rsidP="00BD295F">
            <w:pPr>
              <w:spacing w:after="0"/>
              <w:rPr>
                <w:b/>
                <w:sz w:val="18"/>
                <w:szCs w:val="18"/>
              </w:rPr>
            </w:pPr>
            <w:r w:rsidRPr="00231E79">
              <w:rPr>
                <w:b/>
                <w:sz w:val="18"/>
                <w:szCs w:val="18"/>
              </w:rPr>
              <w:t>Years</w:t>
            </w:r>
          </w:p>
        </w:tc>
        <w:tc>
          <w:tcPr>
            <w:tcW w:w="993" w:type="dxa"/>
            <w:vAlign w:val="top"/>
            <w:hideMark/>
          </w:tcPr>
          <w:p w14:paraId="20D15363" w14:textId="77777777" w:rsidR="00143BCD" w:rsidRPr="00231E79" w:rsidRDefault="00143BCD" w:rsidP="00BD295F">
            <w:pPr>
              <w:spacing w:after="0"/>
              <w:rPr>
                <w:b/>
                <w:sz w:val="18"/>
                <w:szCs w:val="18"/>
              </w:rPr>
            </w:pPr>
            <w:r w:rsidRPr="00231E79">
              <w:rPr>
                <w:b/>
                <w:sz w:val="18"/>
                <w:szCs w:val="18"/>
              </w:rPr>
              <w:t>Before charges</w:t>
            </w:r>
          </w:p>
        </w:tc>
        <w:tc>
          <w:tcPr>
            <w:tcW w:w="992" w:type="dxa"/>
            <w:vAlign w:val="top"/>
            <w:hideMark/>
          </w:tcPr>
          <w:p w14:paraId="1978C8A5" w14:textId="77777777" w:rsidR="00143BCD" w:rsidRPr="00231E79" w:rsidRDefault="00143BCD" w:rsidP="00BD295F">
            <w:pPr>
              <w:spacing w:after="0"/>
              <w:rPr>
                <w:b/>
                <w:sz w:val="18"/>
                <w:szCs w:val="18"/>
              </w:rPr>
            </w:pPr>
            <w:r w:rsidRPr="00231E79">
              <w:rPr>
                <w:b/>
                <w:sz w:val="18"/>
                <w:szCs w:val="18"/>
              </w:rPr>
              <w:t>After all charges &amp; costs deducted</w:t>
            </w:r>
          </w:p>
        </w:tc>
        <w:tc>
          <w:tcPr>
            <w:tcW w:w="992" w:type="dxa"/>
            <w:vAlign w:val="top"/>
            <w:hideMark/>
          </w:tcPr>
          <w:p w14:paraId="49B626F3" w14:textId="77777777" w:rsidR="00143BCD" w:rsidRPr="00231E79" w:rsidRDefault="00143BCD" w:rsidP="00BD295F">
            <w:pPr>
              <w:spacing w:after="0"/>
              <w:rPr>
                <w:b/>
                <w:sz w:val="18"/>
                <w:szCs w:val="18"/>
              </w:rPr>
            </w:pPr>
            <w:r w:rsidRPr="00231E79">
              <w:rPr>
                <w:b/>
                <w:sz w:val="18"/>
                <w:szCs w:val="18"/>
              </w:rPr>
              <w:t>Before charges</w:t>
            </w:r>
          </w:p>
        </w:tc>
        <w:tc>
          <w:tcPr>
            <w:tcW w:w="992" w:type="dxa"/>
            <w:vAlign w:val="top"/>
            <w:hideMark/>
          </w:tcPr>
          <w:p w14:paraId="6C011D47" w14:textId="77777777" w:rsidR="00143BCD" w:rsidRPr="00231E79" w:rsidRDefault="00143BCD" w:rsidP="00BD295F">
            <w:pPr>
              <w:spacing w:after="0"/>
              <w:rPr>
                <w:b/>
                <w:sz w:val="18"/>
                <w:szCs w:val="18"/>
              </w:rPr>
            </w:pPr>
            <w:r w:rsidRPr="00231E79">
              <w:rPr>
                <w:b/>
                <w:sz w:val="18"/>
                <w:szCs w:val="18"/>
              </w:rPr>
              <w:t>After all charges &amp; costs deducted</w:t>
            </w:r>
          </w:p>
        </w:tc>
        <w:tc>
          <w:tcPr>
            <w:tcW w:w="993" w:type="dxa"/>
            <w:vAlign w:val="top"/>
            <w:hideMark/>
          </w:tcPr>
          <w:p w14:paraId="01CD274E" w14:textId="77777777" w:rsidR="00143BCD" w:rsidRPr="00231E79" w:rsidRDefault="00143BCD" w:rsidP="00BD295F">
            <w:pPr>
              <w:spacing w:after="0"/>
              <w:rPr>
                <w:b/>
                <w:sz w:val="18"/>
                <w:szCs w:val="18"/>
              </w:rPr>
            </w:pPr>
            <w:r w:rsidRPr="00231E79">
              <w:rPr>
                <w:b/>
                <w:sz w:val="18"/>
                <w:szCs w:val="18"/>
              </w:rPr>
              <w:t>Before charges</w:t>
            </w:r>
          </w:p>
        </w:tc>
        <w:tc>
          <w:tcPr>
            <w:tcW w:w="992" w:type="dxa"/>
            <w:vAlign w:val="top"/>
            <w:hideMark/>
          </w:tcPr>
          <w:p w14:paraId="36698E37" w14:textId="77777777" w:rsidR="00143BCD" w:rsidRPr="00231E79" w:rsidRDefault="00143BCD" w:rsidP="00BD295F">
            <w:pPr>
              <w:spacing w:after="0"/>
              <w:rPr>
                <w:b/>
                <w:sz w:val="18"/>
                <w:szCs w:val="18"/>
              </w:rPr>
            </w:pPr>
            <w:r w:rsidRPr="00231E79">
              <w:rPr>
                <w:b/>
                <w:sz w:val="18"/>
                <w:szCs w:val="18"/>
              </w:rPr>
              <w:t>After all charges &amp; costs deducted</w:t>
            </w:r>
          </w:p>
        </w:tc>
        <w:tc>
          <w:tcPr>
            <w:tcW w:w="992" w:type="dxa"/>
            <w:vAlign w:val="top"/>
            <w:hideMark/>
          </w:tcPr>
          <w:p w14:paraId="0A819446" w14:textId="77777777" w:rsidR="00143BCD" w:rsidRPr="00231E79" w:rsidRDefault="00143BCD" w:rsidP="00BD295F">
            <w:pPr>
              <w:spacing w:after="0"/>
              <w:rPr>
                <w:b/>
                <w:sz w:val="18"/>
                <w:szCs w:val="18"/>
              </w:rPr>
            </w:pPr>
            <w:r w:rsidRPr="00231E79">
              <w:rPr>
                <w:b/>
                <w:sz w:val="18"/>
                <w:szCs w:val="18"/>
              </w:rPr>
              <w:t>Before charges</w:t>
            </w:r>
          </w:p>
        </w:tc>
        <w:tc>
          <w:tcPr>
            <w:tcW w:w="987" w:type="dxa"/>
            <w:vAlign w:val="top"/>
            <w:hideMark/>
          </w:tcPr>
          <w:p w14:paraId="28220611" w14:textId="77777777" w:rsidR="00143BCD" w:rsidRPr="00231E79" w:rsidRDefault="00143BCD" w:rsidP="00BD295F">
            <w:pPr>
              <w:spacing w:after="0"/>
              <w:rPr>
                <w:b/>
                <w:sz w:val="18"/>
                <w:szCs w:val="18"/>
              </w:rPr>
            </w:pPr>
            <w:r w:rsidRPr="00231E79">
              <w:rPr>
                <w:b/>
                <w:sz w:val="18"/>
                <w:szCs w:val="18"/>
              </w:rPr>
              <w:t>After all charges &amp; costs deducted</w:t>
            </w:r>
          </w:p>
        </w:tc>
      </w:tr>
      <w:tr w:rsidR="00143BCD" w:rsidRPr="00231E79" w14:paraId="7DC4EE88" w14:textId="77777777" w:rsidTr="00BD295F">
        <w:trPr>
          <w:trHeight w:val="300"/>
        </w:trPr>
        <w:tc>
          <w:tcPr>
            <w:tcW w:w="1134" w:type="dxa"/>
            <w:noWrap/>
            <w:vAlign w:val="top"/>
            <w:hideMark/>
          </w:tcPr>
          <w:p w14:paraId="5061D7FE"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1</w:t>
            </w:r>
          </w:p>
        </w:tc>
        <w:tc>
          <w:tcPr>
            <w:tcW w:w="993" w:type="dxa"/>
            <w:noWrap/>
            <w:vAlign w:val="top"/>
            <w:hideMark/>
          </w:tcPr>
          <w:p w14:paraId="54A80290" w14:textId="1711CE75"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34</w:t>
            </w:r>
            <w:r w:rsidRPr="00231E79">
              <w:rPr>
                <w:rFonts w:asciiTheme="minorHAnsi" w:hAnsiTheme="minorHAnsi" w:cstheme="minorHAnsi"/>
                <w:sz w:val="18"/>
                <w:szCs w:val="18"/>
              </w:rPr>
              <w:t>,</w:t>
            </w:r>
            <w:r w:rsidR="0096569F">
              <w:rPr>
                <w:rFonts w:asciiTheme="minorHAnsi" w:hAnsiTheme="minorHAnsi" w:cstheme="minorHAnsi"/>
                <w:sz w:val="18"/>
                <w:szCs w:val="18"/>
              </w:rPr>
              <w:t>7</w:t>
            </w:r>
            <w:r w:rsidRPr="00231E79">
              <w:rPr>
                <w:rFonts w:asciiTheme="minorHAnsi" w:hAnsiTheme="minorHAnsi" w:cstheme="minorHAnsi"/>
                <w:sz w:val="18"/>
                <w:szCs w:val="18"/>
              </w:rPr>
              <w:t>00</w:t>
            </w:r>
          </w:p>
        </w:tc>
        <w:tc>
          <w:tcPr>
            <w:tcW w:w="992" w:type="dxa"/>
            <w:noWrap/>
            <w:vAlign w:val="top"/>
            <w:hideMark/>
          </w:tcPr>
          <w:p w14:paraId="4C773F9B" w14:textId="0608766A"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34</w:t>
            </w:r>
            <w:r w:rsidRPr="00231E79">
              <w:rPr>
                <w:rFonts w:asciiTheme="minorHAnsi" w:hAnsiTheme="minorHAnsi" w:cstheme="minorHAnsi"/>
                <w:sz w:val="18"/>
                <w:szCs w:val="18"/>
              </w:rPr>
              <w:t>,</w:t>
            </w:r>
            <w:r w:rsidR="0096569F">
              <w:rPr>
                <w:rFonts w:asciiTheme="minorHAnsi" w:hAnsiTheme="minorHAnsi" w:cstheme="minorHAnsi"/>
                <w:sz w:val="18"/>
                <w:szCs w:val="18"/>
              </w:rPr>
              <w:t>7</w:t>
            </w:r>
            <w:r w:rsidRPr="00231E79">
              <w:rPr>
                <w:rFonts w:asciiTheme="minorHAnsi" w:hAnsiTheme="minorHAnsi" w:cstheme="minorHAnsi"/>
                <w:sz w:val="18"/>
                <w:szCs w:val="18"/>
              </w:rPr>
              <w:t>00</w:t>
            </w:r>
          </w:p>
        </w:tc>
        <w:tc>
          <w:tcPr>
            <w:tcW w:w="992" w:type="dxa"/>
            <w:noWrap/>
            <w:vAlign w:val="top"/>
            <w:hideMark/>
          </w:tcPr>
          <w:p w14:paraId="15CFE95D" w14:textId="220CDEA0"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w:t>
            </w:r>
            <w:r w:rsidRPr="00231E79">
              <w:rPr>
                <w:rFonts w:asciiTheme="minorHAnsi" w:hAnsiTheme="minorHAnsi" w:cstheme="minorHAnsi"/>
                <w:sz w:val="18"/>
                <w:szCs w:val="18"/>
              </w:rPr>
              <w:t>6,</w:t>
            </w:r>
            <w:r w:rsidR="0096569F">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64385645" w14:textId="72F47121"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35</w:t>
            </w:r>
            <w:r w:rsidRPr="00231E79">
              <w:rPr>
                <w:rFonts w:asciiTheme="minorHAnsi" w:hAnsiTheme="minorHAnsi" w:cstheme="minorHAnsi"/>
                <w:sz w:val="18"/>
                <w:szCs w:val="18"/>
              </w:rPr>
              <w:t>,</w:t>
            </w:r>
            <w:r w:rsidR="0096569F">
              <w:rPr>
                <w:rFonts w:asciiTheme="minorHAnsi" w:hAnsiTheme="minorHAnsi" w:cstheme="minorHAnsi"/>
                <w:sz w:val="18"/>
                <w:szCs w:val="18"/>
              </w:rPr>
              <w:t>9</w:t>
            </w:r>
            <w:r w:rsidRPr="00231E79">
              <w:rPr>
                <w:rFonts w:asciiTheme="minorHAnsi" w:hAnsiTheme="minorHAnsi" w:cstheme="minorHAnsi"/>
                <w:sz w:val="18"/>
                <w:szCs w:val="18"/>
              </w:rPr>
              <w:t>00</w:t>
            </w:r>
          </w:p>
        </w:tc>
        <w:tc>
          <w:tcPr>
            <w:tcW w:w="993" w:type="dxa"/>
            <w:noWrap/>
            <w:vAlign w:val="top"/>
            <w:hideMark/>
          </w:tcPr>
          <w:p w14:paraId="60528BD3" w14:textId="47396D2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36</w:t>
            </w:r>
            <w:r w:rsidRPr="00231E79">
              <w:rPr>
                <w:rFonts w:asciiTheme="minorHAnsi" w:hAnsiTheme="minorHAnsi" w:cstheme="minorHAnsi"/>
                <w:sz w:val="18"/>
                <w:szCs w:val="18"/>
              </w:rPr>
              <w:t>,300</w:t>
            </w:r>
          </w:p>
        </w:tc>
        <w:tc>
          <w:tcPr>
            <w:tcW w:w="992" w:type="dxa"/>
            <w:noWrap/>
            <w:vAlign w:val="top"/>
            <w:hideMark/>
          </w:tcPr>
          <w:p w14:paraId="59CB1A08" w14:textId="468955A9"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36</w:t>
            </w:r>
            <w:r w:rsidRPr="00231E79">
              <w:rPr>
                <w:rFonts w:asciiTheme="minorHAnsi" w:hAnsiTheme="minorHAnsi" w:cstheme="minorHAnsi"/>
                <w:sz w:val="18"/>
                <w:szCs w:val="18"/>
              </w:rPr>
              <w:t>,</w:t>
            </w:r>
            <w:r w:rsidR="00AA6C91">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5FB292D3" w14:textId="38D66F0A"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34</w:t>
            </w:r>
            <w:r w:rsidRPr="00231E79">
              <w:rPr>
                <w:rFonts w:asciiTheme="minorHAnsi" w:hAnsiTheme="minorHAnsi" w:cstheme="minorHAnsi"/>
                <w:sz w:val="18"/>
                <w:szCs w:val="18"/>
              </w:rPr>
              <w:t>,</w:t>
            </w:r>
            <w:r w:rsidR="00AA6C91">
              <w:rPr>
                <w:rFonts w:asciiTheme="minorHAnsi" w:hAnsiTheme="minorHAnsi" w:cstheme="minorHAnsi"/>
                <w:sz w:val="18"/>
                <w:szCs w:val="18"/>
              </w:rPr>
              <w:t>3</w:t>
            </w:r>
            <w:r w:rsidRPr="00231E79">
              <w:rPr>
                <w:rFonts w:asciiTheme="minorHAnsi" w:hAnsiTheme="minorHAnsi" w:cstheme="minorHAnsi"/>
                <w:sz w:val="18"/>
                <w:szCs w:val="18"/>
              </w:rPr>
              <w:t>00</w:t>
            </w:r>
          </w:p>
        </w:tc>
        <w:tc>
          <w:tcPr>
            <w:tcW w:w="987" w:type="dxa"/>
            <w:noWrap/>
            <w:vAlign w:val="top"/>
            <w:hideMark/>
          </w:tcPr>
          <w:p w14:paraId="60B79466" w14:textId="7E77C339"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34</w:t>
            </w:r>
            <w:r w:rsidRPr="00231E79">
              <w:rPr>
                <w:rFonts w:asciiTheme="minorHAnsi" w:hAnsiTheme="minorHAnsi" w:cstheme="minorHAnsi"/>
                <w:sz w:val="18"/>
                <w:szCs w:val="18"/>
              </w:rPr>
              <w:t>,</w:t>
            </w:r>
            <w:r w:rsidR="002109C4">
              <w:rPr>
                <w:rFonts w:asciiTheme="minorHAnsi" w:hAnsiTheme="minorHAnsi" w:cstheme="minorHAnsi"/>
                <w:sz w:val="18"/>
                <w:szCs w:val="18"/>
              </w:rPr>
              <w:t>2</w:t>
            </w:r>
            <w:r w:rsidRPr="00231E79">
              <w:rPr>
                <w:rFonts w:asciiTheme="minorHAnsi" w:hAnsiTheme="minorHAnsi" w:cstheme="minorHAnsi"/>
                <w:sz w:val="18"/>
                <w:szCs w:val="18"/>
              </w:rPr>
              <w:t>00</w:t>
            </w:r>
          </w:p>
        </w:tc>
      </w:tr>
      <w:tr w:rsidR="00143BCD" w:rsidRPr="00231E79" w14:paraId="1205EEAB" w14:textId="77777777" w:rsidTr="00BD295F">
        <w:trPr>
          <w:trHeight w:val="300"/>
        </w:trPr>
        <w:tc>
          <w:tcPr>
            <w:tcW w:w="1134" w:type="dxa"/>
            <w:noWrap/>
            <w:vAlign w:val="top"/>
            <w:hideMark/>
          </w:tcPr>
          <w:p w14:paraId="06FFE3AD"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3</w:t>
            </w:r>
          </w:p>
        </w:tc>
        <w:tc>
          <w:tcPr>
            <w:tcW w:w="993" w:type="dxa"/>
            <w:noWrap/>
            <w:vAlign w:val="top"/>
            <w:hideMark/>
          </w:tcPr>
          <w:p w14:paraId="21CE1886" w14:textId="2AEF000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34</w:t>
            </w:r>
            <w:r w:rsidRPr="00231E79">
              <w:rPr>
                <w:rFonts w:asciiTheme="minorHAnsi" w:hAnsiTheme="minorHAnsi" w:cstheme="minorHAnsi"/>
                <w:sz w:val="18"/>
                <w:szCs w:val="18"/>
              </w:rPr>
              <w:t>,</w:t>
            </w:r>
            <w:r w:rsidR="0096569F">
              <w:rPr>
                <w:rFonts w:asciiTheme="minorHAnsi" w:hAnsiTheme="minorHAnsi" w:cstheme="minorHAnsi"/>
                <w:sz w:val="18"/>
                <w:szCs w:val="18"/>
              </w:rPr>
              <w:t>7</w:t>
            </w:r>
            <w:r w:rsidRPr="00231E79">
              <w:rPr>
                <w:rFonts w:asciiTheme="minorHAnsi" w:hAnsiTheme="minorHAnsi" w:cstheme="minorHAnsi"/>
                <w:sz w:val="18"/>
                <w:szCs w:val="18"/>
              </w:rPr>
              <w:t>00</w:t>
            </w:r>
          </w:p>
        </w:tc>
        <w:tc>
          <w:tcPr>
            <w:tcW w:w="992" w:type="dxa"/>
            <w:noWrap/>
            <w:vAlign w:val="top"/>
            <w:hideMark/>
          </w:tcPr>
          <w:p w14:paraId="7A8F9AC0" w14:textId="27DBA5D4"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34</w:t>
            </w:r>
            <w:r w:rsidRPr="00231E79">
              <w:rPr>
                <w:rFonts w:asciiTheme="minorHAnsi" w:hAnsiTheme="minorHAnsi" w:cstheme="minorHAnsi"/>
                <w:sz w:val="18"/>
                <w:szCs w:val="18"/>
              </w:rPr>
              <w:t>,</w:t>
            </w:r>
            <w:r w:rsidR="0096569F">
              <w:rPr>
                <w:rFonts w:asciiTheme="minorHAnsi" w:hAnsiTheme="minorHAnsi" w:cstheme="minorHAnsi"/>
                <w:sz w:val="18"/>
                <w:szCs w:val="18"/>
              </w:rPr>
              <w:t>5</w:t>
            </w:r>
            <w:r w:rsidRPr="00231E79">
              <w:rPr>
                <w:rFonts w:asciiTheme="minorHAnsi" w:hAnsiTheme="minorHAnsi" w:cstheme="minorHAnsi"/>
                <w:sz w:val="18"/>
                <w:szCs w:val="18"/>
              </w:rPr>
              <w:t>00</w:t>
            </w:r>
          </w:p>
        </w:tc>
        <w:tc>
          <w:tcPr>
            <w:tcW w:w="992" w:type="dxa"/>
            <w:noWrap/>
            <w:vAlign w:val="top"/>
            <w:hideMark/>
          </w:tcPr>
          <w:p w14:paraId="7230C24A" w14:textId="4E2769DE"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38</w:t>
            </w:r>
            <w:r w:rsidRPr="00231E79">
              <w:rPr>
                <w:rFonts w:asciiTheme="minorHAnsi" w:hAnsiTheme="minorHAnsi" w:cstheme="minorHAnsi"/>
                <w:sz w:val="18"/>
                <w:szCs w:val="18"/>
              </w:rPr>
              <w:t>,</w:t>
            </w:r>
            <w:r w:rsidR="0096569F">
              <w:rPr>
                <w:rFonts w:asciiTheme="minorHAnsi" w:hAnsiTheme="minorHAnsi" w:cstheme="minorHAnsi"/>
                <w:sz w:val="18"/>
                <w:szCs w:val="18"/>
              </w:rPr>
              <w:t>4</w:t>
            </w:r>
            <w:r w:rsidRPr="00231E79">
              <w:rPr>
                <w:rFonts w:asciiTheme="minorHAnsi" w:hAnsiTheme="minorHAnsi" w:cstheme="minorHAnsi"/>
                <w:sz w:val="18"/>
                <w:szCs w:val="18"/>
              </w:rPr>
              <w:t>00</w:t>
            </w:r>
          </w:p>
        </w:tc>
        <w:tc>
          <w:tcPr>
            <w:tcW w:w="992" w:type="dxa"/>
            <w:noWrap/>
            <w:vAlign w:val="top"/>
            <w:hideMark/>
          </w:tcPr>
          <w:p w14:paraId="539A8B8A" w14:textId="2A10DAE3"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w:t>
            </w:r>
            <w:r w:rsidRPr="00231E79">
              <w:rPr>
                <w:rFonts w:asciiTheme="minorHAnsi" w:hAnsiTheme="minorHAnsi" w:cstheme="minorHAnsi"/>
                <w:sz w:val="18"/>
                <w:szCs w:val="18"/>
              </w:rPr>
              <w:t>7,</w:t>
            </w:r>
            <w:r w:rsidR="0096569F">
              <w:rPr>
                <w:rFonts w:asciiTheme="minorHAnsi" w:hAnsiTheme="minorHAnsi" w:cstheme="minorHAnsi"/>
                <w:sz w:val="18"/>
                <w:szCs w:val="18"/>
              </w:rPr>
              <w:t>8</w:t>
            </w:r>
            <w:r w:rsidRPr="00231E79">
              <w:rPr>
                <w:rFonts w:asciiTheme="minorHAnsi" w:hAnsiTheme="minorHAnsi" w:cstheme="minorHAnsi"/>
                <w:sz w:val="18"/>
                <w:szCs w:val="18"/>
              </w:rPr>
              <w:t>00</w:t>
            </w:r>
          </w:p>
        </w:tc>
        <w:tc>
          <w:tcPr>
            <w:tcW w:w="993" w:type="dxa"/>
            <w:noWrap/>
            <w:vAlign w:val="top"/>
            <w:hideMark/>
          </w:tcPr>
          <w:p w14:paraId="6AE8144F" w14:textId="7E750FB1"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39</w:t>
            </w:r>
            <w:r w:rsidRPr="00231E79">
              <w:rPr>
                <w:rFonts w:asciiTheme="minorHAnsi" w:hAnsiTheme="minorHAnsi" w:cstheme="minorHAnsi"/>
                <w:sz w:val="18"/>
                <w:szCs w:val="18"/>
              </w:rPr>
              <w:t>,</w:t>
            </w:r>
            <w:r w:rsidR="00AA6C91">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645FF91B" w14:textId="618E858E"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£3</w:t>
            </w:r>
            <w:r w:rsidR="00AA6C91">
              <w:rPr>
                <w:rFonts w:asciiTheme="minorHAnsi" w:hAnsiTheme="minorHAnsi" w:cstheme="minorHAnsi"/>
                <w:sz w:val="18"/>
                <w:szCs w:val="18"/>
              </w:rPr>
              <w:t>9</w:t>
            </w:r>
            <w:r w:rsidRPr="00231E79">
              <w:rPr>
                <w:rFonts w:asciiTheme="minorHAnsi" w:hAnsiTheme="minorHAnsi" w:cstheme="minorHAnsi"/>
                <w:sz w:val="18"/>
                <w:szCs w:val="18"/>
              </w:rPr>
              <w:t>,</w:t>
            </w:r>
            <w:r w:rsidR="00AA6C91">
              <w:rPr>
                <w:rFonts w:asciiTheme="minorHAnsi" w:hAnsiTheme="minorHAnsi" w:cstheme="minorHAnsi"/>
                <w:sz w:val="18"/>
                <w:szCs w:val="18"/>
              </w:rPr>
              <w:t>0</w:t>
            </w:r>
            <w:r w:rsidRPr="00231E79">
              <w:rPr>
                <w:rFonts w:asciiTheme="minorHAnsi" w:hAnsiTheme="minorHAnsi" w:cstheme="minorHAnsi"/>
                <w:sz w:val="18"/>
                <w:szCs w:val="18"/>
              </w:rPr>
              <w:t>00</w:t>
            </w:r>
          </w:p>
        </w:tc>
        <w:tc>
          <w:tcPr>
            <w:tcW w:w="992" w:type="dxa"/>
            <w:noWrap/>
            <w:vAlign w:val="top"/>
            <w:hideMark/>
          </w:tcPr>
          <w:p w14:paraId="50E47BEA" w14:textId="16F58264"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3</w:t>
            </w:r>
            <w:r w:rsidRPr="00231E79">
              <w:rPr>
                <w:rFonts w:asciiTheme="minorHAnsi" w:hAnsiTheme="minorHAnsi" w:cstheme="minorHAnsi"/>
                <w:sz w:val="18"/>
                <w:szCs w:val="18"/>
              </w:rPr>
              <w:t>2,</w:t>
            </w:r>
            <w:r w:rsidR="00AA6C91">
              <w:rPr>
                <w:rFonts w:asciiTheme="minorHAnsi" w:hAnsiTheme="minorHAnsi" w:cstheme="minorHAnsi"/>
                <w:sz w:val="18"/>
                <w:szCs w:val="18"/>
              </w:rPr>
              <w:t>9</w:t>
            </w:r>
            <w:r w:rsidRPr="00231E79">
              <w:rPr>
                <w:rFonts w:asciiTheme="minorHAnsi" w:hAnsiTheme="minorHAnsi" w:cstheme="minorHAnsi"/>
                <w:sz w:val="18"/>
                <w:szCs w:val="18"/>
              </w:rPr>
              <w:t>00</w:t>
            </w:r>
          </w:p>
        </w:tc>
        <w:tc>
          <w:tcPr>
            <w:tcW w:w="987" w:type="dxa"/>
            <w:noWrap/>
            <w:vAlign w:val="top"/>
            <w:hideMark/>
          </w:tcPr>
          <w:p w14:paraId="6872AA8E" w14:textId="07D7F9E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3</w:t>
            </w:r>
            <w:r w:rsidRPr="00231E79">
              <w:rPr>
                <w:rFonts w:asciiTheme="minorHAnsi" w:hAnsiTheme="minorHAnsi" w:cstheme="minorHAnsi"/>
                <w:sz w:val="18"/>
                <w:szCs w:val="18"/>
              </w:rPr>
              <w:t>2,</w:t>
            </w:r>
            <w:r w:rsidR="002109C4">
              <w:rPr>
                <w:rFonts w:asciiTheme="minorHAnsi" w:hAnsiTheme="minorHAnsi" w:cstheme="minorHAnsi"/>
                <w:sz w:val="18"/>
                <w:szCs w:val="18"/>
              </w:rPr>
              <w:t>8</w:t>
            </w:r>
            <w:r w:rsidRPr="00231E79">
              <w:rPr>
                <w:rFonts w:asciiTheme="minorHAnsi" w:hAnsiTheme="minorHAnsi" w:cstheme="minorHAnsi"/>
                <w:sz w:val="18"/>
                <w:szCs w:val="18"/>
              </w:rPr>
              <w:t>00</w:t>
            </w:r>
          </w:p>
        </w:tc>
      </w:tr>
      <w:tr w:rsidR="00143BCD" w:rsidRPr="00231E79" w14:paraId="43BC3077" w14:textId="77777777" w:rsidTr="00BD295F">
        <w:trPr>
          <w:trHeight w:val="300"/>
        </w:trPr>
        <w:tc>
          <w:tcPr>
            <w:tcW w:w="1134" w:type="dxa"/>
            <w:noWrap/>
            <w:vAlign w:val="top"/>
            <w:hideMark/>
          </w:tcPr>
          <w:p w14:paraId="08A1CAE0"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5</w:t>
            </w:r>
          </w:p>
        </w:tc>
        <w:tc>
          <w:tcPr>
            <w:tcW w:w="993" w:type="dxa"/>
            <w:noWrap/>
            <w:vAlign w:val="top"/>
            <w:hideMark/>
          </w:tcPr>
          <w:p w14:paraId="41F0A20E" w14:textId="7D7C8BB9"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35</w:t>
            </w:r>
            <w:r w:rsidRPr="00231E79">
              <w:rPr>
                <w:rFonts w:asciiTheme="minorHAnsi" w:hAnsiTheme="minorHAnsi" w:cstheme="minorHAnsi"/>
                <w:sz w:val="18"/>
                <w:szCs w:val="18"/>
              </w:rPr>
              <w:t>,</w:t>
            </w:r>
            <w:r w:rsidR="0096569F">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4785D325" w14:textId="4812B908"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34</w:t>
            </w:r>
            <w:r w:rsidRPr="00231E79">
              <w:rPr>
                <w:rFonts w:asciiTheme="minorHAnsi" w:hAnsiTheme="minorHAnsi" w:cstheme="minorHAnsi"/>
                <w:sz w:val="18"/>
                <w:szCs w:val="18"/>
              </w:rPr>
              <w:t>,</w:t>
            </w:r>
            <w:r w:rsidR="0096569F">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74020708" w14:textId="664A3036"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40</w:t>
            </w:r>
            <w:r w:rsidRPr="00231E79">
              <w:rPr>
                <w:rFonts w:asciiTheme="minorHAnsi" w:hAnsiTheme="minorHAnsi" w:cstheme="minorHAnsi"/>
                <w:sz w:val="18"/>
                <w:szCs w:val="18"/>
              </w:rPr>
              <w:t>,900</w:t>
            </w:r>
          </w:p>
        </w:tc>
        <w:tc>
          <w:tcPr>
            <w:tcW w:w="992" w:type="dxa"/>
            <w:noWrap/>
            <w:vAlign w:val="top"/>
            <w:hideMark/>
          </w:tcPr>
          <w:p w14:paraId="0CD4C0E2" w14:textId="6D429E48"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39</w:t>
            </w:r>
            <w:r w:rsidRPr="00231E79">
              <w:rPr>
                <w:rFonts w:asciiTheme="minorHAnsi" w:hAnsiTheme="minorHAnsi" w:cstheme="minorHAnsi"/>
                <w:sz w:val="18"/>
                <w:szCs w:val="18"/>
              </w:rPr>
              <w:t>,</w:t>
            </w:r>
            <w:r w:rsidR="0096569F">
              <w:rPr>
                <w:rFonts w:asciiTheme="minorHAnsi" w:hAnsiTheme="minorHAnsi" w:cstheme="minorHAnsi"/>
                <w:sz w:val="18"/>
                <w:szCs w:val="18"/>
              </w:rPr>
              <w:t>9</w:t>
            </w:r>
            <w:r w:rsidRPr="00231E79">
              <w:rPr>
                <w:rFonts w:asciiTheme="minorHAnsi" w:hAnsiTheme="minorHAnsi" w:cstheme="minorHAnsi"/>
                <w:sz w:val="18"/>
                <w:szCs w:val="18"/>
              </w:rPr>
              <w:t>00</w:t>
            </w:r>
          </w:p>
        </w:tc>
        <w:tc>
          <w:tcPr>
            <w:tcW w:w="993" w:type="dxa"/>
            <w:noWrap/>
            <w:vAlign w:val="top"/>
            <w:hideMark/>
          </w:tcPr>
          <w:p w14:paraId="58F8650F" w14:textId="2541D291"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42</w:t>
            </w:r>
            <w:r w:rsidRPr="00231E79">
              <w:rPr>
                <w:rFonts w:asciiTheme="minorHAnsi" w:hAnsiTheme="minorHAnsi" w:cstheme="minorHAnsi"/>
                <w:sz w:val="18"/>
                <w:szCs w:val="18"/>
              </w:rPr>
              <w:t>,</w:t>
            </w:r>
            <w:r w:rsidR="00AA6C91">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4C49CAD0" w14:textId="7FC28AA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41</w:t>
            </w:r>
            <w:r w:rsidRPr="00231E79">
              <w:rPr>
                <w:rFonts w:asciiTheme="minorHAnsi" w:hAnsiTheme="minorHAnsi" w:cstheme="minorHAnsi"/>
                <w:sz w:val="18"/>
                <w:szCs w:val="18"/>
              </w:rPr>
              <w:t>,900</w:t>
            </w:r>
          </w:p>
        </w:tc>
        <w:tc>
          <w:tcPr>
            <w:tcW w:w="992" w:type="dxa"/>
            <w:noWrap/>
            <w:vAlign w:val="top"/>
            <w:hideMark/>
          </w:tcPr>
          <w:p w14:paraId="45F669A6" w14:textId="20B3611B"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£3</w:t>
            </w:r>
            <w:r w:rsidR="00AA6C91">
              <w:rPr>
                <w:rFonts w:asciiTheme="minorHAnsi" w:hAnsiTheme="minorHAnsi" w:cstheme="minorHAnsi"/>
                <w:sz w:val="18"/>
                <w:szCs w:val="18"/>
              </w:rPr>
              <w:t>1</w:t>
            </w:r>
            <w:r w:rsidRPr="00231E79">
              <w:rPr>
                <w:rFonts w:asciiTheme="minorHAnsi" w:hAnsiTheme="minorHAnsi" w:cstheme="minorHAnsi"/>
                <w:sz w:val="18"/>
                <w:szCs w:val="18"/>
              </w:rPr>
              <w:t>,</w:t>
            </w:r>
            <w:r w:rsidR="00AA6C91">
              <w:rPr>
                <w:rFonts w:asciiTheme="minorHAnsi" w:hAnsiTheme="minorHAnsi" w:cstheme="minorHAnsi"/>
                <w:sz w:val="18"/>
                <w:szCs w:val="18"/>
              </w:rPr>
              <w:t>7</w:t>
            </w:r>
            <w:r w:rsidRPr="00231E79">
              <w:rPr>
                <w:rFonts w:asciiTheme="minorHAnsi" w:hAnsiTheme="minorHAnsi" w:cstheme="minorHAnsi"/>
                <w:sz w:val="18"/>
                <w:szCs w:val="18"/>
              </w:rPr>
              <w:t>00</w:t>
            </w:r>
          </w:p>
        </w:tc>
        <w:tc>
          <w:tcPr>
            <w:tcW w:w="987" w:type="dxa"/>
            <w:noWrap/>
            <w:vAlign w:val="top"/>
            <w:hideMark/>
          </w:tcPr>
          <w:p w14:paraId="193FE836" w14:textId="490C15A4"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£3</w:t>
            </w:r>
            <w:r w:rsidR="002109C4">
              <w:rPr>
                <w:rFonts w:asciiTheme="minorHAnsi" w:hAnsiTheme="minorHAnsi" w:cstheme="minorHAnsi"/>
                <w:sz w:val="18"/>
                <w:szCs w:val="18"/>
              </w:rPr>
              <w:t>1</w:t>
            </w:r>
            <w:r w:rsidRPr="00231E79">
              <w:rPr>
                <w:rFonts w:asciiTheme="minorHAnsi" w:hAnsiTheme="minorHAnsi" w:cstheme="minorHAnsi"/>
                <w:sz w:val="18"/>
                <w:szCs w:val="18"/>
              </w:rPr>
              <w:t>,500</w:t>
            </w:r>
          </w:p>
        </w:tc>
      </w:tr>
      <w:tr w:rsidR="00143BCD" w:rsidRPr="00231E79" w14:paraId="2C88C0EA" w14:textId="77777777" w:rsidTr="00BD295F">
        <w:trPr>
          <w:trHeight w:val="300"/>
        </w:trPr>
        <w:tc>
          <w:tcPr>
            <w:tcW w:w="1134" w:type="dxa"/>
            <w:noWrap/>
            <w:vAlign w:val="top"/>
            <w:hideMark/>
          </w:tcPr>
          <w:p w14:paraId="259C1EB2"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10</w:t>
            </w:r>
          </w:p>
        </w:tc>
        <w:tc>
          <w:tcPr>
            <w:tcW w:w="993" w:type="dxa"/>
            <w:noWrap/>
            <w:vAlign w:val="top"/>
            <w:hideMark/>
          </w:tcPr>
          <w:p w14:paraId="715267DB" w14:textId="19F298D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39</w:t>
            </w:r>
            <w:r w:rsidRPr="00231E79">
              <w:rPr>
                <w:rFonts w:asciiTheme="minorHAnsi" w:hAnsiTheme="minorHAnsi" w:cstheme="minorHAnsi"/>
                <w:sz w:val="18"/>
                <w:szCs w:val="18"/>
              </w:rPr>
              <w:t>,</w:t>
            </w:r>
            <w:r w:rsidR="0096569F">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01672A8F" w14:textId="7D917033"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3</w:t>
            </w:r>
            <w:r w:rsidRPr="00231E79">
              <w:rPr>
                <w:rFonts w:asciiTheme="minorHAnsi" w:hAnsiTheme="minorHAnsi" w:cstheme="minorHAnsi"/>
                <w:sz w:val="18"/>
                <w:szCs w:val="18"/>
              </w:rPr>
              <w:t>8,</w:t>
            </w:r>
            <w:r w:rsidR="0096569F">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6DD855EF" w14:textId="00FA077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47</w:t>
            </w:r>
            <w:r w:rsidRPr="00231E79">
              <w:rPr>
                <w:rFonts w:asciiTheme="minorHAnsi" w:hAnsiTheme="minorHAnsi" w:cstheme="minorHAnsi"/>
                <w:sz w:val="18"/>
                <w:szCs w:val="18"/>
              </w:rPr>
              <w:t>,</w:t>
            </w:r>
            <w:r w:rsidR="0096569F">
              <w:rPr>
                <w:rFonts w:asciiTheme="minorHAnsi" w:hAnsiTheme="minorHAnsi" w:cstheme="minorHAnsi"/>
                <w:sz w:val="18"/>
                <w:szCs w:val="18"/>
              </w:rPr>
              <w:t>8</w:t>
            </w:r>
            <w:r w:rsidRPr="00231E79">
              <w:rPr>
                <w:rFonts w:asciiTheme="minorHAnsi" w:hAnsiTheme="minorHAnsi" w:cstheme="minorHAnsi"/>
                <w:sz w:val="18"/>
                <w:szCs w:val="18"/>
              </w:rPr>
              <w:t>00</w:t>
            </w:r>
          </w:p>
        </w:tc>
        <w:tc>
          <w:tcPr>
            <w:tcW w:w="992" w:type="dxa"/>
            <w:noWrap/>
            <w:vAlign w:val="top"/>
            <w:hideMark/>
          </w:tcPr>
          <w:p w14:paraId="1F65B58D" w14:textId="7944D35B"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F75159">
              <w:rPr>
                <w:rFonts w:asciiTheme="minorHAnsi" w:hAnsiTheme="minorHAnsi" w:cstheme="minorHAnsi"/>
                <w:sz w:val="18"/>
                <w:szCs w:val="18"/>
              </w:rPr>
              <w:t>45</w:t>
            </w:r>
            <w:r w:rsidRPr="00231E79">
              <w:rPr>
                <w:rFonts w:asciiTheme="minorHAnsi" w:hAnsiTheme="minorHAnsi" w:cstheme="minorHAnsi"/>
                <w:sz w:val="18"/>
                <w:szCs w:val="18"/>
              </w:rPr>
              <w:t>,</w:t>
            </w:r>
            <w:r w:rsidR="00F75159">
              <w:rPr>
                <w:rFonts w:asciiTheme="minorHAnsi" w:hAnsiTheme="minorHAnsi" w:cstheme="minorHAnsi"/>
                <w:sz w:val="18"/>
                <w:szCs w:val="18"/>
              </w:rPr>
              <w:t>6</w:t>
            </w:r>
            <w:r w:rsidRPr="00231E79">
              <w:rPr>
                <w:rFonts w:asciiTheme="minorHAnsi" w:hAnsiTheme="minorHAnsi" w:cstheme="minorHAnsi"/>
                <w:sz w:val="18"/>
                <w:szCs w:val="18"/>
              </w:rPr>
              <w:t>00</w:t>
            </w:r>
          </w:p>
        </w:tc>
        <w:tc>
          <w:tcPr>
            <w:tcW w:w="993" w:type="dxa"/>
            <w:noWrap/>
            <w:vAlign w:val="top"/>
            <w:hideMark/>
          </w:tcPr>
          <w:p w14:paraId="1BF2ADAE" w14:textId="29A9BEB5"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51</w:t>
            </w:r>
            <w:r w:rsidRPr="00231E79">
              <w:rPr>
                <w:rFonts w:asciiTheme="minorHAnsi" w:hAnsiTheme="minorHAnsi" w:cstheme="minorHAnsi"/>
                <w:sz w:val="18"/>
                <w:szCs w:val="18"/>
              </w:rPr>
              <w:t>,</w:t>
            </w:r>
            <w:r w:rsidR="00AA6C91">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47FD9C51" w14:textId="7C0E7C4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5</w:t>
            </w:r>
            <w:r w:rsidRPr="00231E79">
              <w:rPr>
                <w:rFonts w:asciiTheme="minorHAnsi" w:hAnsiTheme="minorHAnsi" w:cstheme="minorHAnsi"/>
                <w:sz w:val="18"/>
                <w:szCs w:val="18"/>
              </w:rPr>
              <w:t>0,</w:t>
            </w:r>
            <w:r w:rsidR="00AA6C91">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67629A6D" w14:textId="6C2F9147"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28</w:t>
            </w:r>
            <w:r w:rsidRPr="00231E79">
              <w:rPr>
                <w:rFonts w:asciiTheme="minorHAnsi" w:hAnsiTheme="minorHAnsi" w:cstheme="minorHAnsi"/>
                <w:sz w:val="18"/>
                <w:szCs w:val="18"/>
              </w:rPr>
              <w:t>,</w:t>
            </w:r>
            <w:r w:rsidR="00AA6C91">
              <w:rPr>
                <w:rFonts w:asciiTheme="minorHAnsi" w:hAnsiTheme="minorHAnsi" w:cstheme="minorHAnsi"/>
                <w:sz w:val="18"/>
                <w:szCs w:val="18"/>
              </w:rPr>
              <w:t>7</w:t>
            </w:r>
            <w:r w:rsidRPr="00231E79">
              <w:rPr>
                <w:rFonts w:asciiTheme="minorHAnsi" w:hAnsiTheme="minorHAnsi" w:cstheme="minorHAnsi"/>
                <w:sz w:val="18"/>
                <w:szCs w:val="18"/>
              </w:rPr>
              <w:t>00</w:t>
            </w:r>
          </w:p>
        </w:tc>
        <w:tc>
          <w:tcPr>
            <w:tcW w:w="987" w:type="dxa"/>
            <w:noWrap/>
            <w:vAlign w:val="top"/>
            <w:hideMark/>
          </w:tcPr>
          <w:p w14:paraId="4CCB40FB" w14:textId="0D25174B"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28</w:t>
            </w:r>
            <w:r w:rsidRPr="00231E79">
              <w:rPr>
                <w:rFonts w:asciiTheme="minorHAnsi" w:hAnsiTheme="minorHAnsi" w:cstheme="minorHAnsi"/>
                <w:sz w:val="18"/>
                <w:szCs w:val="18"/>
              </w:rPr>
              <w:t>,</w:t>
            </w:r>
            <w:r w:rsidR="002109C4">
              <w:rPr>
                <w:rFonts w:asciiTheme="minorHAnsi" w:hAnsiTheme="minorHAnsi" w:cstheme="minorHAnsi"/>
                <w:sz w:val="18"/>
                <w:szCs w:val="18"/>
              </w:rPr>
              <w:t>4</w:t>
            </w:r>
            <w:r w:rsidRPr="00231E79">
              <w:rPr>
                <w:rFonts w:asciiTheme="minorHAnsi" w:hAnsiTheme="minorHAnsi" w:cstheme="minorHAnsi"/>
                <w:sz w:val="18"/>
                <w:szCs w:val="18"/>
              </w:rPr>
              <w:t>00</w:t>
            </w:r>
          </w:p>
        </w:tc>
      </w:tr>
      <w:tr w:rsidR="00143BCD" w:rsidRPr="00231E79" w14:paraId="127AF31C" w14:textId="77777777" w:rsidTr="00BD295F">
        <w:trPr>
          <w:trHeight w:val="300"/>
        </w:trPr>
        <w:tc>
          <w:tcPr>
            <w:tcW w:w="1134" w:type="dxa"/>
            <w:noWrap/>
            <w:vAlign w:val="top"/>
            <w:hideMark/>
          </w:tcPr>
          <w:p w14:paraId="155DA1C9"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15</w:t>
            </w:r>
          </w:p>
        </w:tc>
        <w:tc>
          <w:tcPr>
            <w:tcW w:w="993" w:type="dxa"/>
            <w:noWrap/>
            <w:vAlign w:val="top"/>
            <w:hideMark/>
          </w:tcPr>
          <w:p w14:paraId="44144827" w14:textId="750D945E"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45</w:t>
            </w:r>
            <w:r w:rsidRPr="00231E79">
              <w:rPr>
                <w:rFonts w:asciiTheme="minorHAnsi" w:hAnsiTheme="minorHAnsi" w:cstheme="minorHAnsi"/>
                <w:sz w:val="18"/>
                <w:szCs w:val="18"/>
              </w:rPr>
              <w:t>,</w:t>
            </w:r>
            <w:r w:rsidR="0096569F">
              <w:rPr>
                <w:rFonts w:asciiTheme="minorHAnsi" w:hAnsiTheme="minorHAnsi" w:cstheme="minorHAnsi"/>
                <w:sz w:val="18"/>
                <w:szCs w:val="18"/>
              </w:rPr>
              <w:t>5</w:t>
            </w:r>
            <w:r w:rsidRPr="00231E79">
              <w:rPr>
                <w:rFonts w:asciiTheme="minorHAnsi" w:hAnsiTheme="minorHAnsi" w:cstheme="minorHAnsi"/>
                <w:sz w:val="18"/>
                <w:szCs w:val="18"/>
              </w:rPr>
              <w:t>00</w:t>
            </w:r>
          </w:p>
        </w:tc>
        <w:tc>
          <w:tcPr>
            <w:tcW w:w="992" w:type="dxa"/>
            <w:noWrap/>
            <w:vAlign w:val="top"/>
            <w:hideMark/>
          </w:tcPr>
          <w:p w14:paraId="5920D97B" w14:textId="13306078"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43</w:t>
            </w:r>
            <w:r w:rsidRPr="00231E79">
              <w:rPr>
                <w:rFonts w:asciiTheme="minorHAnsi" w:hAnsiTheme="minorHAnsi" w:cstheme="minorHAnsi"/>
                <w:sz w:val="18"/>
                <w:szCs w:val="18"/>
              </w:rPr>
              <w:t>,</w:t>
            </w:r>
            <w:r w:rsidR="0096569F">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5C44314D" w14:textId="3F56075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55</w:t>
            </w:r>
            <w:r w:rsidRPr="00231E79">
              <w:rPr>
                <w:rFonts w:asciiTheme="minorHAnsi" w:hAnsiTheme="minorHAnsi" w:cstheme="minorHAnsi"/>
                <w:sz w:val="18"/>
                <w:szCs w:val="18"/>
              </w:rPr>
              <w:t>,</w:t>
            </w:r>
            <w:r w:rsidR="0096569F">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3F244D36" w14:textId="0BCF3897"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F75159">
              <w:rPr>
                <w:rFonts w:asciiTheme="minorHAnsi" w:hAnsiTheme="minorHAnsi" w:cstheme="minorHAnsi"/>
                <w:sz w:val="18"/>
                <w:szCs w:val="18"/>
              </w:rPr>
              <w:t>5</w:t>
            </w:r>
            <w:r w:rsidRPr="00231E79">
              <w:rPr>
                <w:rFonts w:asciiTheme="minorHAnsi" w:hAnsiTheme="minorHAnsi" w:cstheme="minorHAnsi"/>
                <w:sz w:val="18"/>
                <w:szCs w:val="18"/>
              </w:rPr>
              <w:t>2,000</w:t>
            </w:r>
          </w:p>
        </w:tc>
        <w:tc>
          <w:tcPr>
            <w:tcW w:w="993" w:type="dxa"/>
            <w:noWrap/>
            <w:vAlign w:val="top"/>
            <w:hideMark/>
          </w:tcPr>
          <w:p w14:paraId="6EB2DC38" w14:textId="4BF42E10"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62</w:t>
            </w:r>
            <w:r w:rsidRPr="00231E79">
              <w:rPr>
                <w:rFonts w:asciiTheme="minorHAnsi" w:hAnsiTheme="minorHAnsi" w:cstheme="minorHAnsi"/>
                <w:sz w:val="18"/>
                <w:szCs w:val="18"/>
              </w:rPr>
              <w:t>,</w:t>
            </w:r>
            <w:r w:rsidR="00AA6C91">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5EB734BF" w14:textId="5C52F25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60</w:t>
            </w:r>
            <w:r w:rsidRPr="00231E79">
              <w:rPr>
                <w:rFonts w:asciiTheme="minorHAnsi" w:hAnsiTheme="minorHAnsi" w:cstheme="minorHAnsi"/>
                <w:sz w:val="18"/>
                <w:szCs w:val="18"/>
              </w:rPr>
              <w:t>,</w:t>
            </w:r>
            <w:r w:rsidR="00AA6C91">
              <w:rPr>
                <w:rFonts w:asciiTheme="minorHAnsi" w:hAnsiTheme="minorHAnsi" w:cstheme="minorHAnsi"/>
                <w:sz w:val="18"/>
                <w:szCs w:val="18"/>
              </w:rPr>
              <w:t>4</w:t>
            </w:r>
            <w:r w:rsidRPr="00231E79">
              <w:rPr>
                <w:rFonts w:asciiTheme="minorHAnsi" w:hAnsiTheme="minorHAnsi" w:cstheme="minorHAnsi"/>
                <w:sz w:val="18"/>
                <w:szCs w:val="18"/>
              </w:rPr>
              <w:t>00</w:t>
            </w:r>
          </w:p>
        </w:tc>
        <w:tc>
          <w:tcPr>
            <w:tcW w:w="992" w:type="dxa"/>
            <w:noWrap/>
            <w:vAlign w:val="top"/>
            <w:hideMark/>
          </w:tcPr>
          <w:p w14:paraId="356F6C83" w14:textId="4663BF96"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26</w:t>
            </w:r>
            <w:r w:rsidRPr="00231E79">
              <w:rPr>
                <w:rFonts w:asciiTheme="minorHAnsi" w:hAnsiTheme="minorHAnsi" w:cstheme="minorHAnsi"/>
                <w:sz w:val="18"/>
                <w:szCs w:val="18"/>
              </w:rPr>
              <w:t>,</w:t>
            </w:r>
            <w:r w:rsidR="00AA6C91">
              <w:rPr>
                <w:rFonts w:asciiTheme="minorHAnsi" w:hAnsiTheme="minorHAnsi" w:cstheme="minorHAnsi"/>
                <w:sz w:val="18"/>
                <w:szCs w:val="18"/>
              </w:rPr>
              <w:t>0</w:t>
            </w:r>
            <w:r w:rsidRPr="00231E79">
              <w:rPr>
                <w:rFonts w:asciiTheme="minorHAnsi" w:hAnsiTheme="minorHAnsi" w:cstheme="minorHAnsi"/>
                <w:sz w:val="18"/>
                <w:szCs w:val="18"/>
              </w:rPr>
              <w:t>00</w:t>
            </w:r>
          </w:p>
        </w:tc>
        <w:tc>
          <w:tcPr>
            <w:tcW w:w="987" w:type="dxa"/>
            <w:noWrap/>
            <w:vAlign w:val="top"/>
            <w:hideMark/>
          </w:tcPr>
          <w:p w14:paraId="0EA2B15D" w14:textId="7B9F08AF"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25</w:t>
            </w:r>
            <w:r w:rsidRPr="00231E79">
              <w:rPr>
                <w:rFonts w:asciiTheme="minorHAnsi" w:hAnsiTheme="minorHAnsi" w:cstheme="minorHAnsi"/>
                <w:sz w:val="18"/>
                <w:szCs w:val="18"/>
              </w:rPr>
              <w:t>,</w:t>
            </w:r>
            <w:r w:rsidR="002109C4">
              <w:rPr>
                <w:rFonts w:asciiTheme="minorHAnsi" w:hAnsiTheme="minorHAnsi" w:cstheme="minorHAnsi"/>
                <w:sz w:val="18"/>
                <w:szCs w:val="18"/>
              </w:rPr>
              <w:t>6</w:t>
            </w:r>
            <w:r w:rsidRPr="00231E79">
              <w:rPr>
                <w:rFonts w:asciiTheme="minorHAnsi" w:hAnsiTheme="minorHAnsi" w:cstheme="minorHAnsi"/>
                <w:sz w:val="18"/>
                <w:szCs w:val="18"/>
              </w:rPr>
              <w:t>00</w:t>
            </w:r>
          </w:p>
        </w:tc>
      </w:tr>
      <w:tr w:rsidR="00143BCD" w:rsidRPr="00231E79" w14:paraId="0186A58E" w14:textId="77777777" w:rsidTr="00BD295F">
        <w:trPr>
          <w:trHeight w:val="300"/>
        </w:trPr>
        <w:tc>
          <w:tcPr>
            <w:tcW w:w="1134" w:type="dxa"/>
            <w:noWrap/>
            <w:vAlign w:val="top"/>
            <w:hideMark/>
          </w:tcPr>
          <w:p w14:paraId="11CD471A"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20</w:t>
            </w:r>
          </w:p>
        </w:tc>
        <w:tc>
          <w:tcPr>
            <w:tcW w:w="993" w:type="dxa"/>
            <w:noWrap/>
            <w:vAlign w:val="top"/>
            <w:hideMark/>
          </w:tcPr>
          <w:p w14:paraId="0B2D6054" w14:textId="00DE4BD9"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53</w:t>
            </w:r>
            <w:r w:rsidRPr="00231E79">
              <w:rPr>
                <w:rFonts w:asciiTheme="minorHAnsi" w:hAnsiTheme="minorHAnsi" w:cstheme="minorHAnsi"/>
                <w:sz w:val="18"/>
                <w:szCs w:val="18"/>
              </w:rPr>
              <w:t>,</w:t>
            </w:r>
            <w:r w:rsidR="0096569F">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66D52C9D" w14:textId="44BF3C88"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49</w:t>
            </w:r>
            <w:r w:rsidRPr="00231E79">
              <w:rPr>
                <w:rFonts w:asciiTheme="minorHAnsi" w:hAnsiTheme="minorHAnsi" w:cstheme="minorHAnsi"/>
                <w:sz w:val="18"/>
                <w:szCs w:val="18"/>
              </w:rPr>
              <w:t>,</w:t>
            </w:r>
            <w:r w:rsidR="0096569F">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1B1D626C" w14:textId="58231F0E"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£6</w:t>
            </w:r>
            <w:r w:rsidR="0096569F">
              <w:rPr>
                <w:rFonts w:asciiTheme="minorHAnsi" w:hAnsiTheme="minorHAnsi" w:cstheme="minorHAnsi"/>
                <w:sz w:val="18"/>
                <w:szCs w:val="18"/>
              </w:rPr>
              <w:t>5</w:t>
            </w:r>
            <w:r w:rsidRPr="00231E79">
              <w:rPr>
                <w:rFonts w:asciiTheme="minorHAnsi" w:hAnsiTheme="minorHAnsi" w:cstheme="minorHAnsi"/>
                <w:sz w:val="18"/>
                <w:szCs w:val="18"/>
              </w:rPr>
              <w:t>,</w:t>
            </w:r>
            <w:r w:rsidR="0096569F">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5155857A" w14:textId="3D3D0A37"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£5</w:t>
            </w:r>
            <w:r w:rsidR="00F75159">
              <w:rPr>
                <w:rFonts w:asciiTheme="minorHAnsi" w:hAnsiTheme="minorHAnsi" w:cstheme="minorHAnsi"/>
                <w:sz w:val="18"/>
                <w:szCs w:val="18"/>
              </w:rPr>
              <w:t>9</w:t>
            </w:r>
            <w:r w:rsidRPr="00231E79">
              <w:rPr>
                <w:rFonts w:asciiTheme="minorHAnsi" w:hAnsiTheme="minorHAnsi" w:cstheme="minorHAnsi"/>
                <w:sz w:val="18"/>
                <w:szCs w:val="18"/>
              </w:rPr>
              <w:t>,</w:t>
            </w:r>
            <w:r w:rsidR="00F75159">
              <w:rPr>
                <w:rFonts w:asciiTheme="minorHAnsi" w:hAnsiTheme="minorHAnsi" w:cstheme="minorHAnsi"/>
                <w:sz w:val="18"/>
                <w:szCs w:val="18"/>
              </w:rPr>
              <w:t>4</w:t>
            </w:r>
            <w:r w:rsidRPr="00231E79">
              <w:rPr>
                <w:rFonts w:asciiTheme="minorHAnsi" w:hAnsiTheme="minorHAnsi" w:cstheme="minorHAnsi"/>
                <w:sz w:val="18"/>
                <w:szCs w:val="18"/>
              </w:rPr>
              <w:t>00</w:t>
            </w:r>
          </w:p>
        </w:tc>
        <w:tc>
          <w:tcPr>
            <w:tcW w:w="993" w:type="dxa"/>
            <w:noWrap/>
            <w:vAlign w:val="top"/>
            <w:hideMark/>
          </w:tcPr>
          <w:p w14:paraId="58EE74A8" w14:textId="56BA263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75</w:t>
            </w:r>
            <w:r w:rsidRPr="00231E79">
              <w:rPr>
                <w:rFonts w:asciiTheme="minorHAnsi" w:hAnsiTheme="minorHAnsi" w:cstheme="minorHAnsi"/>
                <w:sz w:val="18"/>
                <w:szCs w:val="18"/>
              </w:rPr>
              <w:t>,</w:t>
            </w:r>
            <w:r w:rsidR="00AA6C91">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4EFE3AFB" w14:textId="6ECE4FB9"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72</w:t>
            </w:r>
            <w:r w:rsidRPr="00231E79">
              <w:rPr>
                <w:rFonts w:asciiTheme="minorHAnsi" w:hAnsiTheme="minorHAnsi" w:cstheme="minorHAnsi"/>
                <w:sz w:val="18"/>
                <w:szCs w:val="18"/>
              </w:rPr>
              <w:t>,</w:t>
            </w:r>
            <w:r w:rsidR="00AA6C91">
              <w:rPr>
                <w:rFonts w:asciiTheme="minorHAnsi" w:hAnsiTheme="minorHAnsi" w:cstheme="minorHAnsi"/>
                <w:sz w:val="18"/>
                <w:szCs w:val="18"/>
              </w:rPr>
              <w:t>4</w:t>
            </w:r>
            <w:r w:rsidRPr="00231E79">
              <w:rPr>
                <w:rFonts w:asciiTheme="minorHAnsi" w:hAnsiTheme="minorHAnsi" w:cstheme="minorHAnsi"/>
                <w:sz w:val="18"/>
                <w:szCs w:val="18"/>
              </w:rPr>
              <w:t>00</w:t>
            </w:r>
          </w:p>
        </w:tc>
        <w:tc>
          <w:tcPr>
            <w:tcW w:w="992" w:type="dxa"/>
            <w:noWrap/>
            <w:vAlign w:val="top"/>
            <w:hideMark/>
          </w:tcPr>
          <w:p w14:paraId="0A2982E2" w14:textId="65D83F4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2</w:t>
            </w:r>
            <w:r w:rsidRPr="00231E79">
              <w:rPr>
                <w:rFonts w:asciiTheme="minorHAnsi" w:hAnsiTheme="minorHAnsi" w:cstheme="minorHAnsi"/>
                <w:sz w:val="18"/>
                <w:szCs w:val="18"/>
              </w:rPr>
              <w:t>3,</w:t>
            </w:r>
            <w:r w:rsidR="00AA6C91">
              <w:rPr>
                <w:rFonts w:asciiTheme="minorHAnsi" w:hAnsiTheme="minorHAnsi" w:cstheme="minorHAnsi"/>
                <w:sz w:val="18"/>
                <w:szCs w:val="18"/>
              </w:rPr>
              <w:t>6</w:t>
            </w:r>
            <w:r w:rsidRPr="00231E79">
              <w:rPr>
                <w:rFonts w:asciiTheme="minorHAnsi" w:hAnsiTheme="minorHAnsi" w:cstheme="minorHAnsi"/>
                <w:sz w:val="18"/>
                <w:szCs w:val="18"/>
              </w:rPr>
              <w:t>00</w:t>
            </w:r>
          </w:p>
        </w:tc>
        <w:tc>
          <w:tcPr>
            <w:tcW w:w="987" w:type="dxa"/>
            <w:noWrap/>
            <w:vAlign w:val="top"/>
            <w:hideMark/>
          </w:tcPr>
          <w:p w14:paraId="758EC774" w14:textId="615B86C0"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23</w:t>
            </w:r>
            <w:r w:rsidRPr="00231E79">
              <w:rPr>
                <w:rFonts w:asciiTheme="minorHAnsi" w:hAnsiTheme="minorHAnsi" w:cstheme="minorHAnsi"/>
                <w:sz w:val="18"/>
                <w:szCs w:val="18"/>
              </w:rPr>
              <w:t>,</w:t>
            </w:r>
            <w:r w:rsidR="002109C4">
              <w:rPr>
                <w:rFonts w:asciiTheme="minorHAnsi" w:hAnsiTheme="minorHAnsi" w:cstheme="minorHAnsi"/>
                <w:sz w:val="18"/>
                <w:szCs w:val="18"/>
              </w:rPr>
              <w:t>1</w:t>
            </w:r>
            <w:r w:rsidRPr="00231E79">
              <w:rPr>
                <w:rFonts w:asciiTheme="minorHAnsi" w:hAnsiTheme="minorHAnsi" w:cstheme="minorHAnsi"/>
                <w:sz w:val="18"/>
                <w:szCs w:val="18"/>
              </w:rPr>
              <w:t>00</w:t>
            </w:r>
          </w:p>
        </w:tc>
      </w:tr>
      <w:tr w:rsidR="00143BCD" w:rsidRPr="00231E79" w14:paraId="64BBF6E8" w14:textId="77777777" w:rsidTr="00BD295F">
        <w:trPr>
          <w:trHeight w:val="300"/>
        </w:trPr>
        <w:tc>
          <w:tcPr>
            <w:tcW w:w="1134" w:type="dxa"/>
            <w:noWrap/>
            <w:vAlign w:val="top"/>
            <w:hideMark/>
          </w:tcPr>
          <w:p w14:paraId="2589E82B"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25</w:t>
            </w:r>
          </w:p>
        </w:tc>
        <w:tc>
          <w:tcPr>
            <w:tcW w:w="993" w:type="dxa"/>
            <w:noWrap/>
            <w:vAlign w:val="top"/>
            <w:hideMark/>
          </w:tcPr>
          <w:p w14:paraId="369C7A36" w14:textId="5CEE9E7A"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61</w:t>
            </w:r>
            <w:r w:rsidRPr="00231E79">
              <w:rPr>
                <w:rFonts w:asciiTheme="minorHAnsi" w:hAnsiTheme="minorHAnsi" w:cstheme="minorHAnsi"/>
                <w:sz w:val="18"/>
                <w:szCs w:val="18"/>
              </w:rPr>
              <w:t>,</w:t>
            </w:r>
            <w:r w:rsidR="0096569F">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2C093EA0" w14:textId="7F6E034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5</w:t>
            </w:r>
            <w:r w:rsidRPr="00231E79">
              <w:rPr>
                <w:rFonts w:asciiTheme="minorHAnsi" w:hAnsiTheme="minorHAnsi" w:cstheme="minorHAnsi"/>
                <w:sz w:val="18"/>
                <w:szCs w:val="18"/>
              </w:rPr>
              <w:t>6,</w:t>
            </w:r>
            <w:r w:rsidR="0096569F">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79B4498D" w14:textId="2A94176E"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7</w:t>
            </w:r>
            <w:r w:rsidRPr="00231E79">
              <w:rPr>
                <w:rFonts w:asciiTheme="minorHAnsi" w:hAnsiTheme="minorHAnsi" w:cstheme="minorHAnsi"/>
                <w:sz w:val="18"/>
                <w:szCs w:val="18"/>
              </w:rPr>
              <w:t>6,</w:t>
            </w:r>
            <w:r w:rsidR="0096569F">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1476A6BA" w14:textId="4FC26CB4"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F75159">
              <w:rPr>
                <w:rFonts w:asciiTheme="minorHAnsi" w:hAnsiTheme="minorHAnsi" w:cstheme="minorHAnsi"/>
                <w:sz w:val="18"/>
                <w:szCs w:val="18"/>
              </w:rPr>
              <w:t>6</w:t>
            </w:r>
            <w:r w:rsidRPr="00231E79">
              <w:rPr>
                <w:rFonts w:asciiTheme="minorHAnsi" w:hAnsiTheme="minorHAnsi" w:cstheme="minorHAnsi"/>
                <w:sz w:val="18"/>
                <w:szCs w:val="18"/>
              </w:rPr>
              <w:t>7,</w:t>
            </w:r>
            <w:r w:rsidR="00F75159">
              <w:rPr>
                <w:rFonts w:asciiTheme="minorHAnsi" w:hAnsiTheme="minorHAnsi" w:cstheme="minorHAnsi"/>
                <w:sz w:val="18"/>
                <w:szCs w:val="18"/>
              </w:rPr>
              <w:t>8</w:t>
            </w:r>
            <w:r w:rsidRPr="00231E79">
              <w:rPr>
                <w:rFonts w:asciiTheme="minorHAnsi" w:hAnsiTheme="minorHAnsi" w:cstheme="minorHAnsi"/>
                <w:sz w:val="18"/>
                <w:szCs w:val="18"/>
              </w:rPr>
              <w:t>00</w:t>
            </w:r>
          </w:p>
        </w:tc>
        <w:tc>
          <w:tcPr>
            <w:tcW w:w="993" w:type="dxa"/>
            <w:noWrap/>
            <w:vAlign w:val="top"/>
            <w:hideMark/>
          </w:tcPr>
          <w:p w14:paraId="26E6F4D4" w14:textId="34AA804B"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91</w:t>
            </w:r>
            <w:r w:rsidRPr="00231E79">
              <w:rPr>
                <w:rFonts w:asciiTheme="minorHAnsi" w:hAnsiTheme="minorHAnsi" w:cstheme="minorHAnsi"/>
                <w:sz w:val="18"/>
                <w:szCs w:val="18"/>
              </w:rPr>
              <w:t>,</w:t>
            </w:r>
            <w:r w:rsidR="00AA6C91">
              <w:rPr>
                <w:rFonts w:asciiTheme="minorHAnsi" w:hAnsiTheme="minorHAnsi" w:cstheme="minorHAnsi"/>
                <w:sz w:val="18"/>
                <w:szCs w:val="18"/>
              </w:rPr>
              <w:t>1</w:t>
            </w:r>
            <w:r w:rsidRPr="00231E79">
              <w:rPr>
                <w:rFonts w:asciiTheme="minorHAnsi" w:hAnsiTheme="minorHAnsi" w:cstheme="minorHAnsi"/>
                <w:sz w:val="18"/>
                <w:szCs w:val="18"/>
              </w:rPr>
              <w:t>00</w:t>
            </w:r>
          </w:p>
        </w:tc>
        <w:tc>
          <w:tcPr>
            <w:tcW w:w="992" w:type="dxa"/>
            <w:noWrap/>
            <w:vAlign w:val="top"/>
            <w:hideMark/>
          </w:tcPr>
          <w:p w14:paraId="054B38E5" w14:textId="0B9E8D6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86</w:t>
            </w:r>
            <w:r w:rsidRPr="00231E79">
              <w:rPr>
                <w:rFonts w:asciiTheme="minorHAnsi" w:hAnsiTheme="minorHAnsi" w:cstheme="minorHAnsi"/>
                <w:sz w:val="18"/>
                <w:szCs w:val="18"/>
              </w:rPr>
              <w:t>,</w:t>
            </w:r>
            <w:r w:rsidR="00AA6C91">
              <w:rPr>
                <w:rFonts w:asciiTheme="minorHAnsi" w:hAnsiTheme="minorHAnsi" w:cstheme="minorHAnsi"/>
                <w:sz w:val="18"/>
                <w:szCs w:val="18"/>
              </w:rPr>
              <w:t>9</w:t>
            </w:r>
            <w:r w:rsidRPr="00231E79">
              <w:rPr>
                <w:rFonts w:asciiTheme="minorHAnsi" w:hAnsiTheme="minorHAnsi" w:cstheme="minorHAnsi"/>
                <w:sz w:val="18"/>
                <w:szCs w:val="18"/>
              </w:rPr>
              <w:t>00</w:t>
            </w:r>
          </w:p>
        </w:tc>
        <w:tc>
          <w:tcPr>
            <w:tcW w:w="992" w:type="dxa"/>
            <w:noWrap/>
            <w:vAlign w:val="top"/>
            <w:hideMark/>
          </w:tcPr>
          <w:p w14:paraId="31D24E6F" w14:textId="4B1C2BE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21</w:t>
            </w:r>
            <w:r w:rsidRPr="00231E79">
              <w:rPr>
                <w:rFonts w:asciiTheme="minorHAnsi" w:hAnsiTheme="minorHAnsi" w:cstheme="minorHAnsi"/>
                <w:sz w:val="18"/>
                <w:szCs w:val="18"/>
              </w:rPr>
              <w:t>,</w:t>
            </w:r>
            <w:r w:rsidR="00AA6C91">
              <w:rPr>
                <w:rFonts w:asciiTheme="minorHAnsi" w:hAnsiTheme="minorHAnsi" w:cstheme="minorHAnsi"/>
                <w:sz w:val="18"/>
                <w:szCs w:val="18"/>
              </w:rPr>
              <w:t>3</w:t>
            </w:r>
            <w:r w:rsidRPr="00231E79">
              <w:rPr>
                <w:rFonts w:asciiTheme="minorHAnsi" w:hAnsiTheme="minorHAnsi" w:cstheme="minorHAnsi"/>
                <w:sz w:val="18"/>
                <w:szCs w:val="18"/>
              </w:rPr>
              <w:t>00</w:t>
            </w:r>
          </w:p>
        </w:tc>
        <w:tc>
          <w:tcPr>
            <w:tcW w:w="987" w:type="dxa"/>
            <w:noWrap/>
            <w:vAlign w:val="top"/>
            <w:hideMark/>
          </w:tcPr>
          <w:p w14:paraId="6C17B65D" w14:textId="580D3BEC"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20</w:t>
            </w:r>
            <w:r w:rsidRPr="00231E79">
              <w:rPr>
                <w:rFonts w:asciiTheme="minorHAnsi" w:hAnsiTheme="minorHAnsi" w:cstheme="minorHAnsi"/>
                <w:sz w:val="18"/>
                <w:szCs w:val="18"/>
              </w:rPr>
              <w:t>,</w:t>
            </w:r>
            <w:r w:rsidR="002109C4">
              <w:rPr>
                <w:rFonts w:asciiTheme="minorHAnsi" w:hAnsiTheme="minorHAnsi" w:cstheme="minorHAnsi"/>
                <w:sz w:val="18"/>
                <w:szCs w:val="18"/>
              </w:rPr>
              <w:t>8</w:t>
            </w:r>
            <w:r w:rsidRPr="00231E79">
              <w:rPr>
                <w:rFonts w:asciiTheme="minorHAnsi" w:hAnsiTheme="minorHAnsi" w:cstheme="minorHAnsi"/>
                <w:sz w:val="18"/>
                <w:szCs w:val="18"/>
              </w:rPr>
              <w:t>00</w:t>
            </w:r>
          </w:p>
        </w:tc>
      </w:tr>
      <w:tr w:rsidR="00143BCD" w:rsidRPr="00231E79" w14:paraId="4D6DA558" w14:textId="77777777" w:rsidTr="00BD295F">
        <w:trPr>
          <w:trHeight w:val="300"/>
        </w:trPr>
        <w:tc>
          <w:tcPr>
            <w:tcW w:w="1134" w:type="dxa"/>
            <w:noWrap/>
            <w:vAlign w:val="top"/>
            <w:hideMark/>
          </w:tcPr>
          <w:p w14:paraId="19FC1C7E"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30</w:t>
            </w:r>
          </w:p>
        </w:tc>
        <w:tc>
          <w:tcPr>
            <w:tcW w:w="993" w:type="dxa"/>
            <w:noWrap/>
            <w:vAlign w:val="top"/>
            <w:hideMark/>
          </w:tcPr>
          <w:p w14:paraId="77DDCB10" w14:textId="4336190F"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7</w:t>
            </w:r>
            <w:r w:rsidRPr="00231E79">
              <w:rPr>
                <w:rFonts w:asciiTheme="minorHAnsi" w:hAnsiTheme="minorHAnsi" w:cstheme="minorHAnsi"/>
                <w:sz w:val="18"/>
                <w:szCs w:val="18"/>
              </w:rPr>
              <w:t>2,</w:t>
            </w:r>
            <w:r w:rsidR="0096569F">
              <w:rPr>
                <w:rFonts w:asciiTheme="minorHAnsi" w:hAnsiTheme="minorHAnsi" w:cstheme="minorHAnsi"/>
                <w:sz w:val="18"/>
                <w:szCs w:val="18"/>
              </w:rPr>
              <w:t>3</w:t>
            </w:r>
            <w:r w:rsidRPr="00231E79">
              <w:rPr>
                <w:rFonts w:asciiTheme="minorHAnsi" w:hAnsiTheme="minorHAnsi" w:cstheme="minorHAnsi"/>
                <w:sz w:val="18"/>
                <w:szCs w:val="18"/>
              </w:rPr>
              <w:t>00</w:t>
            </w:r>
          </w:p>
        </w:tc>
        <w:tc>
          <w:tcPr>
            <w:tcW w:w="992" w:type="dxa"/>
            <w:noWrap/>
            <w:vAlign w:val="top"/>
            <w:hideMark/>
          </w:tcPr>
          <w:p w14:paraId="12C414FC" w14:textId="0207A37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64</w:t>
            </w:r>
            <w:r w:rsidRPr="00231E79">
              <w:rPr>
                <w:rFonts w:asciiTheme="minorHAnsi" w:hAnsiTheme="minorHAnsi" w:cstheme="minorHAnsi"/>
                <w:sz w:val="18"/>
                <w:szCs w:val="18"/>
              </w:rPr>
              <w:t>,000</w:t>
            </w:r>
          </w:p>
        </w:tc>
        <w:tc>
          <w:tcPr>
            <w:tcW w:w="992" w:type="dxa"/>
            <w:noWrap/>
            <w:vAlign w:val="top"/>
            <w:hideMark/>
          </w:tcPr>
          <w:p w14:paraId="0765B7E1" w14:textId="6E522EDA"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89</w:t>
            </w:r>
            <w:r w:rsidRPr="00231E79">
              <w:rPr>
                <w:rFonts w:asciiTheme="minorHAnsi" w:hAnsiTheme="minorHAnsi" w:cstheme="minorHAnsi"/>
                <w:sz w:val="18"/>
                <w:szCs w:val="18"/>
              </w:rPr>
              <w:t>,</w:t>
            </w:r>
            <w:r w:rsidR="0096569F">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hideMark/>
          </w:tcPr>
          <w:p w14:paraId="644BEC48" w14:textId="2C964661"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77</w:t>
            </w:r>
            <w:r w:rsidRPr="00231E79">
              <w:rPr>
                <w:rFonts w:asciiTheme="minorHAnsi" w:hAnsiTheme="minorHAnsi" w:cstheme="minorHAnsi"/>
                <w:sz w:val="18"/>
                <w:szCs w:val="18"/>
              </w:rPr>
              <w:t>,</w:t>
            </w:r>
            <w:r w:rsidR="00AA6C91">
              <w:rPr>
                <w:rFonts w:asciiTheme="minorHAnsi" w:hAnsiTheme="minorHAnsi" w:cstheme="minorHAnsi"/>
                <w:sz w:val="18"/>
                <w:szCs w:val="18"/>
              </w:rPr>
              <w:t>4</w:t>
            </w:r>
            <w:r w:rsidRPr="00231E79">
              <w:rPr>
                <w:rFonts w:asciiTheme="minorHAnsi" w:hAnsiTheme="minorHAnsi" w:cstheme="minorHAnsi"/>
                <w:sz w:val="18"/>
                <w:szCs w:val="18"/>
              </w:rPr>
              <w:t>00</w:t>
            </w:r>
          </w:p>
        </w:tc>
        <w:tc>
          <w:tcPr>
            <w:tcW w:w="993" w:type="dxa"/>
            <w:noWrap/>
            <w:vAlign w:val="top"/>
            <w:hideMark/>
          </w:tcPr>
          <w:p w14:paraId="4FB4732D" w14:textId="3DC11551"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w:t>
            </w:r>
            <w:r w:rsidRPr="00231E79">
              <w:rPr>
                <w:rFonts w:asciiTheme="minorHAnsi" w:hAnsiTheme="minorHAnsi" w:cstheme="minorHAnsi"/>
                <w:sz w:val="18"/>
                <w:szCs w:val="18"/>
              </w:rPr>
              <w:t>1</w:t>
            </w:r>
            <w:r w:rsidR="00AA6C91">
              <w:rPr>
                <w:rFonts w:asciiTheme="minorHAnsi" w:hAnsiTheme="minorHAnsi" w:cstheme="minorHAnsi"/>
                <w:sz w:val="18"/>
                <w:szCs w:val="18"/>
              </w:rPr>
              <w:t>0</w:t>
            </w:r>
            <w:r w:rsidRPr="00231E79">
              <w:rPr>
                <w:rFonts w:asciiTheme="minorHAnsi" w:hAnsiTheme="minorHAnsi" w:cstheme="minorHAnsi"/>
                <w:sz w:val="18"/>
                <w:szCs w:val="18"/>
              </w:rPr>
              <w:t>,000</w:t>
            </w:r>
          </w:p>
        </w:tc>
        <w:tc>
          <w:tcPr>
            <w:tcW w:w="992" w:type="dxa"/>
            <w:noWrap/>
            <w:vAlign w:val="top"/>
            <w:hideMark/>
          </w:tcPr>
          <w:p w14:paraId="58B36A33" w14:textId="38690EA7"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104</w:t>
            </w:r>
            <w:r w:rsidRPr="00231E79">
              <w:rPr>
                <w:rFonts w:asciiTheme="minorHAnsi" w:hAnsiTheme="minorHAnsi" w:cstheme="minorHAnsi"/>
                <w:sz w:val="18"/>
                <w:szCs w:val="18"/>
              </w:rPr>
              <w:t>,000</w:t>
            </w:r>
          </w:p>
        </w:tc>
        <w:tc>
          <w:tcPr>
            <w:tcW w:w="992" w:type="dxa"/>
            <w:noWrap/>
            <w:vAlign w:val="top"/>
            <w:hideMark/>
          </w:tcPr>
          <w:p w14:paraId="75FE1318" w14:textId="4470C5BC"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19</w:t>
            </w:r>
            <w:r w:rsidRPr="00231E79">
              <w:rPr>
                <w:rFonts w:asciiTheme="minorHAnsi" w:hAnsiTheme="minorHAnsi" w:cstheme="minorHAnsi"/>
                <w:sz w:val="18"/>
                <w:szCs w:val="18"/>
              </w:rPr>
              <w:t>,</w:t>
            </w:r>
            <w:r w:rsidR="00AA6C91">
              <w:rPr>
                <w:rFonts w:asciiTheme="minorHAnsi" w:hAnsiTheme="minorHAnsi" w:cstheme="minorHAnsi"/>
                <w:sz w:val="18"/>
                <w:szCs w:val="18"/>
              </w:rPr>
              <w:t>3</w:t>
            </w:r>
            <w:r w:rsidRPr="00231E79">
              <w:rPr>
                <w:rFonts w:asciiTheme="minorHAnsi" w:hAnsiTheme="minorHAnsi" w:cstheme="minorHAnsi"/>
                <w:sz w:val="18"/>
                <w:szCs w:val="18"/>
              </w:rPr>
              <w:t>00</w:t>
            </w:r>
          </w:p>
        </w:tc>
        <w:tc>
          <w:tcPr>
            <w:tcW w:w="987" w:type="dxa"/>
            <w:noWrap/>
            <w:vAlign w:val="top"/>
            <w:hideMark/>
          </w:tcPr>
          <w:p w14:paraId="2F2F877D" w14:textId="3091539A"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18</w:t>
            </w:r>
            <w:r w:rsidRPr="00231E79">
              <w:rPr>
                <w:rFonts w:asciiTheme="minorHAnsi" w:hAnsiTheme="minorHAnsi" w:cstheme="minorHAnsi"/>
                <w:sz w:val="18"/>
                <w:szCs w:val="18"/>
              </w:rPr>
              <w:t>,</w:t>
            </w:r>
            <w:r w:rsidR="002109C4">
              <w:rPr>
                <w:rFonts w:asciiTheme="minorHAnsi" w:hAnsiTheme="minorHAnsi" w:cstheme="minorHAnsi"/>
                <w:sz w:val="18"/>
                <w:szCs w:val="18"/>
              </w:rPr>
              <w:t>8</w:t>
            </w:r>
            <w:r w:rsidRPr="00231E79">
              <w:rPr>
                <w:rFonts w:asciiTheme="minorHAnsi" w:hAnsiTheme="minorHAnsi" w:cstheme="minorHAnsi"/>
                <w:sz w:val="18"/>
                <w:szCs w:val="18"/>
              </w:rPr>
              <w:t>00</w:t>
            </w:r>
          </w:p>
        </w:tc>
      </w:tr>
      <w:tr w:rsidR="00143BCD" w:rsidRPr="00231E79" w14:paraId="1CE86909" w14:textId="77777777" w:rsidTr="00BD295F">
        <w:trPr>
          <w:trHeight w:val="300"/>
        </w:trPr>
        <w:tc>
          <w:tcPr>
            <w:tcW w:w="1134" w:type="dxa"/>
            <w:noWrap/>
            <w:vAlign w:val="top"/>
            <w:hideMark/>
          </w:tcPr>
          <w:p w14:paraId="026D0022" w14:textId="77777777" w:rsidR="00143BCD" w:rsidRPr="00231E79" w:rsidRDefault="00143BCD" w:rsidP="00BD295F">
            <w:pPr>
              <w:spacing w:after="0"/>
              <w:rPr>
                <w:rFonts w:asciiTheme="minorHAnsi" w:hAnsiTheme="minorHAnsi" w:cstheme="minorHAnsi"/>
                <w:b/>
                <w:color w:val="000000"/>
                <w:sz w:val="18"/>
                <w:szCs w:val="18"/>
              </w:rPr>
            </w:pPr>
            <w:r w:rsidRPr="00231E79">
              <w:rPr>
                <w:b/>
                <w:sz w:val="18"/>
                <w:szCs w:val="18"/>
              </w:rPr>
              <w:t>35</w:t>
            </w:r>
          </w:p>
        </w:tc>
        <w:tc>
          <w:tcPr>
            <w:tcW w:w="993" w:type="dxa"/>
            <w:noWrap/>
            <w:vAlign w:val="top"/>
            <w:hideMark/>
          </w:tcPr>
          <w:p w14:paraId="2AAABFB1" w14:textId="0BF26BFC"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84</w:t>
            </w:r>
            <w:r w:rsidRPr="00231E79">
              <w:rPr>
                <w:rFonts w:asciiTheme="minorHAnsi" w:hAnsiTheme="minorHAnsi" w:cstheme="minorHAnsi"/>
                <w:sz w:val="18"/>
                <w:szCs w:val="18"/>
              </w:rPr>
              <w:t>,</w:t>
            </w:r>
            <w:r w:rsidR="0096569F">
              <w:rPr>
                <w:rFonts w:asciiTheme="minorHAnsi" w:hAnsiTheme="minorHAnsi" w:cstheme="minorHAnsi"/>
                <w:sz w:val="18"/>
                <w:szCs w:val="18"/>
              </w:rPr>
              <w:t>4</w:t>
            </w:r>
            <w:r w:rsidRPr="00231E79">
              <w:rPr>
                <w:rFonts w:asciiTheme="minorHAnsi" w:hAnsiTheme="minorHAnsi" w:cstheme="minorHAnsi"/>
                <w:sz w:val="18"/>
                <w:szCs w:val="18"/>
              </w:rPr>
              <w:t>00</w:t>
            </w:r>
          </w:p>
        </w:tc>
        <w:tc>
          <w:tcPr>
            <w:tcW w:w="992" w:type="dxa"/>
            <w:noWrap/>
            <w:vAlign w:val="top"/>
            <w:hideMark/>
          </w:tcPr>
          <w:p w14:paraId="7388AAA3" w14:textId="26E8C459"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73</w:t>
            </w:r>
            <w:r w:rsidRPr="00231E79">
              <w:rPr>
                <w:rFonts w:asciiTheme="minorHAnsi" w:hAnsiTheme="minorHAnsi" w:cstheme="minorHAnsi"/>
                <w:sz w:val="18"/>
                <w:szCs w:val="18"/>
              </w:rPr>
              <w:t>,000</w:t>
            </w:r>
          </w:p>
        </w:tc>
        <w:tc>
          <w:tcPr>
            <w:tcW w:w="992" w:type="dxa"/>
            <w:noWrap/>
            <w:vAlign w:val="top"/>
            <w:hideMark/>
          </w:tcPr>
          <w:p w14:paraId="5D072F0B" w14:textId="0A1601E6"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1</w:t>
            </w:r>
            <w:r w:rsidRPr="00231E79">
              <w:rPr>
                <w:rFonts w:asciiTheme="minorHAnsi" w:hAnsiTheme="minorHAnsi" w:cstheme="minorHAnsi"/>
                <w:sz w:val="18"/>
                <w:szCs w:val="18"/>
              </w:rPr>
              <w:t>0</w:t>
            </w:r>
            <w:r w:rsidR="0096569F">
              <w:rPr>
                <w:rFonts w:asciiTheme="minorHAnsi" w:hAnsiTheme="minorHAnsi" w:cstheme="minorHAnsi"/>
                <w:sz w:val="18"/>
                <w:szCs w:val="18"/>
              </w:rPr>
              <w:t>4</w:t>
            </w:r>
            <w:r w:rsidRPr="00231E79">
              <w:rPr>
                <w:rFonts w:asciiTheme="minorHAnsi" w:hAnsiTheme="minorHAnsi" w:cstheme="minorHAnsi"/>
                <w:sz w:val="18"/>
                <w:szCs w:val="18"/>
              </w:rPr>
              <w:t>,000</w:t>
            </w:r>
          </w:p>
        </w:tc>
        <w:tc>
          <w:tcPr>
            <w:tcW w:w="992" w:type="dxa"/>
            <w:noWrap/>
            <w:vAlign w:val="top"/>
            <w:hideMark/>
          </w:tcPr>
          <w:p w14:paraId="77A48E56" w14:textId="77A76F3C"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88</w:t>
            </w:r>
            <w:r w:rsidRPr="00231E79">
              <w:rPr>
                <w:rFonts w:asciiTheme="minorHAnsi" w:hAnsiTheme="minorHAnsi" w:cstheme="minorHAnsi"/>
                <w:sz w:val="18"/>
                <w:szCs w:val="18"/>
              </w:rPr>
              <w:t>,</w:t>
            </w:r>
            <w:r w:rsidR="00AA6C91">
              <w:rPr>
                <w:rFonts w:asciiTheme="minorHAnsi" w:hAnsiTheme="minorHAnsi" w:cstheme="minorHAnsi"/>
                <w:sz w:val="18"/>
                <w:szCs w:val="18"/>
              </w:rPr>
              <w:t>4</w:t>
            </w:r>
            <w:r w:rsidRPr="00231E79">
              <w:rPr>
                <w:rFonts w:asciiTheme="minorHAnsi" w:hAnsiTheme="minorHAnsi" w:cstheme="minorHAnsi"/>
                <w:sz w:val="18"/>
                <w:szCs w:val="18"/>
              </w:rPr>
              <w:t>00</w:t>
            </w:r>
          </w:p>
        </w:tc>
        <w:tc>
          <w:tcPr>
            <w:tcW w:w="993" w:type="dxa"/>
            <w:noWrap/>
            <w:vAlign w:val="top"/>
            <w:hideMark/>
          </w:tcPr>
          <w:p w14:paraId="7EF5752C" w14:textId="252A4CD4"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w:t>
            </w:r>
            <w:r w:rsidRPr="00231E79">
              <w:rPr>
                <w:rFonts w:asciiTheme="minorHAnsi" w:hAnsiTheme="minorHAnsi" w:cstheme="minorHAnsi"/>
                <w:sz w:val="18"/>
                <w:szCs w:val="18"/>
              </w:rPr>
              <w:t>3</w:t>
            </w:r>
            <w:r w:rsidR="00AA6C91">
              <w:rPr>
                <w:rFonts w:asciiTheme="minorHAnsi" w:hAnsiTheme="minorHAnsi" w:cstheme="minorHAnsi"/>
                <w:sz w:val="18"/>
                <w:szCs w:val="18"/>
              </w:rPr>
              <w:t>3</w:t>
            </w:r>
            <w:r w:rsidRPr="00231E79">
              <w:rPr>
                <w:rFonts w:asciiTheme="minorHAnsi" w:hAnsiTheme="minorHAnsi" w:cstheme="minorHAnsi"/>
                <w:sz w:val="18"/>
                <w:szCs w:val="18"/>
              </w:rPr>
              <w:t>,000</w:t>
            </w:r>
          </w:p>
        </w:tc>
        <w:tc>
          <w:tcPr>
            <w:tcW w:w="992" w:type="dxa"/>
            <w:noWrap/>
            <w:vAlign w:val="top"/>
            <w:hideMark/>
          </w:tcPr>
          <w:p w14:paraId="299D039C" w14:textId="6F09F93E"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12</w:t>
            </w:r>
            <w:r w:rsidRPr="00231E79">
              <w:rPr>
                <w:rFonts w:asciiTheme="minorHAnsi" w:hAnsiTheme="minorHAnsi" w:cstheme="minorHAnsi"/>
                <w:sz w:val="18"/>
                <w:szCs w:val="18"/>
              </w:rPr>
              <w:t>5,000</w:t>
            </w:r>
          </w:p>
        </w:tc>
        <w:tc>
          <w:tcPr>
            <w:tcW w:w="992" w:type="dxa"/>
            <w:noWrap/>
            <w:vAlign w:val="top"/>
            <w:hideMark/>
          </w:tcPr>
          <w:p w14:paraId="07A03D6F" w14:textId="58CD53E2"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17</w:t>
            </w:r>
            <w:r w:rsidRPr="00231E79">
              <w:rPr>
                <w:rFonts w:asciiTheme="minorHAnsi" w:hAnsiTheme="minorHAnsi" w:cstheme="minorHAnsi"/>
                <w:sz w:val="18"/>
                <w:szCs w:val="18"/>
              </w:rPr>
              <w:t>,</w:t>
            </w:r>
            <w:r w:rsidR="00AA6C91">
              <w:rPr>
                <w:rFonts w:asciiTheme="minorHAnsi" w:hAnsiTheme="minorHAnsi" w:cstheme="minorHAnsi"/>
                <w:sz w:val="18"/>
                <w:szCs w:val="18"/>
              </w:rPr>
              <w:t>5</w:t>
            </w:r>
            <w:r w:rsidRPr="00231E79">
              <w:rPr>
                <w:rFonts w:asciiTheme="minorHAnsi" w:hAnsiTheme="minorHAnsi" w:cstheme="minorHAnsi"/>
                <w:sz w:val="18"/>
                <w:szCs w:val="18"/>
              </w:rPr>
              <w:t>00</w:t>
            </w:r>
          </w:p>
        </w:tc>
        <w:tc>
          <w:tcPr>
            <w:tcW w:w="987" w:type="dxa"/>
            <w:noWrap/>
            <w:vAlign w:val="top"/>
            <w:hideMark/>
          </w:tcPr>
          <w:p w14:paraId="296182EC" w14:textId="5410B494"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16</w:t>
            </w:r>
            <w:r w:rsidRPr="00231E79">
              <w:rPr>
                <w:rFonts w:asciiTheme="minorHAnsi" w:hAnsiTheme="minorHAnsi" w:cstheme="minorHAnsi"/>
                <w:sz w:val="18"/>
                <w:szCs w:val="18"/>
              </w:rPr>
              <w:t>,</w:t>
            </w:r>
            <w:r w:rsidR="002109C4">
              <w:rPr>
                <w:rFonts w:asciiTheme="minorHAnsi" w:hAnsiTheme="minorHAnsi" w:cstheme="minorHAnsi"/>
                <w:sz w:val="18"/>
                <w:szCs w:val="18"/>
              </w:rPr>
              <w:t>9</w:t>
            </w:r>
            <w:r w:rsidRPr="00231E79">
              <w:rPr>
                <w:rFonts w:asciiTheme="minorHAnsi" w:hAnsiTheme="minorHAnsi" w:cstheme="minorHAnsi"/>
                <w:sz w:val="18"/>
                <w:szCs w:val="18"/>
              </w:rPr>
              <w:t>00</w:t>
            </w:r>
          </w:p>
        </w:tc>
      </w:tr>
      <w:tr w:rsidR="00143BCD" w:rsidRPr="00231E79" w14:paraId="6B32C66D" w14:textId="77777777" w:rsidTr="00BD295F">
        <w:trPr>
          <w:trHeight w:val="300"/>
        </w:trPr>
        <w:tc>
          <w:tcPr>
            <w:tcW w:w="1134" w:type="dxa"/>
            <w:noWrap/>
            <w:vAlign w:val="top"/>
          </w:tcPr>
          <w:p w14:paraId="1B1234D2" w14:textId="77777777" w:rsidR="00143BCD" w:rsidRPr="00231E79" w:rsidRDefault="00143BCD" w:rsidP="00BD295F">
            <w:pPr>
              <w:spacing w:after="0"/>
              <w:rPr>
                <w:b/>
                <w:sz w:val="18"/>
                <w:szCs w:val="18"/>
              </w:rPr>
            </w:pPr>
            <w:r w:rsidRPr="00231E79">
              <w:rPr>
                <w:b/>
                <w:sz w:val="18"/>
                <w:szCs w:val="18"/>
              </w:rPr>
              <w:t>40</w:t>
            </w:r>
          </w:p>
        </w:tc>
        <w:tc>
          <w:tcPr>
            <w:tcW w:w="993" w:type="dxa"/>
            <w:noWrap/>
            <w:vAlign w:val="top"/>
          </w:tcPr>
          <w:p w14:paraId="248118C2" w14:textId="003E85D3"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£9</w:t>
            </w:r>
            <w:r w:rsidR="0096569F">
              <w:rPr>
                <w:rFonts w:asciiTheme="minorHAnsi" w:hAnsiTheme="minorHAnsi" w:cstheme="minorHAnsi"/>
                <w:sz w:val="18"/>
                <w:szCs w:val="18"/>
              </w:rPr>
              <w:t>8</w:t>
            </w:r>
            <w:r w:rsidRPr="00231E79">
              <w:rPr>
                <w:rFonts w:asciiTheme="minorHAnsi" w:hAnsiTheme="minorHAnsi" w:cstheme="minorHAnsi"/>
                <w:sz w:val="18"/>
                <w:szCs w:val="18"/>
              </w:rPr>
              <w:t>,</w:t>
            </w:r>
            <w:r w:rsidR="0096569F">
              <w:rPr>
                <w:rFonts w:asciiTheme="minorHAnsi" w:hAnsiTheme="minorHAnsi" w:cstheme="minorHAnsi"/>
                <w:sz w:val="18"/>
                <w:szCs w:val="18"/>
              </w:rPr>
              <w:t>6</w:t>
            </w:r>
            <w:r w:rsidRPr="00231E79">
              <w:rPr>
                <w:rFonts w:asciiTheme="minorHAnsi" w:hAnsiTheme="minorHAnsi" w:cstheme="minorHAnsi"/>
                <w:sz w:val="18"/>
                <w:szCs w:val="18"/>
              </w:rPr>
              <w:t>00</w:t>
            </w:r>
          </w:p>
        </w:tc>
        <w:tc>
          <w:tcPr>
            <w:tcW w:w="992" w:type="dxa"/>
            <w:noWrap/>
            <w:vAlign w:val="top"/>
          </w:tcPr>
          <w:p w14:paraId="079F945C" w14:textId="2557B0E1"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83</w:t>
            </w:r>
            <w:r w:rsidRPr="00231E79">
              <w:rPr>
                <w:rFonts w:asciiTheme="minorHAnsi" w:hAnsiTheme="minorHAnsi" w:cstheme="minorHAnsi"/>
                <w:sz w:val="18"/>
                <w:szCs w:val="18"/>
              </w:rPr>
              <w:t>,</w:t>
            </w:r>
            <w:r w:rsidR="0096569F">
              <w:rPr>
                <w:rFonts w:asciiTheme="minorHAnsi" w:hAnsiTheme="minorHAnsi" w:cstheme="minorHAnsi"/>
                <w:sz w:val="18"/>
                <w:szCs w:val="18"/>
              </w:rPr>
              <w:t>2</w:t>
            </w:r>
            <w:r w:rsidRPr="00231E79">
              <w:rPr>
                <w:rFonts w:asciiTheme="minorHAnsi" w:hAnsiTheme="minorHAnsi" w:cstheme="minorHAnsi"/>
                <w:sz w:val="18"/>
                <w:szCs w:val="18"/>
              </w:rPr>
              <w:t>00</w:t>
            </w:r>
          </w:p>
        </w:tc>
        <w:tc>
          <w:tcPr>
            <w:tcW w:w="992" w:type="dxa"/>
            <w:noWrap/>
            <w:vAlign w:val="top"/>
          </w:tcPr>
          <w:p w14:paraId="100B44A6" w14:textId="4D72930F"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96569F">
              <w:rPr>
                <w:rFonts w:asciiTheme="minorHAnsi" w:hAnsiTheme="minorHAnsi" w:cstheme="minorHAnsi"/>
                <w:sz w:val="18"/>
                <w:szCs w:val="18"/>
              </w:rPr>
              <w:t>122</w:t>
            </w:r>
            <w:r w:rsidRPr="00231E79">
              <w:rPr>
                <w:rFonts w:asciiTheme="minorHAnsi" w:hAnsiTheme="minorHAnsi" w:cstheme="minorHAnsi"/>
                <w:sz w:val="18"/>
                <w:szCs w:val="18"/>
              </w:rPr>
              <w:t>,000</w:t>
            </w:r>
          </w:p>
        </w:tc>
        <w:tc>
          <w:tcPr>
            <w:tcW w:w="992" w:type="dxa"/>
            <w:noWrap/>
            <w:vAlign w:val="top"/>
          </w:tcPr>
          <w:p w14:paraId="1B5542C3" w14:textId="45236E18"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100</w:t>
            </w:r>
            <w:r w:rsidRPr="00231E79">
              <w:rPr>
                <w:rFonts w:asciiTheme="minorHAnsi" w:hAnsiTheme="minorHAnsi" w:cstheme="minorHAnsi"/>
                <w:sz w:val="18"/>
                <w:szCs w:val="18"/>
              </w:rPr>
              <w:t>,000</w:t>
            </w:r>
          </w:p>
        </w:tc>
        <w:tc>
          <w:tcPr>
            <w:tcW w:w="993" w:type="dxa"/>
            <w:noWrap/>
            <w:vAlign w:val="top"/>
          </w:tcPr>
          <w:p w14:paraId="30EEFDFF" w14:textId="669E845D"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w:t>
            </w:r>
            <w:r w:rsidRPr="00231E79">
              <w:rPr>
                <w:rFonts w:asciiTheme="minorHAnsi" w:hAnsiTheme="minorHAnsi" w:cstheme="minorHAnsi"/>
                <w:sz w:val="18"/>
                <w:szCs w:val="18"/>
              </w:rPr>
              <w:t>6</w:t>
            </w:r>
            <w:r w:rsidR="00AA6C91">
              <w:rPr>
                <w:rFonts w:asciiTheme="minorHAnsi" w:hAnsiTheme="minorHAnsi" w:cstheme="minorHAnsi"/>
                <w:sz w:val="18"/>
                <w:szCs w:val="18"/>
              </w:rPr>
              <w:t>1</w:t>
            </w:r>
            <w:r w:rsidRPr="00231E79">
              <w:rPr>
                <w:rFonts w:asciiTheme="minorHAnsi" w:hAnsiTheme="minorHAnsi" w:cstheme="minorHAnsi"/>
                <w:sz w:val="18"/>
                <w:szCs w:val="18"/>
              </w:rPr>
              <w:t>,000</w:t>
            </w:r>
          </w:p>
        </w:tc>
        <w:tc>
          <w:tcPr>
            <w:tcW w:w="992" w:type="dxa"/>
            <w:noWrap/>
            <w:vAlign w:val="top"/>
          </w:tcPr>
          <w:p w14:paraId="5B92DA3B" w14:textId="6C2BB706"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150</w:t>
            </w:r>
            <w:r w:rsidRPr="00231E79">
              <w:rPr>
                <w:rFonts w:asciiTheme="minorHAnsi" w:hAnsiTheme="minorHAnsi" w:cstheme="minorHAnsi"/>
                <w:sz w:val="18"/>
                <w:szCs w:val="18"/>
              </w:rPr>
              <w:t>,000</w:t>
            </w:r>
          </w:p>
        </w:tc>
        <w:tc>
          <w:tcPr>
            <w:tcW w:w="992" w:type="dxa"/>
            <w:noWrap/>
            <w:vAlign w:val="top"/>
          </w:tcPr>
          <w:p w14:paraId="2BCAE4EC" w14:textId="2DA0793B"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AA6C91">
              <w:rPr>
                <w:rFonts w:asciiTheme="minorHAnsi" w:hAnsiTheme="minorHAnsi" w:cstheme="minorHAnsi"/>
                <w:sz w:val="18"/>
                <w:szCs w:val="18"/>
              </w:rPr>
              <w:t>15</w:t>
            </w:r>
            <w:r w:rsidRPr="00231E79">
              <w:rPr>
                <w:rFonts w:asciiTheme="minorHAnsi" w:hAnsiTheme="minorHAnsi" w:cstheme="minorHAnsi"/>
                <w:sz w:val="18"/>
                <w:szCs w:val="18"/>
              </w:rPr>
              <w:t>,</w:t>
            </w:r>
            <w:r w:rsidR="00AA6C91">
              <w:rPr>
                <w:rFonts w:asciiTheme="minorHAnsi" w:hAnsiTheme="minorHAnsi" w:cstheme="minorHAnsi"/>
                <w:sz w:val="18"/>
                <w:szCs w:val="18"/>
              </w:rPr>
              <w:t>9</w:t>
            </w:r>
            <w:r w:rsidRPr="00231E79">
              <w:rPr>
                <w:rFonts w:asciiTheme="minorHAnsi" w:hAnsiTheme="minorHAnsi" w:cstheme="minorHAnsi"/>
                <w:sz w:val="18"/>
                <w:szCs w:val="18"/>
              </w:rPr>
              <w:t>00</w:t>
            </w:r>
          </w:p>
        </w:tc>
        <w:tc>
          <w:tcPr>
            <w:tcW w:w="987" w:type="dxa"/>
            <w:noWrap/>
            <w:vAlign w:val="top"/>
          </w:tcPr>
          <w:p w14:paraId="21BD0342" w14:textId="0B432F86" w:rsidR="00143BCD" w:rsidRPr="00231E79" w:rsidRDefault="00143BCD" w:rsidP="00BD295F">
            <w:pPr>
              <w:spacing w:after="0"/>
              <w:jc w:val="center"/>
              <w:rPr>
                <w:rFonts w:asciiTheme="minorHAnsi" w:hAnsiTheme="minorHAnsi" w:cstheme="minorHAnsi"/>
                <w:sz w:val="18"/>
                <w:szCs w:val="18"/>
              </w:rPr>
            </w:pPr>
            <w:r w:rsidRPr="00231E79">
              <w:rPr>
                <w:rFonts w:asciiTheme="minorHAnsi" w:hAnsiTheme="minorHAnsi" w:cstheme="minorHAnsi"/>
                <w:sz w:val="18"/>
                <w:szCs w:val="18"/>
              </w:rPr>
              <w:t>£</w:t>
            </w:r>
            <w:r w:rsidR="002109C4">
              <w:rPr>
                <w:rFonts w:asciiTheme="minorHAnsi" w:hAnsiTheme="minorHAnsi" w:cstheme="minorHAnsi"/>
                <w:sz w:val="18"/>
                <w:szCs w:val="18"/>
              </w:rPr>
              <w:t>15</w:t>
            </w:r>
            <w:r w:rsidRPr="00231E79">
              <w:rPr>
                <w:rFonts w:asciiTheme="minorHAnsi" w:hAnsiTheme="minorHAnsi" w:cstheme="minorHAnsi"/>
                <w:sz w:val="18"/>
                <w:szCs w:val="18"/>
              </w:rPr>
              <w:t>,</w:t>
            </w:r>
            <w:r w:rsidR="002109C4">
              <w:rPr>
                <w:rFonts w:asciiTheme="minorHAnsi" w:hAnsiTheme="minorHAnsi" w:cstheme="minorHAnsi"/>
                <w:sz w:val="18"/>
                <w:szCs w:val="18"/>
              </w:rPr>
              <w:t>2</w:t>
            </w:r>
            <w:r w:rsidRPr="00231E79">
              <w:rPr>
                <w:rFonts w:asciiTheme="minorHAnsi" w:hAnsiTheme="minorHAnsi" w:cstheme="minorHAnsi"/>
                <w:sz w:val="18"/>
                <w:szCs w:val="18"/>
              </w:rPr>
              <w:t>00</w:t>
            </w:r>
          </w:p>
        </w:tc>
      </w:tr>
    </w:tbl>
    <w:p w14:paraId="0C6C509C" w14:textId="77777777" w:rsidR="00143BCD" w:rsidRDefault="00143BCD" w:rsidP="00C63D1E"/>
    <w:p w14:paraId="6AA366B0" w14:textId="31817066" w:rsidR="00C63D1E" w:rsidRPr="00143BCD" w:rsidRDefault="00C63D1E" w:rsidP="00C63D1E">
      <w:pPr>
        <w:spacing w:after="0"/>
        <w:rPr>
          <w:b/>
          <w:sz w:val="18"/>
        </w:rPr>
      </w:pPr>
      <w:r w:rsidRPr="00143BCD">
        <w:rPr>
          <w:b/>
          <w:sz w:val="18"/>
        </w:rPr>
        <w:t>Notes</w:t>
      </w:r>
      <w:r w:rsidRPr="00143BCD">
        <w:rPr>
          <w:b/>
          <w:sz w:val="18"/>
        </w:rPr>
        <w:tab/>
      </w:r>
      <w:r w:rsidRPr="00143BCD">
        <w:rPr>
          <w:b/>
          <w:sz w:val="18"/>
        </w:rPr>
        <w:tab/>
      </w:r>
      <w:r w:rsidRPr="00143BCD">
        <w:rPr>
          <w:b/>
          <w:sz w:val="18"/>
        </w:rPr>
        <w:tab/>
      </w:r>
      <w:r w:rsidRPr="00143BCD">
        <w:rPr>
          <w:b/>
          <w:sz w:val="18"/>
        </w:rPr>
        <w:tab/>
      </w:r>
      <w:r w:rsidRPr="00143BCD">
        <w:rPr>
          <w:b/>
          <w:sz w:val="18"/>
        </w:rPr>
        <w:tab/>
      </w:r>
    </w:p>
    <w:p w14:paraId="19A75D95" w14:textId="77777777" w:rsidR="00C63D1E" w:rsidRPr="00143BCD" w:rsidRDefault="00C63D1E" w:rsidP="00C63D1E">
      <w:pPr>
        <w:spacing w:after="0"/>
        <w:ind w:left="567" w:hanging="567"/>
        <w:rPr>
          <w:sz w:val="18"/>
        </w:rPr>
      </w:pPr>
      <w:r w:rsidRPr="00143BCD">
        <w:rPr>
          <w:sz w:val="18"/>
        </w:rPr>
        <w:t>1.          Projected pension fund values are shown in today’s terms and do not need to be reduced further for the effect of future inflation.</w:t>
      </w:r>
      <w:r w:rsidRPr="00143BCD">
        <w:rPr>
          <w:sz w:val="18"/>
        </w:rPr>
        <w:tab/>
      </w:r>
    </w:p>
    <w:p w14:paraId="44BDE955" w14:textId="16FF7144" w:rsidR="00C63D1E" w:rsidRPr="00143BCD" w:rsidRDefault="00C63D1E" w:rsidP="00C63D1E">
      <w:pPr>
        <w:spacing w:after="0"/>
        <w:ind w:left="567" w:hanging="567"/>
        <w:rPr>
          <w:sz w:val="18"/>
        </w:rPr>
      </w:pPr>
      <w:r w:rsidRPr="00143BCD">
        <w:rPr>
          <w:sz w:val="18"/>
        </w:rPr>
        <w:t>2.          The starting pension fund value is assumed to be £</w:t>
      </w:r>
      <w:r w:rsidR="00143BCD" w:rsidRPr="00143BCD">
        <w:rPr>
          <w:sz w:val="18"/>
        </w:rPr>
        <w:t>35</w:t>
      </w:r>
      <w:r w:rsidRPr="00143BCD">
        <w:rPr>
          <w:sz w:val="18"/>
        </w:rPr>
        <w:t>,000.</w:t>
      </w:r>
      <w:r w:rsidRPr="00143BCD">
        <w:rPr>
          <w:sz w:val="18"/>
        </w:rPr>
        <w:tab/>
      </w:r>
    </w:p>
    <w:p w14:paraId="44AD314E" w14:textId="77777777" w:rsidR="00C63D1E" w:rsidRPr="00143BCD" w:rsidRDefault="00C63D1E" w:rsidP="00C63D1E">
      <w:pPr>
        <w:spacing w:after="0"/>
        <w:ind w:left="567" w:hanging="567"/>
        <w:rPr>
          <w:sz w:val="18"/>
        </w:rPr>
      </w:pPr>
      <w:r w:rsidRPr="00143BCD">
        <w:rPr>
          <w:sz w:val="18"/>
        </w:rPr>
        <w:t>3.          Inflation is assumed to be 2.50% each year.</w:t>
      </w:r>
      <w:r w:rsidRPr="00143BCD">
        <w:rPr>
          <w:sz w:val="18"/>
        </w:rPr>
        <w:tab/>
      </w:r>
    </w:p>
    <w:p w14:paraId="4349457E" w14:textId="77777777" w:rsidR="00C63D1E" w:rsidRPr="00143BCD" w:rsidRDefault="00C63D1E" w:rsidP="00C63D1E">
      <w:pPr>
        <w:spacing w:after="0"/>
        <w:ind w:left="567" w:hanging="567"/>
        <w:rPr>
          <w:sz w:val="18"/>
        </w:rPr>
      </w:pPr>
      <w:r w:rsidRPr="00143BCD">
        <w:rPr>
          <w:sz w:val="18"/>
        </w:rPr>
        <w:t>4.          No further contributions are assumed.</w:t>
      </w:r>
      <w:r w:rsidRPr="00143BCD">
        <w:rPr>
          <w:sz w:val="18"/>
        </w:rPr>
        <w:tab/>
      </w:r>
    </w:p>
    <w:p w14:paraId="6CFBC98A" w14:textId="77777777" w:rsidR="00C63D1E" w:rsidRPr="00143BCD" w:rsidRDefault="00C63D1E" w:rsidP="00C63D1E">
      <w:pPr>
        <w:spacing w:after="0"/>
        <w:ind w:left="567" w:hanging="567"/>
        <w:rPr>
          <w:sz w:val="18"/>
        </w:rPr>
      </w:pPr>
      <w:r w:rsidRPr="00143BCD">
        <w:rPr>
          <w:sz w:val="18"/>
        </w:rPr>
        <w:t>5.          Values shown are estimates and are not guaranteed.</w:t>
      </w:r>
      <w:r w:rsidRPr="00143BCD">
        <w:rPr>
          <w:sz w:val="18"/>
        </w:rPr>
        <w:tab/>
      </w:r>
    </w:p>
    <w:p w14:paraId="126F9A03" w14:textId="60A8E8DC" w:rsidR="00C63D1E" w:rsidRPr="00143BCD" w:rsidRDefault="00C63D1E" w:rsidP="00C63D1E">
      <w:pPr>
        <w:spacing w:after="0"/>
        <w:ind w:left="567" w:hanging="567"/>
        <w:rPr>
          <w:sz w:val="18"/>
        </w:rPr>
      </w:pPr>
      <w:r w:rsidRPr="00143BCD">
        <w:rPr>
          <w:sz w:val="18"/>
        </w:rPr>
        <w:t>6.          The projected growth rates before charges for the fund choices are as follows:</w:t>
      </w:r>
      <w:r w:rsidRPr="00143BCD">
        <w:rPr>
          <w:sz w:val="18"/>
        </w:rPr>
        <w:tab/>
      </w:r>
    </w:p>
    <w:p w14:paraId="65750E7B" w14:textId="0CD66103" w:rsidR="00143BCD" w:rsidRPr="00143BCD" w:rsidRDefault="00143BCD" w:rsidP="00143BCD">
      <w:pPr>
        <w:spacing w:after="0"/>
        <w:ind w:left="567" w:hanging="567"/>
        <w:rPr>
          <w:sz w:val="18"/>
          <w:szCs w:val="18"/>
        </w:rPr>
      </w:pPr>
      <w:r w:rsidRPr="00143BCD">
        <w:rPr>
          <w:sz w:val="18"/>
          <w:szCs w:val="18"/>
        </w:rPr>
        <w:t xml:space="preserve">   </w:t>
      </w:r>
      <w:r w:rsidRPr="00143BCD">
        <w:rPr>
          <w:sz w:val="18"/>
          <w:szCs w:val="18"/>
        </w:rPr>
        <w:tab/>
      </w:r>
      <w:r w:rsidRPr="00143BCD">
        <w:rPr>
          <w:sz w:val="18"/>
          <w:szCs w:val="18"/>
        </w:rPr>
        <w:tab/>
        <w:t>a.         Default strategy: 1.83% to 5.19% pa. depending on how close the member is to retirement age.</w:t>
      </w:r>
      <w:r w:rsidRPr="00143BCD">
        <w:rPr>
          <w:sz w:val="18"/>
          <w:szCs w:val="18"/>
        </w:rPr>
        <w:tab/>
      </w:r>
    </w:p>
    <w:p w14:paraId="56B97DEB" w14:textId="77777777" w:rsidR="00143BCD" w:rsidRPr="00231E79" w:rsidRDefault="00143BCD" w:rsidP="00143BCD">
      <w:pPr>
        <w:spacing w:after="0"/>
        <w:ind w:left="567"/>
        <w:rPr>
          <w:sz w:val="18"/>
          <w:szCs w:val="18"/>
        </w:rPr>
      </w:pPr>
      <w:r w:rsidRPr="00143BCD">
        <w:rPr>
          <w:sz w:val="18"/>
          <w:szCs w:val="18"/>
        </w:rPr>
        <w:lastRenderedPageBreak/>
        <w:t xml:space="preserve">    b          Newton Global Balanced: 5.75% pa.</w:t>
      </w:r>
      <w:r w:rsidRPr="00231E79">
        <w:rPr>
          <w:sz w:val="18"/>
          <w:szCs w:val="18"/>
        </w:rPr>
        <w:tab/>
      </w:r>
    </w:p>
    <w:p w14:paraId="2520762A" w14:textId="77777777" w:rsidR="00143BCD" w:rsidRPr="00231E79" w:rsidRDefault="00143BCD" w:rsidP="00143BCD">
      <w:pPr>
        <w:spacing w:after="0"/>
        <w:ind w:left="567"/>
        <w:rPr>
          <w:sz w:val="18"/>
          <w:szCs w:val="18"/>
        </w:rPr>
      </w:pPr>
      <w:r w:rsidRPr="00231E79">
        <w:rPr>
          <w:sz w:val="18"/>
          <w:szCs w:val="18"/>
        </w:rPr>
        <w:t xml:space="preserve">    c.         LGIM Global Equity: 6.50% pa.</w:t>
      </w:r>
      <w:r w:rsidRPr="00231E79">
        <w:rPr>
          <w:sz w:val="18"/>
          <w:szCs w:val="18"/>
        </w:rPr>
        <w:tab/>
      </w:r>
    </w:p>
    <w:p w14:paraId="69620245" w14:textId="77777777" w:rsidR="00143BCD" w:rsidRPr="00B724D0" w:rsidRDefault="00143BCD" w:rsidP="00143BCD">
      <w:pPr>
        <w:rPr>
          <w:sz w:val="18"/>
          <w:szCs w:val="18"/>
        </w:rPr>
      </w:pPr>
      <w:r w:rsidRPr="00231E79">
        <w:rPr>
          <w:sz w:val="18"/>
          <w:szCs w:val="18"/>
        </w:rPr>
        <w:t xml:space="preserve"> </w:t>
      </w:r>
      <w:r w:rsidRPr="00231E79">
        <w:rPr>
          <w:sz w:val="18"/>
          <w:szCs w:val="18"/>
        </w:rPr>
        <w:tab/>
        <w:t>d.         LGIM Cash: 0.50% pa.</w:t>
      </w:r>
    </w:p>
    <w:p w14:paraId="6299455E" w14:textId="602DFA34" w:rsidR="00C400EE" w:rsidRPr="00C878B3" w:rsidRDefault="00AF0EBC" w:rsidP="00AF0EBC">
      <w:pPr>
        <w:pStyle w:val="Heading3"/>
      </w:pPr>
      <w:r>
        <w:t>V</w:t>
      </w:r>
      <w:r w:rsidR="00C400EE" w:rsidRPr="00C878B3">
        <w:t xml:space="preserve">alue </w:t>
      </w:r>
      <w:r>
        <w:t>for members assessment</w:t>
      </w:r>
    </w:p>
    <w:p w14:paraId="2D0704F6" w14:textId="7B0B101E" w:rsidR="00C400EE"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The Trustees are required to undertake a </w:t>
      </w:r>
      <w:r w:rsidR="00ED180A">
        <w:rPr>
          <w:rFonts w:asciiTheme="minorHAnsi" w:hAnsiTheme="minorHAnsi" w:cstheme="minorHAnsi"/>
          <w:color w:val="auto"/>
          <w:sz w:val="22"/>
          <w:szCs w:val="22"/>
        </w:rPr>
        <w:t>‘v</w:t>
      </w:r>
      <w:r w:rsidRPr="00C878B3">
        <w:rPr>
          <w:rFonts w:asciiTheme="minorHAnsi" w:hAnsiTheme="minorHAnsi" w:cstheme="minorHAnsi"/>
          <w:color w:val="auto"/>
          <w:sz w:val="22"/>
          <w:szCs w:val="22"/>
        </w:rPr>
        <w:t xml:space="preserve">alue for </w:t>
      </w:r>
      <w:r w:rsidR="00ED180A">
        <w:rPr>
          <w:rFonts w:asciiTheme="minorHAnsi" w:hAnsiTheme="minorHAnsi" w:cstheme="minorHAnsi"/>
          <w:color w:val="auto"/>
          <w:sz w:val="22"/>
          <w:szCs w:val="22"/>
        </w:rPr>
        <w:t xml:space="preserve">members’ </w:t>
      </w:r>
      <w:r w:rsidRPr="00C878B3">
        <w:rPr>
          <w:rFonts w:asciiTheme="minorHAnsi" w:hAnsiTheme="minorHAnsi" w:cstheme="minorHAnsi"/>
          <w:color w:val="auto"/>
          <w:sz w:val="22"/>
          <w:szCs w:val="22"/>
        </w:rPr>
        <w:t xml:space="preserve">assessment for the Scheme. </w:t>
      </w:r>
    </w:p>
    <w:p w14:paraId="7276444F" w14:textId="77777777" w:rsidR="006E11B2" w:rsidRPr="00C878B3" w:rsidRDefault="006E11B2" w:rsidP="00C400EE">
      <w:pPr>
        <w:pStyle w:val="Default"/>
        <w:rPr>
          <w:rFonts w:asciiTheme="minorHAnsi" w:hAnsiTheme="minorHAnsi" w:cstheme="minorHAnsi"/>
          <w:color w:val="auto"/>
          <w:sz w:val="22"/>
          <w:szCs w:val="22"/>
        </w:rPr>
      </w:pPr>
    </w:p>
    <w:p w14:paraId="015614BB" w14:textId="06940F35" w:rsidR="00C400EE" w:rsidRPr="00C878B3"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For </w:t>
      </w:r>
      <w:r w:rsidR="006E11B2">
        <w:rPr>
          <w:rFonts w:asciiTheme="minorHAnsi" w:hAnsiTheme="minorHAnsi" w:cstheme="minorHAnsi"/>
          <w:color w:val="auto"/>
          <w:sz w:val="22"/>
          <w:szCs w:val="22"/>
        </w:rPr>
        <w:t xml:space="preserve">the Scheme </w:t>
      </w:r>
      <w:r w:rsidRPr="00C878B3">
        <w:rPr>
          <w:rFonts w:asciiTheme="minorHAnsi" w:hAnsiTheme="minorHAnsi" w:cstheme="minorHAnsi"/>
          <w:color w:val="auto"/>
          <w:sz w:val="22"/>
          <w:szCs w:val="22"/>
        </w:rPr>
        <w:t>to offer good value for m</w:t>
      </w:r>
      <w:r w:rsidR="006E11B2">
        <w:rPr>
          <w:rFonts w:asciiTheme="minorHAnsi" w:hAnsiTheme="minorHAnsi" w:cstheme="minorHAnsi"/>
          <w:color w:val="auto"/>
          <w:sz w:val="22"/>
          <w:szCs w:val="22"/>
        </w:rPr>
        <w:t>embers</w:t>
      </w:r>
      <w:r w:rsidRPr="00C878B3">
        <w:rPr>
          <w:rFonts w:asciiTheme="minorHAnsi" w:hAnsiTheme="minorHAnsi" w:cstheme="minorHAnsi"/>
          <w:color w:val="auto"/>
          <w:sz w:val="22"/>
          <w:szCs w:val="22"/>
        </w:rPr>
        <w:t>, the Trustees expect to see certain qualities that are in line with the costs being charged. In particular, the Trustees consider the</w:t>
      </w:r>
      <w:r w:rsidR="006E11B2">
        <w:rPr>
          <w:rFonts w:asciiTheme="minorHAnsi" w:hAnsiTheme="minorHAnsi" w:cstheme="minorHAnsi"/>
          <w:color w:val="auto"/>
          <w:sz w:val="22"/>
          <w:szCs w:val="22"/>
        </w:rPr>
        <w:t xml:space="preserve">se costs against the </w:t>
      </w:r>
      <w:r w:rsidRPr="00C878B3">
        <w:rPr>
          <w:rFonts w:asciiTheme="minorHAnsi" w:hAnsiTheme="minorHAnsi" w:cstheme="minorHAnsi"/>
          <w:color w:val="auto"/>
          <w:sz w:val="22"/>
          <w:szCs w:val="22"/>
        </w:rPr>
        <w:t>level and quality of</w:t>
      </w:r>
      <w:r w:rsidR="006E11B2">
        <w:rPr>
          <w:rFonts w:asciiTheme="minorHAnsi" w:hAnsiTheme="minorHAnsi" w:cstheme="minorHAnsi"/>
          <w:color w:val="auto"/>
          <w:sz w:val="22"/>
          <w:szCs w:val="22"/>
        </w:rPr>
        <w:t>:</w:t>
      </w:r>
      <w:r w:rsidRPr="00C878B3">
        <w:rPr>
          <w:rFonts w:asciiTheme="minorHAnsi" w:hAnsiTheme="minorHAnsi" w:cstheme="minorHAnsi"/>
          <w:color w:val="auto"/>
          <w:sz w:val="22"/>
          <w:szCs w:val="22"/>
        </w:rPr>
        <w:t xml:space="preserve"> </w:t>
      </w:r>
    </w:p>
    <w:p w14:paraId="5E6608B9" w14:textId="2C2F9C73" w:rsidR="00C400EE" w:rsidRPr="00C878B3" w:rsidRDefault="00C400EE" w:rsidP="006E11B2">
      <w:pPr>
        <w:pStyle w:val="Default"/>
        <w:numPr>
          <w:ilvl w:val="0"/>
          <w:numId w:val="41"/>
        </w:numPr>
        <w:spacing w:after="24"/>
        <w:ind w:left="426" w:hanging="426"/>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benefits </w:t>
      </w:r>
      <w:proofErr w:type="gramStart"/>
      <w:r w:rsidR="006E11B2">
        <w:rPr>
          <w:rFonts w:asciiTheme="minorHAnsi" w:hAnsiTheme="minorHAnsi" w:cstheme="minorHAnsi"/>
          <w:color w:val="auto"/>
          <w:sz w:val="22"/>
          <w:szCs w:val="22"/>
        </w:rPr>
        <w:t>that members</w:t>
      </w:r>
      <w:proofErr w:type="gramEnd"/>
      <w:r w:rsidR="006E11B2">
        <w:rPr>
          <w:rFonts w:asciiTheme="minorHAnsi" w:hAnsiTheme="minorHAnsi" w:cstheme="minorHAnsi"/>
          <w:color w:val="auto"/>
          <w:sz w:val="22"/>
          <w:szCs w:val="22"/>
        </w:rPr>
        <w:t xml:space="preserve"> </w:t>
      </w:r>
      <w:r w:rsidRPr="00C878B3">
        <w:rPr>
          <w:rFonts w:asciiTheme="minorHAnsi" w:hAnsiTheme="minorHAnsi" w:cstheme="minorHAnsi"/>
          <w:color w:val="auto"/>
          <w:sz w:val="22"/>
          <w:szCs w:val="22"/>
        </w:rPr>
        <w:t xml:space="preserve">receive </w:t>
      </w:r>
    </w:p>
    <w:p w14:paraId="0B69834B" w14:textId="0D07E803" w:rsidR="00C400EE" w:rsidRPr="00C878B3" w:rsidRDefault="00C400EE" w:rsidP="006E11B2">
      <w:pPr>
        <w:pStyle w:val="Default"/>
        <w:numPr>
          <w:ilvl w:val="0"/>
          <w:numId w:val="41"/>
        </w:numPr>
        <w:spacing w:after="24"/>
        <w:ind w:left="426" w:hanging="426"/>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communications </w:t>
      </w:r>
      <w:r w:rsidR="006E11B2">
        <w:rPr>
          <w:rFonts w:asciiTheme="minorHAnsi" w:hAnsiTheme="minorHAnsi" w:cstheme="minorHAnsi"/>
          <w:color w:val="auto"/>
          <w:sz w:val="22"/>
          <w:szCs w:val="22"/>
        </w:rPr>
        <w:t>sent to members</w:t>
      </w:r>
    </w:p>
    <w:p w14:paraId="69DE8A44" w14:textId="0D608C11" w:rsidR="00C400EE" w:rsidRPr="00C878B3" w:rsidRDefault="00C400EE" w:rsidP="006E11B2">
      <w:pPr>
        <w:pStyle w:val="Default"/>
        <w:numPr>
          <w:ilvl w:val="0"/>
          <w:numId w:val="41"/>
        </w:numPr>
        <w:spacing w:after="24"/>
        <w:ind w:left="426" w:hanging="426"/>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investment design, </w:t>
      </w:r>
      <w:proofErr w:type="gramStart"/>
      <w:r w:rsidRPr="00C878B3">
        <w:rPr>
          <w:rFonts w:asciiTheme="minorHAnsi" w:hAnsiTheme="minorHAnsi" w:cstheme="minorHAnsi"/>
          <w:color w:val="auto"/>
          <w:sz w:val="22"/>
          <w:szCs w:val="22"/>
        </w:rPr>
        <w:t>options</w:t>
      </w:r>
      <w:proofErr w:type="gramEnd"/>
      <w:r w:rsidRPr="00C878B3">
        <w:rPr>
          <w:rFonts w:asciiTheme="minorHAnsi" w:hAnsiTheme="minorHAnsi" w:cstheme="minorHAnsi"/>
          <w:color w:val="auto"/>
          <w:sz w:val="22"/>
          <w:szCs w:val="22"/>
        </w:rPr>
        <w:t xml:space="preserve"> and implementation</w:t>
      </w:r>
    </w:p>
    <w:p w14:paraId="196B517C" w14:textId="2E3984C8" w:rsidR="00C400EE" w:rsidRPr="00C878B3" w:rsidRDefault="00C400EE" w:rsidP="006E11B2">
      <w:pPr>
        <w:pStyle w:val="Default"/>
        <w:numPr>
          <w:ilvl w:val="0"/>
          <w:numId w:val="41"/>
        </w:numPr>
        <w:spacing w:after="24"/>
        <w:ind w:left="426" w:hanging="426"/>
        <w:rPr>
          <w:rFonts w:asciiTheme="minorHAnsi" w:hAnsiTheme="minorHAnsi" w:cstheme="minorHAnsi"/>
          <w:color w:val="auto"/>
          <w:sz w:val="22"/>
          <w:szCs w:val="22"/>
        </w:rPr>
      </w:pPr>
      <w:r w:rsidRPr="00C878B3">
        <w:rPr>
          <w:rFonts w:asciiTheme="minorHAnsi" w:hAnsiTheme="minorHAnsi" w:cstheme="minorHAnsi"/>
          <w:color w:val="auto"/>
          <w:sz w:val="22"/>
          <w:szCs w:val="22"/>
        </w:rPr>
        <w:t>administration</w:t>
      </w:r>
    </w:p>
    <w:p w14:paraId="4521C269" w14:textId="4BEA27A4" w:rsidR="00C400EE" w:rsidRPr="00C878B3" w:rsidRDefault="00C400EE" w:rsidP="006E11B2">
      <w:pPr>
        <w:pStyle w:val="Default"/>
        <w:numPr>
          <w:ilvl w:val="0"/>
          <w:numId w:val="41"/>
        </w:numPr>
        <w:spacing w:after="24"/>
        <w:ind w:left="426" w:hanging="426"/>
        <w:rPr>
          <w:rFonts w:asciiTheme="minorHAnsi" w:hAnsiTheme="minorHAnsi" w:cstheme="minorHAnsi"/>
          <w:color w:val="auto"/>
          <w:sz w:val="22"/>
          <w:szCs w:val="22"/>
        </w:rPr>
      </w:pPr>
      <w:r w:rsidRPr="00C878B3">
        <w:rPr>
          <w:rFonts w:asciiTheme="minorHAnsi" w:hAnsiTheme="minorHAnsi" w:cstheme="minorHAnsi"/>
          <w:color w:val="auto"/>
          <w:sz w:val="22"/>
          <w:szCs w:val="22"/>
        </w:rPr>
        <w:t>risk management</w:t>
      </w:r>
      <w:r w:rsidR="006E11B2">
        <w:rPr>
          <w:rFonts w:asciiTheme="minorHAnsi" w:hAnsiTheme="minorHAnsi" w:cstheme="minorHAnsi"/>
          <w:color w:val="auto"/>
          <w:sz w:val="22"/>
          <w:szCs w:val="22"/>
        </w:rPr>
        <w:t>.</w:t>
      </w:r>
      <w:r w:rsidRPr="00C878B3">
        <w:rPr>
          <w:rFonts w:asciiTheme="minorHAnsi" w:hAnsiTheme="minorHAnsi" w:cstheme="minorHAnsi"/>
          <w:color w:val="auto"/>
          <w:sz w:val="22"/>
          <w:szCs w:val="22"/>
        </w:rPr>
        <w:t xml:space="preserve"> </w:t>
      </w:r>
    </w:p>
    <w:p w14:paraId="24992648" w14:textId="70FF92A5" w:rsidR="00C400EE" w:rsidRDefault="00C400EE" w:rsidP="00C400EE">
      <w:pPr>
        <w:pStyle w:val="Default"/>
        <w:rPr>
          <w:rFonts w:asciiTheme="minorHAnsi" w:hAnsiTheme="minorHAnsi" w:cstheme="minorHAnsi"/>
          <w:color w:val="auto"/>
          <w:sz w:val="22"/>
          <w:szCs w:val="22"/>
        </w:rPr>
      </w:pPr>
    </w:p>
    <w:p w14:paraId="5E4D0545" w14:textId="1CECE81E" w:rsidR="00F84456" w:rsidRPr="002848C4" w:rsidRDefault="00F84456" w:rsidP="00F84456">
      <w:pPr>
        <w:pStyle w:val="CommentText"/>
        <w:rPr>
          <w:sz w:val="22"/>
          <w:szCs w:val="22"/>
        </w:rPr>
      </w:pPr>
      <w:r w:rsidRPr="002848C4">
        <w:rPr>
          <w:sz w:val="22"/>
          <w:szCs w:val="22"/>
        </w:rPr>
        <w:t>The Trustees</w:t>
      </w:r>
      <w:r w:rsidR="00F570A7">
        <w:rPr>
          <w:sz w:val="22"/>
          <w:szCs w:val="22"/>
        </w:rPr>
        <w:t>’</w:t>
      </w:r>
      <w:r w:rsidRPr="002848C4">
        <w:rPr>
          <w:sz w:val="22"/>
          <w:szCs w:val="22"/>
        </w:rPr>
        <w:t xml:space="preserve"> assessment </w:t>
      </w:r>
      <w:r>
        <w:rPr>
          <w:sz w:val="22"/>
          <w:szCs w:val="22"/>
        </w:rPr>
        <w:t xml:space="preserve">of this measure </w:t>
      </w:r>
      <w:r w:rsidRPr="002848C4">
        <w:rPr>
          <w:sz w:val="22"/>
          <w:szCs w:val="22"/>
        </w:rPr>
        <w:t>included a review of the performance of the funds (after all charges) in the context of their investment objectives. The Trustee</w:t>
      </w:r>
      <w:r w:rsidR="00F570A7">
        <w:rPr>
          <w:sz w:val="22"/>
          <w:szCs w:val="22"/>
        </w:rPr>
        <w:t>s</w:t>
      </w:r>
      <w:r>
        <w:rPr>
          <w:sz w:val="22"/>
          <w:szCs w:val="22"/>
        </w:rPr>
        <w:t xml:space="preserve"> </w:t>
      </w:r>
      <w:r w:rsidR="00F570A7">
        <w:rPr>
          <w:sz w:val="22"/>
          <w:szCs w:val="22"/>
        </w:rPr>
        <w:t>are</w:t>
      </w:r>
      <w:r w:rsidRPr="002848C4">
        <w:rPr>
          <w:sz w:val="22"/>
          <w:szCs w:val="22"/>
        </w:rPr>
        <w:t xml:space="preserve"> of the opinion that the returns on the funds during the period covered by this statement have been consistent with stated investment objectives.</w:t>
      </w:r>
    </w:p>
    <w:p w14:paraId="4BD01ED4" w14:textId="47919234" w:rsidR="00F84456" w:rsidRPr="002848C4" w:rsidRDefault="00F84456" w:rsidP="00F84456">
      <w:r w:rsidRPr="002848C4">
        <w:t>In carrying out the assessment, the Trustee</w:t>
      </w:r>
      <w:r w:rsidR="00F570A7">
        <w:t>s</w:t>
      </w:r>
      <w:r w:rsidRPr="002848C4">
        <w:t xml:space="preserve"> also considered the other benefits members receive from the </w:t>
      </w:r>
      <w:r w:rsidR="00B43AE3">
        <w:t>Scheme</w:t>
      </w:r>
      <w:r w:rsidRPr="002848C4">
        <w:t>, which include:</w:t>
      </w:r>
    </w:p>
    <w:p w14:paraId="3E037366" w14:textId="53B085D2" w:rsidR="00F84456" w:rsidRPr="002848C4" w:rsidRDefault="00F84456" w:rsidP="00F84456">
      <w:pPr>
        <w:pStyle w:val="ListBullet"/>
        <w:numPr>
          <w:ilvl w:val="0"/>
          <w:numId w:val="3"/>
        </w:numPr>
      </w:pPr>
      <w:r w:rsidRPr="002848C4">
        <w:t>the oversight and governance of the Trustee</w:t>
      </w:r>
      <w:r w:rsidR="00F570A7">
        <w:t>s</w:t>
      </w:r>
      <w:r w:rsidRPr="002848C4">
        <w:t xml:space="preserve">, including ensuring the </w:t>
      </w:r>
      <w:r>
        <w:t xml:space="preserve">Fund </w:t>
      </w:r>
      <w:r w:rsidRPr="002848C4">
        <w:t>compli</w:t>
      </w:r>
      <w:r>
        <w:t>es</w:t>
      </w:r>
      <w:r w:rsidRPr="002848C4">
        <w:t xml:space="preserve"> with relevant legislation</w:t>
      </w:r>
      <w:r>
        <w:t>, h</w:t>
      </w:r>
      <w:r w:rsidRPr="002848C4">
        <w:t xml:space="preserve">olding regular meetings to monitor the </w:t>
      </w:r>
      <w:r>
        <w:t>Fund</w:t>
      </w:r>
      <w:r w:rsidRPr="002848C4">
        <w:t xml:space="preserve"> and address</w:t>
      </w:r>
      <w:r>
        <w:t>ing</w:t>
      </w:r>
      <w:r w:rsidRPr="002848C4">
        <w:t xml:space="preserve"> any material</w:t>
      </w:r>
      <w:r>
        <w:t xml:space="preserve"> issues that may impact members </w:t>
      </w:r>
      <w:r w:rsidRPr="002848C4">
        <w:t>the range of in</w:t>
      </w:r>
      <w:r>
        <w:t>vestment options and strategies.</w:t>
      </w:r>
    </w:p>
    <w:p w14:paraId="256EF18A" w14:textId="765C8D72" w:rsidR="00F84456" w:rsidRPr="002848C4" w:rsidRDefault="00F84456" w:rsidP="00F84456">
      <w:pPr>
        <w:pStyle w:val="ListBullet"/>
        <w:numPr>
          <w:ilvl w:val="0"/>
          <w:numId w:val="3"/>
        </w:numPr>
      </w:pPr>
      <w:r w:rsidRPr="002848C4">
        <w:t>the quality of comm</w:t>
      </w:r>
      <w:r>
        <w:t>unications delivered to members.</w:t>
      </w:r>
    </w:p>
    <w:p w14:paraId="2C34FAAC" w14:textId="77777777" w:rsidR="00F84456" w:rsidRPr="002848C4" w:rsidRDefault="00F84456" w:rsidP="00F84456">
      <w:pPr>
        <w:pStyle w:val="ListBullet"/>
        <w:numPr>
          <w:ilvl w:val="0"/>
          <w:numId w:val="3"/>
        </w:numPr>
      </w:pPr>
      <w:r w:rsidRPr="002848C4">
        <w:t>the efficiency of administration processes and the extent to which the administrator met or exceeded its service level standards</w:t>
      </w:r>
      <w:r>
        <w:t xml:space="preserve">. </w:t>
      </w:r>
    </w:p>
    <w:p w14:paraId="2EC02667" w14:textId="712FDC20" w:rsidR="00F84456" w:rsidRDefault="00F84456" w:rsidP="00F84456">
      <w:pPr>
        <w:pStyle w:val="CommentText"/>
        <w:rPr>
          <w:sz w:val="22"/>
          <w:szCs w:val="22"/>
        </w:rPr>
      </w:pPr>
      <w:r w:rsidRPr="002848C4">
        <w:rPr>
          <w:sz w:val="22"/>
          <w:szCs w:val="22"/>
        </w:rPr>
        <w:t>The Trustee</w:t>
      </w:r>
      <w:r>
        <w:rPr>
          <w:sz w:val="22"/>
          <w:szCs w:val="22"/>
        </w:rPr>
        <w:t xml:space="preserve">s </w:t>
      </w:r>
      <w:r w:rsidR="00F570A7">
        <w:rPr>
          <w:sz w:val="22"/>
          <w:szCs w:val="22"/>
        </w:rPr>
        <w:t xml:space="preserve">have </w:t>
      </w:r>
      <w:r>
        <w:rPr>
          <w:sz w:val="22"/>
          <w:szCs w:val="22"/>
        </w:rPr>
        <w:t xml:space="preserve">concluded </w:t>
      </w:r>
      <w:r w:rsidRPr="002848C4">
        <w:rPr>
          <w:sz w:val="22"/>
          <w:szCs w:val="22"/>
        </w:rPr>
        <w:t xml:space="preserve">that the </w:t>
      </w:r>
      <w:r>
        <w:rPr>
          <w:sz w:val="22"/>
          <w:szCs w:val="22"/>
        </w:rPr>
        <w:t xml:space="preserve">costs and </w:t>
      </w:r>
      <w:r w:rsidRPr="002848C4">
        <w:rPr>
          <w:sz w:val="22"/>
          <w:szCs w:val="22"/>
        </w:rPr>
        <w:t>c</w:t>
      </w:r>
      <w:r>
        <w:rPr>
          <w:sz w:val="22"/>
          <w:szCs w:val="22"/>
        </w:rPr>
        <w:t>harges</w:t>
      </w:r>
      <w:r w:rsidRPr="002848C4">
        <w:rPr>
          <w:sz w:val="22"/>
          <w:szCs w:val="22"/>
        </w:rPr>
        <w:t xml:space="preserve"> provide value for members</w:t>
      </w:r>
      <w:r>
        <w:rPr>
          <w:sz w:val="22"/>
          <w:szCs w:val="22"/>
        </w:rPr>
        <w:t xml:space="preserve">.  Whilst the Trustees concluded that the </w:t>
      </w:r>
      <w:r w:rsidRPr="002848C4">
        <w:rPr>
          <w:sz w:val="22"/>
          <w:szCs w:val="22"/>
        </w:rPr>
        <w:t xml:space="preserve">quality and efficiency of the </w:t>
      </w:r>
      <w:r w:rsidR="00F570A7">
        <w:rPr>
          <w:sz w:val="22"/>
          <w:szCs w:val="22"/>
        </w:rPr>
        <w:t>Scheme</w:t>
      </w:r>
      <w:r w:rsidR="00F570A7" w:rsidRPr="002848C4">
        <w:rPr>
          <w:sz w:val="22"/>
          <w:szCs w:val="22"/>
        </w:rPr>
        <w:t xml:space="preserve">’s </w:t>
      </w:r>
      <w:r w:rsidRPr="002848C4">
        <w:rPr>
          <w:sz w:val="22"/>
          <w:szCs w:val="22"/>
        </w:rPr>
        <w:t>administration processes</w:t>
      </w:r>
      <w:r>
        <w:rPr>
          <w:sz w:val="22"/>
          <w:szCs w:val="22"/>
        </w:rPr>
        <w:t xml:space="preserve"> have been satisfactory</w:t>
      </w:r>
      <w:r w:rsidR="00F570A7">
        <w:rPr>
          <w:sz w:val="22"/>
          <w:szCs w:val="22"/>
        </w:rPr>
        <w:t xml:space="preserve"> during the year</w:t>
      </w:r>
      <w:r>
        <w:rPr>
          <w:sz w:val="22"/>
          <w:szCs w:val="22"/>
        </w:rPr>
        <w:t xml:space="preserve">, the Trustees </w:t>
      </w:r>
      <w:r w:rsidR="00DD01F0">
        <w:rPr>
          <w:sz w:val="22"/>
          <w:szCs w:val="22"/>
        </w:rPr>
        <w:t xml:space="preserve">decided to </w:t>
      </w:r>
      <w:r w:rsidR="00F570A7">
        <w:rPr>
          <w:sz w:val="22"/>
          <w:szCs w:val="22"/>
        </w:rPr>
        <w:t>undert</w:t>
      </w:r>
      <w:r w:rsidR="00DD01F0">
        <w:rPr>
          <w:sz w:val="22"/>
          <w:szCs w:val="22"/>
        </w:rPr>
        <w:t>ake</w:t>
      </w:r>
      <w:r w:rsidR="00F570A7">
        <w:rPr>
          <w:sz w:val="22"/>
          <w:szCs w:val="22"/>
        </w:rPr>
        <w:t xml:space="preserve"> a review of</w:t>
      </w:r>
      <w:r>
        <w:rPr>
          <w:sz w:val="22"/>
          <w:szCs w:val="22"/>
        </w:rPr>
        <w:t xml:space="preserve"> the appropriateness of its current administrator.  It has concluded that a move to Quantum Advisory would further enhance and improve the quality and robustness of the administration processes.  This move will take place during 2021.</w:t>
      </w:r>
    </w:p>
    <w:p w14:paraId="225E5A18" w14:textId="111E7342" w:rsidR="00C400EE" w:rsidRPr="00F84456" w:rsidRDefault="004C3ED1" w:rsidP="00C400EE">
      <w:pPr>
        <w:pStyle w:val="Default"/>
        <w:rPr>
          <w:rFonts w:asciiTheme="minorHAnsi" w:hAnsiTheme="minorHAnsi" w:cstheme="minorHAnsi"/>
          <w:color w:val="000000" w:themeColor="text1"/>
          <w:sz w:val="22"/>
          <w:szCs w:val="22"/>
        </w:rPr>
      </w:pPr>
      <w:r w:rsidRPr="00F84456">
        <w:rPr>
          <w:rFonts w:asciiTheme="minorHAnsi" w:hAnsiTheme="minorHAnsi" w:cstheme="minorHAnsi"/>
          <w:color w:val="000000" w:themeColor="text1"/>
          <w:sz w:val="22"/>
          <w:szCs w:val="22"/>
        </w:rPr>
        <w:t>T</w:t>
      </w:r>
      <w:r w:rsidR="00C400EE" w:rsidRPr="00F84456">
        <w:rPr>
          <w:rFonts w:asciiTheme="minorHAnsi" w:hAnsiTheme="minorHAnsi" w:cstheme="minorHAnsi"/>
          <w:color w:val="000000" w:themeColor="text1"/>
          <w:sz w:val="22"/>
          <w:szCs w:val="22"/>
        </w:rPr>
        <w:t>he Trustees</w:t>
      </w:r>
      <w:r w:rsidR="00F84456">
        <w:rPr>
          <w:rFonts w:asciiTheme="minorHAnsi" w:hAnsiTheme="minorHAnsi" w:cstheme="minorHAnsi"/>
          <w:color w:val="000000" w:themeColor="text1"/>
          <w:sz w:val="22"/>
          <w:szCs w:val="22"/>
        </w:rPr>
        <w:t xml:space="preserve"> also </w:t>
      </w:r>
      <w:r w:rsidR="00C400EE" w:rsidRPr="00F84456">
        <w:rPr>
          <w:rFonts w:asciiTheme="minorHAnsi" w:hAnsiTheme="minorHAnsi" w:cstheme="minorHAnsi"/>
          <w:color w:val="000000" w:themeColor="text1"/>
          <w:sz w:val="22"/>
          <w:szCs w:val="22"/>
        </w:rPr>
        <w:t>note that the broader administrative costs of the Scheme are met via the Final Salary section</w:t>
      </w:r>
      <w:r w:rsidRPr="00F84456">
        <w:rPr>
          <w:rFonts w:asciiTheme="minorHAnsi" w:hAnsiTheme="minorHAnsi" w:cstheme="minorHAnsi"/>
          <w:color w:val="000000" w:themeColor="text1"/>
          <w:sz w:val="22"/>
          <w:szCs w:val="22"/>
        </w:rPr>
        <w:t>,</w:t>
      </w:r>
      <w:r w:rsidR="00C400EE" w:rsidRPr="00F84456">
        <w:rPr>
          <w:rFonts w:asciiTheme="minorHAnsi" w:hAnsiTheme="minorHAnsi" w:cstheme="minorHAnsi"/>
          <w:color w:val="000000" w:themeColor="text1"/>
          <w:sz w:val="22"/>
          <w:szCs w:val="22"/>
        </w:rPr>
        <w:t xml:space="preserve"> thereby keeping the costs </w:t>
      </w:r>
      <w:r w:rsidRPr="00F84456">
        <w:rPr>
          <w:rFonts w:asciiTheme="minorHAnsi" w:hAnsiTheme="minorHAnsi" w:cstheme="minorHAnsi"/>
          <w:color w:val="000000" w:themeColor="text1"/>
          <w:sz w:val="22"/>
          <w:szCs w:val="22"/>
        </w:rPr>
        <w:t>for</w:t>
      </w:r>
      <w:r w:rsidR="00C400EE" w:rsidRPr="00F84456">
        <w:rPr>
          <w:rFonts w:asciiTheme="minorHAnsi" w:hAnsiTheme="minorHAnsi" w:cstheme="minorHAnsi"/>
          <w:color w:val="000000" w:themeColor="text1"/>
          <w:sz w:val="22"/>
          <w:szCs w:val="22"/>
        </w:rPr>
        <w:t xml:space="preserve"> the DC section at a minimum. </w:t>
      </w:r>
    </w:p>
    <w:p w14:paraId="2AA85DF8" w14:textId="77777777" w:rsidR="00C400EE" w:rsidRPr="00C878B3" w:rsidRDefault="00C400EE" w:rsidP="00353FAA">
      <w:pPr>
        <w:pStyle w:val="Heading3"/>
      </w:pPr>
      <w:r w:rsidRPr="00C878B3">
        <w:t xml:space="preserve">Knowledge and understanding of the Trustees </w:t>
      </w:r>
    </w:p>
    <w:p w14:paraId="2A3CA2C4" w14:textId="66D4571F" w:rsidR="00E73DB2"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The</w:t>
      </w:r>
      <w:r w:rsidR="00E73DB2">
        <w:rPr>
          <w:rFonts w:asciiTheme="minorHAnsi" w:hAnsiTheme="minorHAnsi" w:cstheme="minorHAnsi"/>
          <w:color w:val="auto"/>
          <w:sz w:val="22"/>
          <w:szCs w:val="22"/>
        </w:rPr>
        <w:t xml:space="preserve"> Pensions Act 2004 requires individual trustees to have appropriate knowledge and understanding of the law relating to pensions and trusts and the investment of assets. The degree of knowledge and understanding required </w:t>
      </w:r>
      <w:r w:rsidR="006C5E58">
        <w:rPr>
          <w:rFonts w:asciiTheme="minorHAnsi" w:hAnsiTheme="minorHAnsi" w:cstheme="minorHAnsi"/>
          <w:color w:val="auto"/>
          <w:sz w:val="22"/>
          <w:szCs w:val="22"/>
        </w:rPr>
        <w:t xml:space="preserve">needs to be </w:t>
      </w:r>
      <w:r w:rsidR="00E73DB2">
        <w:rPr>
          <w:rFonts w:asciiTheme="minorHAnsi" w:hAnsiTheme="minorHAnsi" w:cstheme="minorHAnsi"/>
          <w:color w:val="auto"/>
          <w:sz w:val="22"/>
          <w:szCs w:val="22"/>
        </w:rPr>
        <w:t>appropriate for the purposes of enabling the Trustees to exercise the function</w:t>
      </w:r>
      <w:r w:rsidR="006C5E58">
        <w:rPr>
          <w:rFonts w:asciiTheme="minorHAnsi" w:hAnsiTheme="minorHAnsi" w:cstheme="minorHAnsi"/>
          <w:color w:val="auto"/>
          <w:sz w:val="22"/>
          <w:szCs w:val="22"/>
        </w:rPr>
        <w:t>s</w:t>
      </w:r>
      <w:r w:rsidR="00E73DB2">
        <w:rPr>
          <w:rFonts w:asciiTheme="minorHAnsi" w:hAnsiTheme="minorHAnsi" w:cstheme="minorHAnsi"/>
          <w:color w:val="auto"/>
          <w:sz w:val="22"/>
          <w:szCs w:val="22"/>
        </w:rPr>
        <w:t xml:space="preserve"> in question.</w:t>
      </w:r>
    </w:p>
    <w:p w14:paraId="4FCCAC93" w14:textId="7A05749E" w:rsidR="006C5E58" w:rsidRDefault="006C5E58" w:rsidP="00C400EE">
      <w:pPr>
        <w:pStyle w:val="Default"/>
        <w:rPr>
          <w:rFonts w:asciiTheme="minorHAnsi" w:hAnsiTheme="minorHAnsi" w:cstheme="minorHAnsi"/>
          <w:color w:val="auto"/>
          <w:sz w:val="22"/>
          <w:szCs w:val="22"/>
        </w:rPr>
      </w:pPr>
    </w:p>
    <w:p w14:paraId="62783F51" w14:textId="541CACBD" w:rsidR="006C5E58" w:rsidRDefault="006C5E58" w:rsidP="006C5E58">
      <w:pPr>
        <w:spacing w:before="40" w:after="40"/>
      </w:pPr>
      <w:r>
        <w:t>The Trustees must:</w:t>
      </w:r>
    </w:p>
    <w:p w14:paraId="05205E4D" w14:textId="66656C5C" w:rsidR="006C5E58" w:rsidRDefault="006C5E58" w:rsidP="006C5E58">
      <w:pPr>
        <w:pStyle w:val="ListParagraph"/>
        <w:numPr>
          <w:ilvl w:val="0"/>
          <w:numId w:val="43"/>
        </w:numPr>
        <w:spacing w:before="40" w:after="40"/>
        <w:ind w:left="426" w:hanging="426"/>
      </w:pPr>
      <w:r>
        <w:lastRenderedPageBreak/>
        <w:t>be conversant with the trust deed and rules of the Scheme, the Scheme’s S</w:t>
      </w:r>
      <w:r w:rsidR="00F20FEA">
        <w:t xml:space="preserve">tatement of </w:t>
      </w:r>
      <w:r>
        <w:t>I</w:t>
      </w:r>
      <w:r w:rsidR="00F20FEA">
        <w:t xml:space="preserve">nvestment </w:t>
      </w:r>
      <w:r>
        <w:t>P</w:t>
      </w:r>
      <w:r w:rsidR="00F20FEA">
        <w:t>rinciples</w:t>
      </w:r>
      <w:r>
        <w:t xml:space="preserve"> and any other document recording policy for the time being adopted by the Trustees relating to the administration of the Scheme generally</w:t>
      </w:r>
      <w:r w:rsidR="00DD01F0">
        <w:t>.</w:t>
      </w:r>
      <w:r>
        <w:br/>
      </w:r>
    </w:p>
    <w:p w14:paraId="2676A8C8" w14:textId="048AD071" w:rsidR="006C5E58" w:rsidRDefault="006C5E58" w:rsidP="006C5E58">
      <w:pPr>
        <w:pStyle w:val="ListParagraph"/>
        <w:numPr>
          <w:ilvl w:val="0"/>
          <w:numId w:val="43"/>
        </w:numPr>
        <w:spacing w:before="40" w:after="40"/>
        <w:ind w:left="426" w:hanging="426"/>
      </w:pPr>
      <w:r>
        <w:t xml:space="preserve">have, to the degree that is appropriate for the purposes of enabling </w:t>
      </w:r>
      <w:proofErr w:type="gramStart"/>
      <w:r>
        <w:t>each individual</w:t>
      </w:r>
      <w:proofErr w:type="gramEnd"/>
      <w:r>
        <w:t xml:space="preserve"> properly to exercise his or her functions as a trustee, knowledge and understanding of the law relating to pensions and trusts and the principles relating to investment the assets of occupational pension schemes.</w:t>
      </w:r>
    </w:p>
    <w:p w14:paraId="3135BB54" w14:textId="6024C7C6" w:rsidR="006C5E58" w:rsidRDefault="006C5E58" w:rsidP="006C5E58">
      <w:r>
        <w:br/>
        <w:t>The Trustees have measures in place to comply with the legal and regulatory requirements regarding conversance and knowledge and understanding. Details of how the conversance and knowledge and understanding requirements have been met during the period covered by this statement are set out below.</w:t>
      </w:r>
    </w:p>
    <w:p w14:paraId="4CE31524" w14:textId="25E5E912" w:rsidR="006C5E58" w:rsidRDefault="006C5E58" w:rsidP="006C5E58">
      <w:pPr>
        <w:spacing w:before="40" w:after="40"/>
      </w:pPr>
      <w:r>
        <w:t xml:space="preserve">The Trustees’ relevant knowledge and understanding has been assessed during the year. Training is provided on relevant issues at meetings and areas for further training are identified. No additional training was requested by the Trustees during the year. </w:t>
      </w:r>
      <w:r>
        <w:br/>
      </w:r>
    </w:p>
    <w:p w14:paraId="3EAEEDDB" w14:textId="5CB40B69" w:rsidR="006C5E58" w:rsidRDefault="006C5E58" w:rsidP="006C5E58">
      <w:r>
        <w:t xml:space="preserve">The Trustees have a working knowledge of the Scheme’s trust deed and rules, SIP and documents setting out current policies. These items are all included on the Trustees’ compliance checklist which is reviewed and updated at every Trustees’ meeting, along with </w:t>
      </w:r>
      <w:r>
        <w:rPr>
          <w:rFonts w:asciiTheme="minorHAnsi" w:hAnsiTheme="minorHAnsi" w:cstheme="minorHAnsi"/>
          <w:szCs w:val="22"/>
        </w:rPr>
        <w:t>a briefing on legislative and regulatory developments.</w:t>
      </w:r>
      <w:r>
        <w:t xml:space="preserve"> </w:t>
      </w:r>
    </w:p>
    <w:p w14:paraId="57E7B3FD" w14:textId="4269C8C6" w:rsidR="006C5E58" w:rsidRDefault="006C5E58" w:rsidP="006C5E58">
      <w:r>
        <w:t xml:space="preserve">As a result of the training activities completed by the Trustees and </w:t>
      </w:r>
      <w:proofErr w:type="gramStart"/>
      <w:r>
        <w:t>taking into account</w:t>
      </w:r>
      <w:proofErr w:type="gramEnd"/>
      <w:r>
        <w:t xml:space="preserve"> the professional advice available to them, the Trustees are confident that their knowledge and understanding enables them to undertake their duties competently and in the best interests of the Scheme membership. Furthermore, the Trustees assess that their degree of knowledge and understanding is appropriate for the purposes of enabling the proper exercise of functions as Trustees of the Scheme.</w:t>
      </w:r>
    </w:p>
    <w:p w14:paraId="6EF0CB0C" w14:textId="1653165D" w:rsidR="006C5E58" w:rsidRDefault="006C5E58" w:rsidP="006C5E58">
      <w:r>
        <w:t>The Trustees’ advisers can provide training to the Trustees, direct the Trustees to the Pensions Regulator’s trustee toolkit and provide the Trustees with copies of the Scheme’s documentation.</w:t>
      </w:r>
    </w:p>
    <w:p w14:paraId="0960DB0D" w14:textId="77777777" w:rsidR="00E73DB2" w:rsidRDefault="00E73DB2" w:rsidP="00C400EE">
      <w:pPr>
        <w:pStyle w:val="Default"/>
        <w:rPr>
          <w:rFonts w:asciiTheme="minorHAnsi" w:hAnsiTheme="minorHAnsi" w:cstheme="minorHAnsi"/>
          <w:color w:val="auto"/>
          <w:sz w:val="22"/>
          <w:szCs w:val="22"/>
        </w:rPr>
      </w:pPr>
    </w:p>
    <w:p w14:paraId="14409A2D" w14:textId="77777777" w:rsidR="00C400EE" w:rsidRPr="00C878B3" w:rsidRDefault="00C400EE" w:rsidP="00C400EE">
      <w:pPr>
        <w:pStyle w:val="Default"/>
        <w:rPr>
          <w:rFonts w:asciiTheme="minorHAnsi" w:hAnsiTheme="minorHAnsi" w:cstheme="minorHAnsi"/>
          <w:color w:val="auto"/>
          <w:sz w:val="22"/>
          <w:szCs w:val="22"/>
        </w:rPr>
      </w:pPr>
      <w:r w:rsidRPr="00C878B3">
        <w:rPr>
          <w:rFonts w:asciiTheme="minorHAnsi" w:hAnsiTheme="minorHAnsi" w:cstheme="minorHAnsi"/>
          <w:color w:val="auto"/>
          <w:sz w:val="22"/>
          <w:szCs w:val="22"/>
        </w:rPr>
        <w:t xml:space="preserve">This statement has been prepared in accordance with Regulation 23 of the Occupational Pension Schemes (Scheme Administration) Regulations 1996. </w:t>
      </w:r>
    </w:p>
    <w:p w14:paraId="687B37F3" w14:textId="77777777" w:rsidR="00E73DB2" w:rsidRDefault="00E73DB2" w:rsidP="00C400EE">
      <w:pPr>
        <w:pStyle w:val="Default"/>
        <w:rPr>
          <w:rFonts w:asciiTheme="minorHAnsi" w:hAnsiTheme="minorHAnsi" w:cstheme="minorHAnsi"/>
          <w:color w:val="auto"/>
          <w:sz w:val="22"/>
          <w:szCs w:val="22"/>
        </w:rPr>
      </w:pPr>
    </w:p>
    <w:p w14:paraId="3A678F50" w14:textId="29CDC2E8" w:rsidR="004A6927" w:rsidRPr="008C0086" w:rsidRDefault="004A6927" w:rsidP="004A6927">
      <w:pPr>
        <w:tabs>
          <w:tab w:val="left" w:pos="720"/>
          <w:tab w:val="left" w:pos="1440"/>
          <w:tab w:val="left" w:pos="2160"/>
          <w:tab w:val="left" w:pos="2880"/>
          <w:tab w:val="left" w:pos="3600"/>
          <w:tab w:val="left" w:pos="4152"/>
          <w:tab w:val="left" w:pos="4320"/>
        </w:tabs>
        <w:spacing w:after="0"/>
        <w:rPr>
          <w:rFonts w:cs="Arial"/>
          <w:b/>
          <w:bCs/>
          <w:color w:val="005187" w:themeColor="accent1"/>
          <w:sz w:val="24"/>
          <w:szCs w:val="26"/>
        </w:rPr>
      </w:pPr>
      <w:r>
        <w:rPr>
          <w:rFonts w:cs="Arial"/>
          <w:b/>
          <w:bCs/>
          <w:color w:val="005187" w:themeColor="accent1"/>
          <w:sz w:val="24"/>
          <w:szCs w:val="26"/>
        </w:rPr>
        <w:t>Tim Dixon</w:t>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r w:rsidRPr="008C0086">
        <w:rPr>
          <w:rFonts w:cs="Arial"/>
          <w:b/>
          <w:bCs/>
          <w:color w:val="005187" w:themeColor="accent1"/>
          <w:sz w:val="24"/>
          <w:szCs w:val="26"/>
        </w:rPr>
        <w:tab/>
      </w:r>
    </w:p>
    <w:p w14:paraId="31F1B047" w14:textId="41C538AE" w:rsidR="004A6927" w:rsidRPr="008C0086" w:rsidRDefault="004A6927" w:rsidP="004A6927">
      <w:pPr>
        <w:tabs>
          <w:tab w:val="left" w:pos="720"/>
          <w:tab w:val="left" w:pos="1440"/>
          <w:tab w:val="left" w:pos="2160"/>
          <w:tab w:val="left" w:pos="2880"/>
          <w:tab w:val="left" w:pos="3600"/>
          <w:tab w:val="left" w:pos="4152"/>
          <w:tab w:val="left" w:pos="4320"/>
        </w:tabs>
        <w:spacing w:after="0"/>
        <w:rPr>
          <w:rFonts w:cs="Arial"/>
          <w:b/>
          <w:bCs/>
          <w:color w:val="005187" w:themeColor="accent1"/>
          <w:sz w:val="24"/>
          <w:szCs w:val="26"/>
        </w:rPr>
      </w:pPr>
      <w:r w:rsidRPr="008C0086">
        <w:rPr>
          <w:rFonts w:cs="Arial"/>
          <w:b/>
          <w:bCs/>
          <w:color w:val="005187" w:themeColor="accent1"/>
          <w:sz w:val="24"/>
          <w:szCs w:val="26"/>
        </w:rPr>
        <w:t>Chair of the Trustee</w:t>
      </w:r>
      <w:r>
        <w:rPr>
          <w:rFonts w:cs="Arial"/>
          <w:b/>
          <w:bCs/>
          <w:color w:val="005187" w:themeColor="accent1"/>
          <w:sz w:val="24"/>
          <w:szCs w:val="26"/>
        </w:rPr>
        <w:t>s</w:t>
      </w:r>
    </w:p>
    <w:p w14:paraId="200460D2" w14:textId="36CB22B7" w:rsidR="004A6927" w:rsidRPr="002F03EB" w:rsidRDefault="004A6927" w:rsidP="004A6927">
      <w:pPr>
        <w:spacing w:after="0"/>
        <w:rPr>
          <w:rFonts w:cs="Arial"/>
          <w:b/>
          <w:bCs/>
          <w:color w:val="005187" w:themeColor="accent1"/>
          <w:sz w:val="24"/>
          <w:szCs w:val="26"/>
        </w:rPr>
      </w:pPr>
      <w:r w:rsidRPr="002F03EB">
        <w:rPr>
          <w:rFonts w:cs="Arial"/>
          <w:b/>
          <w:bCs/>
          <w:color w:val="005187" w:themeColor="accent1"/>
          <w:sz w:val="24"/>
          <w:szCs w:val="26"/>
        </w:rPr>
        <w:t xml:space="preserve">30 </w:t>
      </w:r>
      <w:r w:rsidR="002F03EB" w:rsidRPr="002F03EB">
        <w:rPr>
          <w:rFonts w:cs="Arial"/>
          <w:b/>
          <w:bCs/>
          <w:color w:val="005187" w:themeColor="accent1"/>
          <w:sz w:val="24"/>
          <w:szCs w:val="26"/>
        </w:rPr>
        <w:t xml:space="preserve">July </w:t>
      </w:r>
      <w:r w:rsidRPr="002F03EB">
        <w:rPr>
          <w:rFonts w:cs="Arial"/>
          <w:b/>
          <w:bCs/>
          <w:color w:val="005187" w:themeColor="accent1"/>
          <w:sz w:val="24"/>
          <w:szCs w:val="26"/>
        </w:rPr>
        <w:t>2021</w:t>
      </w:r>
    </w:p>
    <w:p w14:paraId="676E503B" w14:textId="0E08CC24" w:rsidR="003340B4" w:rsidRDefault="003340B4" w:rsidP="004A6927">
      <w:pPr>
        <w:spacing w:after="0"/>
        <w:rPr>
          <w:rFonts w:cs="Arial"/>
          <w:b/>
          <w:bCs/>
          <w:color w:val="005187" w:themeColor="accent1"/>
          <w:sz w:val="24"/>
          <w:szCs w:val="26"/>
        </w:rPr>
      </w:pPr>
    </w:p>
    <w:p w14:paraId="028C395A" w14:textId="5880F4FB" w:rsidR="003340B4" w:rsidRDefault="003340B4" w:rsidP="004A6927">
      <w:pPr>
        <w:spacing w:after="0"/>
        <w:rPr>
          <w:rFonts w:cs="Arial"/>
          <w:b/>
          <w:bCs/>
          <w:color w:val="005187" w:themeColor="accent1"/>
          <w:sz w:val="24"/>
          <w:szCs w:val="26"/>
        </w:rPr>
      </w:pPr>
    </w:p>
    <w:p w14:paraId="66431F5E" w14:textId="3817565B" w:rsidR="003340B4" w:rsidRDefault="003340B4" w:rsidP="004A6927">
      <w:pPr>
        <w:spacing w:after="0"/>
        <w:rPr>
          <w:rFonts w:cs="Arial"/>
          <w:b/>
          <w:bCs/>
          <w:color w:val="005187" w:themeColor="accent1"/>
          <w:sz w:val="24"/>
          <w:szCs w:val="26"/>
        </w:rPr>
      </w:pPr>
    </w:p>
    <w:p w14:paraId="7258A88A" w14:textId="15134E77" w:rsidR="003340B4" w:rsidRDefault="003340B4" w:rsidP="004A6927">
      <w:pPr>
        <w:spacing w:after="0"/>
        <w:rPr>
          <w:rFonts w:cs="Arial"/>
          <w:b/>
          <w:bCs/>
          <w:color w:val="005187" w:themeColor="accent1"/>
          <w:sz w:val="24"/>
          <w:szCs w:val="26"/>
        </w:rPr>
      </w:pPr>
      <w:r>
        <w:rPr>
          <w:rFonts w:cs="Arial"/>
          <w:b/>
          <w:bCs/>
          <w:color w:val="005187" w:themeColor="accent1"/>
          <w:sz w:val="24"/>
          <w:szCs w:val="26"/>
        </w:rPr>
        <w:br w:type="page"/>
      </w:r>
    </w:p>
    <w:p w14:paraId="7C9232E5" w14:textId="77777777" w:rsidR="003340B4" w:rsidRPr="00616429" w:rsidRDefault="003340B4" w:rsidP="003340B4">
      <w:pPr>
        <w:autoSpaceDE w:val="0"/>
        <w:autoSpaceDN w:val="0"/>
        <w:adjustRightInd w:val="0"/>
        <w:spacing w:after="0"/>
        <w:rPr>
          <w:rFonts w:ascii="TimesNewRomanPS-BoldMT" w:hAnsi="TimesNewRomanPS-BoldMT" w:cs="TimesNewRomanPS-BoldMT"/>
          <w:b/>
          <w:bCs/>
          <w:color w:val="000000"/>
          <w:sz w:val="32"/>
          <w:szCs w:val="32"/>
        </w:rPr>
      </w:pPr>
      <w:r w:rsidRPr="00616429">
        <w:rPr>
          <w:rFonts w:ascii="TimesNewRomanPS-BoldMT" w:hAnsi="TimesNewRomanPS-BoldMT" w:cs="TimesNewRomanPS-BoldMT"/>
          <w:b/>
          <w:bCs/>
          <w:color w:val="000000"/>
          <w:sz w:val="32"/>
          <w:szCs w:val="32"/>
        </w:rPr>
        <w:lastRenderedPageBreak/>
        <w:t>SJ Dixon and Son (Holdings) Limited Pension and Life Assurance Scheme (the</w:t>
      </w:r>
      <w:r>
        <w:rPr>
          <w:rFonts w:ascii="TimesNewRomanPS-BoldMT" w:hAnsi="TimesNewRomanPS-BoldMT" w:cs="TimesNewRomanPS-BoldMT"/>
          <w:b/>
          <w:bCs/>
          <w:color w:val="000000"/>
          <w:sz w:val="32"/>
          <w:szCs w:val="32"/>
        </w:rPr>
        <w:t xml:space="preserve"> </w:t>
      </w:r>
      <w:r w:rsidRPr="00616429">
        <w:rPr>
          <w:rFonts w:ascii="TimesNewRomanPS-BoldMT" w:hAnsi="TimesNewRomanPS-BoldMT" w:cs="TimesNewRomanPS-BoldMT"/>
          <w:b/>
          <w:bCs/>
          <w:color w:val="000000"/>
          <w:sz w:val="32"/>
          <w:szCs w:val="32"/>
        </w:rPr>
        <w:t>“Scheme”)</w:t>
      </w:r>
    </w:p>
    <w:p w14:paraId="0FB7842A"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0E55F43C" w14:textId="77777777" w:rsidR="003340B4" w:rsidRPr="00616429" w:rsidRDefault="003340B4" w:rsidP="003340B4">
      <w:pPr>
        <w:autoSpaceDE w:val="0"/>
        <w:autoSpaceDN w:val="0"/>
        <w:adjustRightInd w:val="0"/>
        <w:spacing w:after="0"/>
        <w:rPr>
          <w:rFonts w:ascii="TimesNewRomanPS-BoldMT" w:hAnsi="TimesNewRomanPS-BoldMT" w:cs="TimesNewRomanPS-BoldMT"/>
          <w:b/>
          <w:bCs/>
          <w:color w:val="000000"/>
          <w:sz w:val="32"/>
          <w:szCs w:val="32"/>
        </w:rPr>
      </w:pPr>
      <w:r w:rsidRPr="00616429">
        <w:rPr>
          <w:rFonts w:ascii="TimesNewRomanPS-BoldMT" w:hAnsi="TimesNewRomanPS-BoldMT" w:cs="TimesNewRomanPS-BoldMT"/>
          <w:b/>
          <w:bCs/>
          <w:color w:val="000000"/>
          <w:sz w:val="32"/>
          <w:szCs w:val="32"/>
        </w:rPr>
        <w:t xml:space="preserve">Statement of Investment Principles (SIP) – </w:t>
      </w:r>
      <w:r>
        <w:rPr>
          <w:rFonts w:ascii="TimesNewRomanPS-BoldMT" w:hAnsi="TimesNewRomanPS-BoldMT" w:cs="TimesNewRomanPS-BoldMT"/>
          <w:b/>
          <w:bCs/>
          <w:color w:val="000000"/>
          <w:sz w:val="32"/>
          <w:szCs w:val="32"/>
        </w:rPr>
        <w:t>October</w:t>
      </w:r>
      <w:r w:rsidRPr="00616429">
        <w:rPr>
          <w:rFonts w:ascii="TimesNewRomanPS-BoldMT" w:hAnsi="TimesNewRomanPS-BoldMT" w:cs="TimesNewRomanPS-BoldMT"/>
          <w:b/>
          <w:bCs/>
          <w:color w:val="000000"/>
          <w:sz w:val="32"/>
          <w:szCs w:val="32"/>
        </w:rPr>
        <w:t xml:space="preserve"> 2020</w:t>
      </w:r>
    </w:p>
    <w:p w14:paraId="12876563"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6F49344B"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MT" w:hAnsi="TimesNewRomanPSMT" w:cs="TimesNewRomanPSMT"/>
          <w:color w:val="000000"/>
          <w:sz w:val="24"/>
        </w:rPr>
        <w:t xml:space="preserve">1. </w:t>
      </w:r>
      <w:r>
        <w:rPr>
          <w:rFonts w:ascii="TimesNewRomanPS-BoldMT" w:hAnsi="TimesNewRomanPS-BoldMT" w:cs="TimesNewRomanPS-BoldMT"/>
          <w:b/>
          <w:bCs/>
          <w:color w:val="000000"/>
          <w:sz w:val="24"/>
        </w:rPr>
        <w:t>Introduction</w:t>
      </w:r>
    </w:p>
    <w:p w14:paraId="66681D5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1.1 The Trustees of the Scheme have drawn up this SIP </w:t>
      </w:r>
      <w:proofErr w:type="gramStart"/>
      <w:r>
        <w:rPr>
          <w:rFonts w:ascii="TimesNewRomanPSMT" w:hAnsi="TimesNewRomanPSMT" w:cs="TimesNewRomanPSMT"/>
          <w:color w:val="000000"/>
          <w:sz w:val="24"/>
        </w:rPr>
        <w:t>in order to</w:t>
      </w:r>
      <w:proofErr w:type="gramEnd"/>
      <w:r>
        <w:rPr>
          <w:rFonts w:ascii="TimesNewRomanPSMT" w:hAnsi="TimesNewRomanPSMT" w:cs="TimesNewRomanPSMT"/>
          <w:color w:val="000000"/>
          <w:sz w:val="24"/>
        </w:rPr>
        <w:t xml:space="preserve"> comply with the</w:t>
      </w:r>
    </w:p>
    <w:p w14:paraId="4339F19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requirements of section 35 of the Pensions Act 1995 as amended by the Pensions Act</w:t>
      </w:r>
    </w:p>
    <w:p w14:paraId="20F4F72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2004, the Occupational Pension Schemes (Investment) Regulations 2005 and</w:t>
      </w:r>
    </w:p>
    <w:p w14:paraId="70BB7FB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subsequent legislation.</w:t>
      </w:r>
    </w:p>
    <w:p w14:paraId="641E9D4A"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585009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1.2 The Scheme comprises of two sections: a final salary or defined benefit (“DB”) section,</w:t>
      </w:r>
    </w:p>
    <w:p w14:paraId="5A7573F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which was closed to new entrants with effect from 31 December 2006 and a money</w:t>
      </w:r>
    </w:p>
    <w:p w14:paraId="66EF421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purchase or defined contribution (“DC”) section, which comprises of current</w:t>
      </w:r>
    </w:p>
    <w:p w14:paraId="03C676D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employees benefitting from ongoing employer/employee contributions and/or</w:t>
      </w:r>
    </w:p>
    <w:p w14:paraId="6FCB03A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additional voluntary contributions (“AVCs”) paid by current or former members of the</w:t>
      </w:r>
    </w:p>
    <w:p w14:paraId="5A590CA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Scheme.</w:t>
      </w:r>
    </w:p>
    <w:p w14:paraId="2547C9AD"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E10A53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1.3 In preparing this SIP, the trustees have consulted with the currently appointed</w:t>
      </w:r>
    </w:p>
    <w:p w14:paraId="6FA052F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investment managers who are Legal &amp; General Investment Management (“LGIM”) and</w:t>
      </w:r>
    </w:p>
    <w:p w14:paraId="749B382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BNY Mellon Newton (“Newton”) for guidance and input on strategic investment</w:t>
      </w:r>
    </w:p>
    <w:p w14:paraId="01C5FE0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matters (as necessary).</w:t>
      </w:r>
    </w:p>
    <w:p w14:paraId="23AED52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53493D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1.3.1 LGIM manages most of the assets held by the DB section of the </w:t>
      </w:r>
      <w:proofErr w:type="gramStart"/>
      <w:r>
        <w:rPr>
          <w:rFonts w:ascii="TimesNewRomanPSMT" w:hAnsi="TimesNewRomanPSMT" w:cs="TimesNewRomanPSMT"/>
          <w:color w:val="000000"/>
          <w:sz w:val="24"/>
        </w:rPr>
        <w:t>Scheme;</w:t>
      </w:r>
      <w:proofErr w:type="gramEnd"/>
    </w:p>
    <w:p w14:paraId="4D175E17"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48175C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1.3.2 Newton manages the balance of the assets held in the DB section and 100% of</w:t>
      </w:r>
    </w:p>
    <w:p w14:paraId="4590B3A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assets held in the DC section of the Scheme.</w:t>
      </w:r>
    </w:p>
    <w:p w14:paraId="5B47FAE2"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370904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1.4 The trustees of the Scheme have also consulted with SJ Dixon &amp; Son (Holdings)</w:t>
      </w:r>
    </w:p>
    <w:p w14:paraId="405D093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Limited as the Principal Employer when preparing this SIP. The trustees of the Scheme</w:t>
      </w:r>
    </w:p>
    <w:p w14:paraId="4C37F0E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did not receive any input or feedback from members of the Scheme in relation to</w:t>
      </w:r>
    </w:p>
    <w:p w14:paraId="1920B66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investment matters but any such feedback or comment received in future will be</w:t>
      </w:r>
    </w:p>
    <w:p w14:paraId="1702CFB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considered.</w:t>
      </w:r>
    </w:p>
    <w:p w14:paraId="61E72C5E"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C9DF546"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MT" w:hAnsi="TimesNewRomanPSMT" w:cs="TimesNewRomanPSMT"/>
          <w:color w:val="000000"/>
          <w:sz w:val="24"/>
        </w:rPr>
        <w:t xml:space="preserve">2 </w:t>
      </w:r>
      <w:r>
        <w:rPr>
          <w:rFonts w:ascii="TimesNewRomanPS-BoldMT" w:hAnsi="TimesNewRomanPS-BoldMT" w:cs="TimesNewRomanPS-BoldMT"/>
          <w:b/>
          <w:bCs/>
          <w:color w:val="000000"/>
          <w:sz w:val="24"/>
        </w:rPr>
        <w:t>Selection of investments for the Scheme</w:t>
      </w:r>
    </w:p>
    <w:p w14:paraId="52D78A8B"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31EAEA1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2.1 The DB section of the Scheme is solely funded by the Principal Employer and the</w:t>
      </w:r>
    </w:p>
    <w:p w14:paraId="1C24186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member benefits arising are guaranteed and long-term in nature. As such the members</w:t>
      </w:r>
    </w:p>
    <w:p w14:paraId="2FC9E8C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are not directly exposed to any investment risk. The investments held by the trustees in</w:t>
      </w:r>
    </w:p>
    <w:p w14:paraId="6FF4430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relation to the DB section of the Scheme </w:t>
      </w:r>
      <w:proofErr w:type="gramStart"/>
      <w:r>
        <w:rPr>
          <w:rFonts w:ascii="TimesNewRomanPSMT" w:hAnsi="TimesNewRomanPSMT" w:cs="TimesNewRomanPSMT"/>
          <w:color w:val="000000"/>
          <w:sz w:val="24"/>
        </w:rPr>
        <w:t>are</w:t>
      </w:r>
      <w:proofErr w:type="gramEnd"/>
      <w:r>
        <w:rPr>
          <w:rFonts w:ascii="TimesNewRomanPSMT" w:hAnsi="TimesNewRomanPSMT" w:cs="TimesNewRomanPSMT"/>
          <w:color w:val="000000"/>
          <w:sz w:val="24"/>
        </w:rPr>
        <w:t xml:space="preserve"> carefully considered in the light of the</w:t>
      </w:r>
    </w:p>
    <w:p w14:paraId="08BC65D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Scheme’s investment objectives (as outlined in the next section of this document).</w:t>
      </w:r>
    </w:p>
    <w:p w14:paraId="3E9BE483"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D9A55A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2.2 The DC section of the Scheme receives ongoing monthly contributions from the</w:t>
      </w:r>
    </w:p>
    <w:p w14:paraId="24D495E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Principal Employer and its employees who are active members of the </w:t>
      </w:r>
      <w:proofErr w:type="gramStart"/>
      <w:r>
        <w:rPr>
          <w:rFonts w:ascii="TimesNewRomanPSMT" w:hAnsi="TimesNewRomanPSMT" w:cs="TimesNewRomanPSMT"/>
          <w:color w:val="000000"/>
          <w:sz w:val="24"/>
        </w:rPr>
        <w:t>Scheme;</w:t>
      </w:r>
      <w:proofErr w:type="gramEnd"/>
    </w:p>
    <w:p w14:paraId="0A87753F"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9A9997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2.2.1 Each member is building-up their own separate savings pot within the DC</w:t>
      </w:r>
    </w:p>
    <w:p w14:paraId="4A70A70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lastRenderedPageBreak/>
        <w:t>section of the Scheme although the monies are pooled and invested across a</w:t>
      </w:r>
    </w:p>
    <w:p w14:paraId="5EC4474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range of investment funds managed by Newton. The DC fund accumulated can</w:t>
      </w:r>
    </w:p>
    <w:p w14:paraId="2AEF4E2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then be applied to provide tax-free cash and/or pension income benefits for the</w:t>
      </w:r>
    </w:p>
    <w:p w14:paraId="3996F6F4" w14:textId="3421442B"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member on </w:t>
      </w:r>
      <w:proofErr w:type="gramStart"/>
      <w:r>
        <w:rPr>
          <w:rFonts w:ascii="TimesNewRomanPSMT" w:hAnsi="TimesNewRomanPSMT" w:cs="TimesNewRomanPSMT"/>
          <w:color w:val="000000"/>
          <w:sz w:val="24"/>
        </w:rPr>
        <w:t>retirement;</w:t>
      </w:r>
      <w:proofErr w:type="gramEnd"/>
    </w:p>
    <w:p w14:paraId="7B40FF9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F8CC9F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2.2.2 This means each member is directly exposed to investment risk within the DC</w:t>
      </w:r>
    </w:p>
    <w:p w14:paraId="072D65C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section of the Scheme as their individual funds can fall or rise in value on a daily</w:t>
      </w:r>
    </w:p>
    <w:p w14:paraId="73A60A6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basis and future value </w:t>
      </w:r>
      <w:proofErr w:type="gramStart"/>
      <w:r>
        <w:rPr>
          <w:rFonts w:ascii="TimesNewRomanPSMT" w:hAnsi="TimesNewRomanPSMT" w:cs="TimesNewRomanPSMT"/>
          <w:color w:val="000000"/>
          <w:sz w:val="24"/>
        </w:rPr>
        <w:t>is</w:t>
      </w:r>
      <w:proofErr w:type="gramEnd"/>
      <w:r>
        <w:rPr>
          <w:rFonts w:ascii="TimesNewRomanPSMT" w:hAnsi="TimesNewRomanPSMT" w:cs="TimesNewRomanPSMT"/>
          <w:color w:val="000000"/>
          <w:sz w:val="24"/>
        </w:rPr>
        <w:t xml:space="preserve"> not guaranteed;</w:t>
      </w:r>
    </w:p>
    <w:p w14:paraId="43EA41CD"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CEB1F6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2.2.3 Whilst the trustees remain responsible for the DC investments held by the</w:t>
      </w:r>
    </w:p>
    <w:p w14:paraId="33217D2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Scheme, we remain keenly aware the retirement aspirations of members vary as</w:t>
      </w:r>
    </w:p>
    <w:p w14:paraId="26CB11D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does their ability and willingness to be exposed to investment risk. For this</w:t>
      </w:r>
    </w:p>
    <w:p w14:paraId="57793D2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reason there are a range of investment funds available from Newton and the</w:t>
      </w:r>
    </w:p>
    <w:p w14:paraId="612CC4C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trustees remain willing to take members’ representations into account when</w:t>
      </w:r>
    </w:p>
    <w:p w14:paraId="0D8619E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considering how monies are invested in the DC section of the Scheme. Members</w:t>
      </w:r>
    </w:p>
    <w:p w14:paraId="6C9C865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of the DC section should contact the trustees if more information is required.</w:t>
      </w:r>
    </w:p>
    <w:p w14:paraId="4BD98B45"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3C0B898"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MT" w:hAnsi="TimesNewRomanPSMT" w:cs="TimesNewRomanPSMT"/>
          <w:color w:val="000000"/>
          <w:sz w:val="24"/>
        </w:rPr>
        <w:t xml:space="preserve">3 </w:t>
      </w:r>
      <w:r>
        <w:rPr>
          <w:rFonts w:ascii="TimesNewRomanPS-BoldMT" w:hAnsi="TimesNewRomanPS-BoldMT" w:cs="TimesNewRomanPS-BoldMT"/>
          <w:b/>
          <w:bCs/>
          <w:color w:val="000000"/>
          <w:sz w:val="24"/>
        </w:rPr>
        <w:t>Investment objectives</w:t>
      </w:r>
    </w:p>
    <w:p w14:paraId="437699F4"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37FCED7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 In relation to the DB section of the Scheme our core objective is simple and clear: to be</w:t>
      </w:r>
    </w:p>
    <w:p w14:paraId="7D30026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in a position </w:t>
      </w:r>
      <w:proofErr w:type="gramStart"/>
      <w:r>
        <w:rPr>
          <w:rFonts w:ascii="TimesNewRomanPSMT" w:hAnsi="TimesNewRomanPSMT" w:cs="TimesNewRomanPSMT"/>
          <w:color w:val="000000"/>
          <w:sz w:val="24"/>
        </w:rPr>
        <w:t>at all times</w:t>
      </w:r>
      <w:proofErr w:type="gramEnd"/>
      <w:r>
        <w:rPr>
          <w:rFonts w:ascii="TimesNewRomanPSMT" w:hAnsi="TimesNewRomanPSMT" w:cs="TimesNewRomanPSMT"/>
          <w:color w:val="000000"/>
          <w:sz w:val="24"/>
        </w:rPr>
        <w:t xml:space="preserve"> to meet the payment of benefits to the members as they fall</w:t>
      </w:r>
    </w:p>
    <w:p w14:paraId="35D8ADB1" w14:textId="77777777" w:rsidR="003340B4" w:rsidRDefault="003340B4" w:rsidP="003340B4">
      <w:pPr>
        <w:autoSpaceDE w:val="0"/>
        <w:autoSpaceDN w:val="0"/>
        <w:adjustRightInd w:val="0"/>
        <w:spacing w:after="0"/>
        <w:rPr>
          <w:rFonts w:ascii="TimesNewRomanPSMT" w:hAnsi="TimesNewRomanPSMT" w:cs="TimesNewRomanPSMT"/>
          <w:color w:val="000000"/>
          <w:sz w:val="24"/>
        </w:rPr>
      </w:pPr>
      <w:proofErr w:type="gramStart"/>
      <w:r>
        <w:rPr>
          <w:rFonts w:ascii="TimesNewRomanPSMT" w:hAnsi="TimesNewRomanPSMT" w:cs="TimesNewRomanPSMT"/>
          <w:color w:val="000000"/>
          <w:sz w:val="24"/>
        </w:rPr>
        <w:t>due;</w:t>
      </w:r>
      <w:proofErr w:type="gramEnd"/>
    </w:p>
    <w:p w14:paraId="548C206A"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EC4566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3.1.1 As the commitments and obligations of the Scheme are very long-term in nature,</w:t>
      </w:r>
    </w:p>
    <w:p w14:paraId="6D347E3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we as trustees are obliged to obtain a detailed Actuarial Valuation Report (AVR)</w:t>
      </w:r>
    </w:p>
    <w:p w14:paraId="11DB166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in relation to the DB section at least once every three years, with interim updates</w:t>
      </w:r>
    </w:p>
    <w:p w14:paraId="1CF6D179" w14:textId="77777777" w:rsidR="003340B4" w:rsidRDefault="003340B4" w:rsidP="003340B4">
      <w:pPr>
        <w:autoSpaceDE w:val="0"/>
        <w:autoSpaceDN w:val="0"/>
        <w:adjustRightInd w:val="0"/>
        <w:spacing w:after="0"/>
        <w:rPr>
          <w:rFonts w:ascii="TimesNewRomanPSMT" w:hAnsi="TimesNewRomanPSMT" w:cs="TimesNewRomanPSMT"/>
          <w:color w:val="000000"/>
          <w:sz w:val="24"/>
        </w:rPr>
      </w:pPr>
      <w:proofErr w:type="gramStart"/>
      <w:r>
        <w:rPr>
          <w:rFonts w:ascii="TimesNewRomanPSMT" w:hAnsi="TimesNewRomanPSMT" w:cs="TimesNewRomanPSMT"/>
          <w:color w:val="000000"/>
          <w:sz w:val="24"/>
        </w:rPr>
        <w:t>in between;</w:t>
      </w:r>
      <w:proofErr w:type="gramEnd"/>
    </w:p>
    <w:p w14:paraId="43CECBF3"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F72FD9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3.1.1.1 The AVR enables us to assess how near or far the DB section is from being</w:t>
      </w:r>
    </w:p>
    <w:p w14:paraId="2976B12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able to cover 100% of its obligations in the future using a reasonable set of</w:t>
      </w:r>
    </w:p>
    <w:p w14:paraId="4976898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assumptions for the future based on the actuarial guidance we have </w:t>
      </w:r>
      <w:proofErr w:type="gramStart"/>
      <w:r>
        <w:rPr>
          <w:rFonts w:ascii="TimesNewRomanPSMT" w:hAnsi="TimesNewRomanPSMT" w:cs="TimesNewRomanPSMT"/>
          <w:color w:val="000000"/>
          <w:sz w:val="24"/>
        </w:rPr>
        <w:t>received;</w:t>
      </w:r>
      <w:proofErr w:type="gramEnd"/>
    </w:p>
    <w:p w14:paraId="63868C2E"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3BBCAAE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3.1.1.2 Where a potential shortfall is identified, we will need to look to the </w:t>
      </w:r>
      <w:proofErr w:type="gramStart"/>
      <w:r>
        <w:rPr>
          <w:rFonts w:ascii="TimesNewRomanPSMT" w:hAnsi="TimesNewRomanPSMT" w:cs="TimesNewRomanPSMT"/>
          <w:color w:val="000000"/>
          <w:sz w:val="24"/>
        </w:rPr>
        <w:t>Principal</w:t>
      </w:r>
      <w:proofErr w:type="gramEnd"/>
    </w:p>
    <w:p w14:paraId="4FF488B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Employer to remove this over time by committing to pay future</w:t>
      </w:r>
    </w:p>
    <w:p w14:paraId="732D2AB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contributions at an agreed level to the DB section of the </w:t>
      </w:r>
      <w:proofErr w:type="gramStart"/>
      <w:r>
        <w:rPr>
          <w:rFonts w:ascii="TimesNewRomanPSMT" w:hAnsi="TimesNewRomanPSMT" w:cs="TimesNewRomanPSMT"/>
          <w:color w:val="000000"/>
          <w:sz w:val="24"/>
        </w:rPr>
        <w:t>Scheme;</w:t>
      </w:r>
      <w:proofErr w:type="gramEnd"/>
    </w:p>
    <w:p w14:paraId="26CDB48F"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3C949D6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3.1.2 Thus, in setting an investment strategy for the assets held in relation to the</w:t>
      </w:r>
    </w:p>
    <w:p w14:paraId="2C674EE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DB section of the Scheme we need to balance:</w:t>
      </w:r>
    </w:p>
    <w:p w14:paraId="124A257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18C3F9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3.1.2.1 The need for safe and reliable cash flows into the DB section of the Scheme,</w:t>
      </w:r>
    </w:p>
    <w:p w14:paraId="3C714DC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which are used to fund the numerous monthly pensions already in </w:t>
      </w:r>
      <w:proofErr w:type="gramStart"/>
      <w:r>
        <w:rPr>
          <w:rFonts w:ascii="TimesNewRomanPSMT" w:hAnsi="TimesNewRomanPSMT" w:cs="TimesNewRomanPSMT"/>
          <w:color w:val="000000"/>
          <w:sz w:val="24"/>
        </w:rPr>
        <w:t>payment;</w:t>
      </w:r>
      <w:proofErr w:type="gramEnd"/>
    </w:p>
    <w:p w14:paraId="61C128F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A4DD15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3.1.2.2 The inevitability that as time passes this will grow further as members retire</w:t>
      </w:r>
    </w:p>
    <w:p w14:paraId="2663E9B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and bring their DB benefits into payment from the </w:t>
      </w:r>
      <w:proofErr w:type="gramStart"/>
      <w:r>
        <w:rPr>
          <w:rFonts w:ascii="TimesNewRomanPSMT" w:hAnsi="TimesNewRomanPSMT" w:cs="TimesNewRomanPSMT"/>
          <w:color w:val="000000"/>
          <w:sz w:val="24"/>
        </w:rPr>
        <w:t>Scheme;</w:t>
      </w:r>
      <w:proofErr w:type="gramEnd"/>
    </w:p>
    <w:p w14:paraId="620AE547"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570ACB0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3.1.2.3 This growing maturity to the DB section of the Scheme will mean we as</w:t>
      </w:r>
    </w:p>
    <w:p w14:paraId="541BBD8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trustees are ever less able to take a high degree of investment risk (in the</w:t>
      </w:r>
    </w:p>
    <w:p w14:paraId="474208A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lastRenderedPageBreak/>
        <w:t>hope of securing higher investment returns</w:t>
      </w:r>
      <w:proofErr w:type="gramStart"/>
      <w:r>
        <w:rPr>
          <w:rFonts w:ascii="TimesNewRomanPSMT" w:hAnsi="TimesNewRomanPSMT" w:cs="TimesNewRomanPSMT"/>
          <w:color w:val="000000"/>
          <w:sz w:val="24"/>
        </w:rPr>
        <w:t>);</w:t>
      </w:r>
      <w:proofErr w:type="gramEnd"/>
    </w:p>
    <w:p w14:paraId="4B51F19D"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1AEE7C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3.1.3 The ability and willingness of the Principal Employer to make contributions.</w:t>
      </w:r>
    </w:p>
    <w:p w14:paraId="4DFFA686"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3A4309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3.1.3.1 Whilst we want to strive to achieve self-sufficiency over time (so we do not</w:t>
      </w:r>
    </w:p>
    <w:p w14:paraId="2CE9808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need to rely on employer contributions to the DB section of the Scheme), if</w:t>
      </w:r>
    </w:p>
    <w:p w14:paraId="14F57DB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we try to move too far and/or too fast we could compromise the </w:t>
      </w:r>
      <w:proofErr w:type="gramStart"/>
      <w:r>
        <w:rPr>
          <w:rFonts w:ascii="TimesNewRomanPSMT" w:hAnsi="TimesNewRomanPSMT" w:cs="TimesNewRomanPSMT"/>
          <w:color w:val="000000"/>
          <w:sz w:val="24"/>
        </w:rPr>
        <w:t>Principal</w:t>
      </w:r>
      <w:proofErr w:type="gramEnd"/>
    </w:p>
    <w:p w14:paraId="28E381F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Employer’s ability to trade, which would be counter-</w:t>
      </w:r>
      <w:proofErr w:type="gramStart"/>
      <w:r>
        <w:rPr>
          <w:rFonts w:ascii="TimesNewRomanPSMT" w:hAnsi="TimesNewRomanPSMT" w:cs="TimesNewRomanPSMT"/>
          <w:color w:val="000000"/>
          <w:sz w:val="24"/>
        </w:rPr>
        <w:t>productive;</w:t>
      </w:r>
      <w:proofErr w:type="gramEnd"/>
    </w:p>
    <w:p w14:paraId="3AFD769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3.1.3.2 Likewise we are mindful of the need to ensure the DB section does not take</w:t>
      </w:r>
    </w:p>
    <w:p w14:paraId="28BC1A0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too much investment risk. If we did and markets moved against us, this</w:t>
      </w:r>
    </w:p>
    <w:p w14:paraId="533EA8A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could compromise the security of members’ benefits in the DB Scheme and</w:t>
      </w:r>
    </w:p>
    <w:p w14:paraId="25D9C88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mean undue funding pressure would be applied to the Principal Employer</w:t>
      </w:r>
    </w:p>
    <w:p w14:paraId="2EEF523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to reduce a large shortfall </w:t>
      </w:r>
      <w:proofErr w:type="gramStart"/>
      <w:r>
        <w:rPr>
          <w:rFonts w:ascii="TimesNewRomanPSMT" w:hAnsi="TimesNewRomanPSMT" w:cs="TimesNewRomanPSMT"/>
          <w:color w:val="000000"/>
          <w:sz w:val="24"/>
        </w:rPr>
        <w:t>quickly;</w:t>
      </w:r>
      <w:proofErr w:type="gramEnd"/>
    </w:p>
    <w:p w14:paraId="2E31DA07"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986146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3.1.4 In summary we will balance cash flow needs, maturity, potential investment</w:t>
      </w:r>
    </w:p>
    <w:p w14:paraId="37C9E02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risk and reward and the financial strength/stability of the Principal Employer</w:t>
      </w:r>
    </w:p>
    <w:p w14:paraId="56A81F9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when determining the most suitable investment </w:t>
      </w:r>
      <w:proofErr w:type="gramStart"/>
      <w:r>
        <w:rPr>
          <w:rFonts w:ascii="TimesNewRomanPSMT" w:hAnsi="TimesNewRomanPSMT" w:cs="TimesNewRomanPSMT"/>
          <w:color w:val="000000"/>
          <w:sz w:val="24"/>
        </w:rPr>
        <w:t>strategy;</w:t>
      </w:r>
      <w:proofErr w:type="gramEnd"/>
    </w:p>
    <w:p w14:paraId="0AD1AAC5"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8910E2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3.1.4.1 As the balance between these can shift at any time, we will continue to</w:t>
      </w:r>
    </w:p>
    <w:p w14:paraId="5FD8A5B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monitor them all regularly and consider </w:t>
      </w:r>
      <w:proofErr w:type="gramStart"/>
      <w:r>
        <w:rPr>
          <w:rFonts w:ascii="TimesNewRomanPSMT" w:hAnsi="TimesNewRomanPSMT" w:cs="TimesNewRomanPSMT"/>
          <w:color w:val="000000"/>
          <w:sz w:val="24"/>
        </w:rPr>
        <w:t>whether or not</w:t>
      </w:r>
      <w:proofErr w:type="gramEnd"/>
      <w:r>
        <w:rPr>
          <w:rFonts w:ascii="TimesNewRomanPSMT" w:hAnsi="TimesNewRomanPSMT" w:cs="TimesNewRomanPSMT"/>
          <w:color w:val="000000"/>
          <w:sz w:val="24"/>
        </w:rPr>
        <w:t xml:space="preserve"> the existing SIP</w:t>
      </w:r>
    </w:p>
    <w:p w14:paraId="155941A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remains suitable (and update/replace as necessary) at least once a </w:t>
      </w:r>
      <w:proofErr w:type="gramStart"/>
      <w:r>
        <w:rPr>
          <w:rFonts w:ascii="TimesNewRomanPSMT" w:hAnsi="TimesNewRomanPSMT" w:cs="TimesNewRomanPSMT"/>
          <w:color w:val="000000"/>
          <w:sz w:val="24"/>
        </w:rPr>
        <w:t>year;</w:t>
      </w:r>
      <w:proofErr w:type="gramEnd"/>
    </w:p>
    <w:p w14:paraId="1C379E86"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CC936C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3.1.4.2 The liability to pay pension benefits from the DB section of the Scheme is</w:t>
      </w:r>
    </w:p>
    <w:p w14:paraId="6E47175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best met from a combination of cash and government-issued debt</w:t>
      </w:r>
    </w:p>
    <w:p w14:paraId="3856E3B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instruments (known as gilts or index-linked gilts) and equivalent high</w:t>
      </w:r>
    </w:p>
    <w:p w14:paraId="786A69B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quality corporate debt instruments (known as corporate bonds</w:t>
      </w:r>
      <w:proofErr w:type="gramStart"/>
      <w:r>
        <w:rPr>
          <w:rFonts w:ascii="TimesNewRomanPSMT" w:hAnsi="TimesNewRomanPSMT" w:cs="TimesNewRomanPSMT"/>
          <w:color w:val="000000"/>
          <w:sz w:val="24"/>
        </w:rPr>
        <w:t>);</w:t>
      </w:r>
      <w:proofErr w:type="gramEnd"/>
    </w:p>
    <w:p w14:paraId="2565D4CA"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EA11E6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3.1.4.3 In order to meet our long-term growth assumptions for the DB section we</w:t>
      </w:r>
    </w:p>
    <w:p w14:paraId="16191BA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would expect to invest in risk-seeking assets such as equities (shares via</w:t>
      </w:r>
    </w:p>
    <w:p w14:paraId="5C46D0A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collective investment funds), commercial property (via collective</w:t>
      </w:r>
    </w:p>
    <w:p w14:paraId="23BE66B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investment funds), commodities (via collective investment funds), precious</w:t>
      </w:r>
    </w:p>
    <w:p w14:paraId="5A78279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metals (via collective investment funds</w:t>
      </w:r>
      <w:proofErr w:type="gramStart"/>
      <w:r>
        <w:rPr>
          <w:rFonts w:ascii="TimesNewRomanPSMT" w:hAnsi="TimesNewRomanPSMT" w:cs="TimesNewRomanPSMT"/>
          <w:color w:val="000000"/>
          <w:sz w:val="24"/>
        </w:rPr>
        <w:t>);</w:t>
      </w:r>
      <w:proofErr w:type="gramEnd"/>
    </w:p>
    <w:p w14:paraId="4E94B2C3"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399ABEE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3.2 In relation to the DC section of the Scheme, we wish to achieve good member outcomes</w:t>
      </w:r>
    </w:p>
    <w:p w14:paraId="009B6D0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by using a range of collective investment funds which give us:</w:t>
      </w:r>
    </w:p>
    <w:p w14:paraId="65B19035"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7F6411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3.2.1 The ability to diversify between one or more collective investment funds to</w:t>
      </w:r>
    </w:p>
    <w:p w14:paraId="6D2BA34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assist in managing investment </w:t>
      </w:r>
      <w:proofErr w:type="gramStart"/>
      <w:r>
        <w:rPr>
          <w:rFonts w:ascii="TimesNewRomanPSMT" w:hAnsi="TimesNewRomanPSMT" w:cs="TimesNewRomanPSMT"/>
          <w:color w:val="000000"/>
          <w:sz w:val="24"/>
        </w:rPr>
        <w:t>risk;</w:t>
      </w:r>
      <w:proofErr w:type="gramEnd"/>
    </w:p>
    <w:p w14:paraId="3E240D7F"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826A33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3.2.2 Access to collective investment funds where the charges levied are competitive</w:t>
      </w:r>
    </w:p>
    <w:p w14:paraId="4D506C4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against the wider retail pension investment market, as it is the return (net of</w:t>
      </w:r>
    </w:p>
    <w:p w14:paraId="21564D2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costs), which is important to </w:t>
      </w:r>
      <w:proofErr w:type="gramStart"/>
      <w:r>
        <w:rPr>
          <w:rFonts w:ascii="TimesNewRomanPSMT" w:hAnsi="TimesNewRomanPSMT" w:cs="TimesNewRomanPSMT"/>
          <w:color w:val="000000"/>
          <w:sz w:val="24"/>
        </w:rPr>
        <w:t>members;</w:t>
      </w:r>
      <w:proofErr w:type="gramEnd"/>
    </w:p>
    <w:p w14:paraId="06DA08C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58FF56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3.2.3 Competitive net investment returns thereby offering overall value for money to</w:t>
      </w:r>
    </w:p>
    <w:p w14:paraId="2EC5C62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DC </w:t>
      </w:r>
      <w:proofErr w:type="gramStart"/>
      <w:r>
        <w:rPr>
          <w:rFonts w:ascii="TimesNewRomanPSMT" w:hAnsi="TimesNewRomanPSMT" w:cs="TimesNewRomanPSMT"/>
          <w:color w:val="000000"/>
          <w:sz w:val="24"/>
        </w:rPr>
        <w:t>members;</w:t>
      </w:r>
      <w:proofErr w:type="gramEnd"/>
    </w:p>
    <w:p w14:paraId="744FDBA6"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36AA577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3.2.4 We are not however able to run bespoke investment strategies for each member</w:t>
      </w:r>
    </w:p>
    <w:p w14:paraId="3FE9E99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lastRenderedPageBreak/>
        <w:t>of the Scheme to reflect their own needs and aspirations. We will however be</w:t>
      </w:r>
    </w:p>
    <w:p w14:paraId="0BB20CC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reviewing our options in this regard </w:t>
      </w:r>
      <w:proofErr w:type="gramStart"/>
      <w:r>
        <w:rPr>
          <w:rFonts w:ascii="TimesNewRomanPSMT" w:hAnsi="TimesNewRomanPSMT" w:cs="TimesNewRomanPSMT"/>
          <w:color w:val="000000"/>
          <w:sz w:val="24"/>
        </w:rPr>
        <w:t>in the near future</w:t>
      </w:r>
      <w:proofErr w:type="gramEnd"/>
      <w:r>
        <w:rPr>
          <w:rFonts w:ascii="TimesNewRomanPSMT" w:hAnsi="TimesNewRomanPSMT" w:cs="TimesNewRomanPSMT"/>
          <w:color w:val="000000"/>
          <w:sz w:val="24"/>
        </w:rPr>
        <w:t>.</w:t>
      </w:r>
    </w:p>
    <w:p w14:paraId="48A13BD5"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C8138C9"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MT" w:hAnsi="TimesNewRomanPSMT" w:cs="TimesNewRomanPSMT"/>
          <w:color w:val="000000"/>
          <w:sz w:val="24"/>
        </w:rPr>
        <w:t xml:space="preserve">4 </w:t>
      </w:r>
      <w:r>
        <w:rPr>
          <w:rFonts w:ascii="TimesNewRomanPS-BoldMT" w:hAnsi="TimesNewRomanPS-BoldMT" w:cs="TimesNewRomanPS-BoldMT"/>
          <w:b/>
          <w:bCs/>
          <w:color w:val="000000"/>
          <w:sz w:val="24"/>
        </w:rPr>
        <w:t>Investment management</w:t>
      </w:r>
    </w:p>
    <w:p w14:paraId="346C7221"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3F63204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4.1 We as trustees are not expected to be investment experts. We are however required by</w:t>
      </w:r>
    </w:p>
    <w:p w14:paraId="58D8FCE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law to act prudently and in accordance with investment advice received (from suitably</w:t>
      </w:r>
    </w:p>
    <w:p w14:paraId="176C33D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qualified and experienced professionals) when developing or reviewing our investment</w:t>
      </w:r>
    </w:p>
    <w:p w14:paraId="2D0CAE5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strategies for the DB and DC sections of the Scheme.</w:t>
      </w:r>
    </w:p>
    <w:p w14:paraId="5A894281"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5EC9353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4.2 For this reason we continue to delegate the day-to-day management of the DB and DC</w:t>
      </w:r>
    </w:p>
    <w:p w14:paraId="680B5D7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monies to two leading UK investment management houses – LGIM and Newton.</w:t>
      </w:r>
    </w:p>
    <w:p w14:paraId="170D79F2"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B0BF8F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4.3 Our powers to invest the Scheme’s monies are determined by the Scheme’s Trust Deed</w:t>
      </w:r>
    </w:p>
    <w:p w14:paraId="155B744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and Rules. Whilst we can invest in a wide range of asset classes, for the most part we</w:t>
      </w:r>
    </w:p>
    <w:p w14:paraId="7088792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choose to use professionally managed collective investment funds managed by LGIM</w:t>
      </w:r>
    </w:p>
    <w:p w14:paraId="3E9D5B5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and/or Newton. There are several reasons why we do this:</w:t>
      </w:r>
    </w:p>
    <w:p w14:paraId="35C6B243"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2B1860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4.3.1 By pooling monies with other investors, economies of scale can be achieved,</w:t>
      </w:r>
    </w:p>
    <w:p w14:paraId="0F6EFA7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which lowers the cost </w:t>
      </w:r>
      <w:proofErr w:type="gramStart"/>
      <w:r>
        <w:rPr>
          <w:rFonts w:ascii="TimesNewRomanPSMT" w:hAnsi="TimesNewRomanPSMT" w:cs="TimesNewRomanPSMT"/>
          <w:color w:val="000000"/>
          <w:sz w:val="24"/>
        </w:rPr>
        <w:t>of investment;</w:t>
      </w:r>
      <w:proofErr w:type="gramEnd"/>
    </w:p>
    <w:p w14:paraId="2F8C0EE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B24CC6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4.3.2 Such funds will generally hold a larger number of underlying investments</w:t>
      </w:r>
    </w:p>
    <w:p w14:paraId="3DC2310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enabling greater diversification of investment </w:t>
      </w:r>
      <w:proofErr w:type="gramStart"/>
      <w:r>
        <w:rPr>
          <w:rFonts w:ascii="TimesNewRomanPSMT" w:hAnsi="TimesNewRomanPSMT" w:cs="TimesNewRomanPSMT"/>
          <w:color w:val="000000"/>
          <w:sz w:val="24"/>
        </w:rPr>
        <w:t>risk;</w:t>
      </w:r>
      <w:proofErr w:type="gramEnd"/>
    </w:p>
    <w:p w14:paraId="5DDFE0C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0BF79E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4.3.3 We can concentrate on the allocation of the DB and DC monies to suitable asset</w:t>
      </w:r>
    </w:p>
    <w:p w14:paraId="7CB4688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classes at a macro-level and leave the professionals to determine the most</w:t>
      </w:r>
    </w:p>
    <w:p w14:paraId="301C277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suitable investments to </w:t>
      </w:r>
      <w:proofErr w:type="gramStart"/>
      <w:r>
        <w:rPr>
          <w:rFonts w:ascii="TimesNewRomanPSMT" w:hAnsi="TimesNewRomanPSMT" w:cs="TimesNewRomanPSMT"/>
          <w:color w:val="000000"/>
          <w:sz w:val="24"/>
        </w:rPr>
        <w:t>hold;</w:t>
      </w:r>
      <w:proofErr w:type="gramEnd"/>
    </w:p>
    <w:p w14:paraId="4322E143"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C28A9C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4.4 As trustees we recognise that actively managed collective investment funds often have</w:t>
      </w:r>
    </w:p>
    <w:p w14:paraId="2F06C48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higher charges as there </w:t>
      </w:r>
      <w:proofErr w:type="gramStart"/>
      <w:r>
        <w:rPr>
          <w:rFonts w:ascii="TimesNewRomanPSMT" w:hAnsi="TimesNewRomanPSMT" w:cs="TimesNewRomanPSMT"/>
          <w:color w:val="000000"/>
          <w:sz w:val="24"/>
        </w:rPr>
        <w:t>is</w:t>
      </w:r>
      <w:proofErr w:type="gramEnd"/>
      <w:r>
        <w:rPr>
          <w:rFonts w:ascii="TimesNewRomanPSMT" w:hAnsi="TimesNewRomanPSMT" w:cs="TimesNewRomanPSMT"/>
          <w:color w:val="000000"/>
          <w:sz w:val="24"/>
        </w:rPr>
        <w:t xml:space="preserve"> a team of people involved in researching and analysing what</w:t>
      </w:r>
    </w:p>
    <w:p w14:paraId="31ADA16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they believe are the best investments to hold. However relatively few active managers</w:t>
      </w:r>
    </w:p>
    <w:p w14:paraId="6D1658D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consistently outperform in the major markets (such as US or UK equities) and </w:t>
      </w:r>
      <w:proofErr w:type="gramStart"/>
      <w:r>
        <w:rPr>
          <w:rFonts w:ascii="TimesNewRomanPSMT" w:hAnsi="TimesNewRomanPSMT" w:cs="TimesNewRomanPSMT"/>
          <w:color w:val="000000"/>
          <w:sz w:val="24"/>
        </w:rPr>
        <w:t>their</w:t>
      </w:r>
      <w:proofErr w:type="gramEnd"/>
    </w:p>
    <w:p w14:paraId="0D5A26B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higher costs can often negate the benefit of any value added through their </w:t>
      </w:r>
      <w:proofErr w:type="gramStart"/>
      <w:r>
        <w:rPr>
          <w:rFonts w:ascii="TimesNewRomanPSMT" w:hAnsi="TimesNewRomanPSMT" w:cs="TimesNewRomanPSMT"/>
          <w:color w:val="000000"/>
          <w:sz w:val="24"/>
        </w:rPr>
        <w:t>skill;</w:t>
      </w:r>
      <w:proofErr w:type="gramEnd"/>
    </w:p>
    <w:p w14:paraId="568B02F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DFE373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4.4.1 We will therefore make use of passively managed collective investment funds</w:t>
      </w:r>
    </w:p>
    <w:p w14:paraId="0C9A1A1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w:t>
      </w:r>
      <w:proofErr w:type="gramStart"/>
      <w:r>
        <w:rPr>
          <w:rFonts w:ascii="TimesNewRomanPSMT" w:hAnsi="TimesNewRomanPSMT" w:cs="TimesNewRomanPSMT"/>
          <w:color w:val="000000"/>
          <w:sz w:val="24"/>
        </w:rPr>
        <w:t>where</w:t>
      </w:r>
      <w:proofErr w:type="gramEnd"/>
      <w:r>
        <w:rPr>
          <w:rFonts w:ascii="TimesNewRomanPSMT" w:hAnsi="TimesNewRomanPSMT" w:cs="TimesNewRomanPSMT"/>
          <w:color w:val="000000"/>
          <w:sz w:val="24"/>
        </w:rPr>
        <w:t xml:space="preserve"> deemed appropriate). Passive funds simply aim to track the performance</w:t>
      </w:r>
    </w:p>
    <w:p w14:paraId="0EE8CD8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of a given market index (such as the FTSE100) and can do so with much lower</w:t>
      </w:r>
    </w:p>
    <w:p w14:paraId="1420E18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cost than the typical actively managed investment </w:t>
      </w:r>
      <w:proofErr w:type="gramStart"/>
      <w:r>
        <w:rPr>
          <w:rFonts w:ascii="TimesNewRomanPSMT" w:hAnsi="TimesNewRomanPSMT" w:cs="TimesNewRomanPSMT"/>
          <w:color w:val="000000"/>
          <w:sz w:val="24"/>
        </w:rPr>
        <w:t>fund;</w:t>
      </w:r>
      <w:proofErr w:type="gramEnd"/>
    </w:p>
    <w:p w14:paraId="4C79923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EEB70C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4.4.2 That said there are certain markets which are either very diverse, small or under</w:t>
      </w:r>
    </w:p>
    <w:p w14:paraId="5952FEA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researched where an active manager can really add value. As such we will make</w:t>
      </w:r>
    </w:p>
    <w:p w14:paraId="60001D8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use of actively managed investment funds (despite the higher potential cost)</w:t>
      </w:r>
    </w:p>
    <w:p w14:paraId="7F792A6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where we believe this gives a better net outcome for </w:t>
      </w:r>
      <w:proofErr w:type="gramStart"/>
      <w:r>
        <w:rPr>
          <w:rFonts w:ascii="TimesNewRomanPSMT" w:hAnsi="TimesNewRomanPSMT" w:cs="TimesNewRomanPSMT"/>
          <w:color w:val="000000"/>
          <w:sz w:val="24"/>
        </w:rPr>
        <w:t>members;</w:t>
      </w:r>
      <w:proofErr w:type="gramEnd"/>
    </w:p>
    <w:p w14:paraId="665D2010"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DA3F3E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4.4.3 For tactical reasons, LGIM can hold individual index-linked gilts for the DB</w:t>
      </w:r>
    </w:p>
    <w:p w14:paraId="35CFF86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section of the </w:t>
      </w:r>
      <w:proofErr w:type="gramStart"/>
      <w:r>
        <w:rPr>
          <w:rFonts w:ascii="TimesNewRomanPSMT" w:hAnsi="TimesNewRomanPSMT" w:cs="TimesNewRomanPSMT"/>
          <w:color w:val="000000"/>
          <w:sz w:val="24"/>
        </w:rPr>
        <w:t>Scheme;</w:t>
      </w:r>
      <w:proofErr w:type="gramEnd"/>
    </w:p>
    <w:p w14:paraId="067A207A"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63CA89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lastRenderedPageBreak/>
        <w:t>4.4.4 Likewise in meeting monthly payments of pensions to DB members, as well as</w:t>
      </w:r>
    </w:p>
    <w:p w14:paraId="301D3CA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death claims, requests to transfer out, requests for tax-free lump sum payments</w:t>
      </w:r>
    </w:p>
    <w:p w14:paraId="6CAD375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at retirement and so on, the trustees will at times hold large sums on deposit</w:t>
      </w:r>
    </w:p>
    <w:p w14:paraId="4C31394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with the Scheme’s banker (HSBC).</w:t>
      </w:r>
    </w:p>
    <w:p w14:paraId="176E706C"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02DB91BD"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BoldMT" w:hAnsi="TimesNewRomanPS-BoldMT" w:cs="TimesNewRomanPS-BoldMT"/>
          <w:b/>
          <w:bCs/>
          <w:color w:val="000000"/>
          <w:sz w:val="24"/>
        </w:rPr>
        <w:t xml:space="preserve">5 Expected </w:t>
      </w:r>
      <w:proofErr w:type="gramStart"/>
      <w:r>
        <w:rPr>
          <w:rFonts w:ascii="TimesNewRomanPS-BoldMT" w:hAnsi="TimesNewRomanPS-BoldMT" w:cs="TimesNewRomanPS-BoldMT"/>
          <w:b/>
          <w:bCs/>
          <w:color w:val="000000"/>
          <w:sz w:val="24"/>
        </w:rPr>
        <w:t>return</w:t>
      </w:r>
      <w:proofErr w:type="gramEnd"/>
      <w:r>
        <w:rPr>
          <w:rFonts w:ascii="TimesNewRomanPS-BoldMT" w:hAnsi="TimesNewRomanPS-BoldMT" w:cs="TimesNewRomanPS-BoldMT"/>
          <w:b/>
          <w:bCs/>
          <w:color w:val="000000"/>
          <w:sz w:val="24"/>
        </w:rPr>
        <w:t xml:space="preserve"> on investments</w:t>
      </w:r>
    </w:p>
    <w:p w14:paraId="3C72C379"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19C1BB3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5.1 The future does not come with any guarantees. Despite the best endeavours of the</w:t>
      </w:r>
    </w:p>
    <w:p w14:paraId="38374D8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trustees and their actuarial and investment advisors, actual outcomes will vary from</w:t>
      </w:r>
    </w:p>
    <w:p w14:paraId="3CA5D7C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those assumed at any point in </w:t>
      </w:r>
      <w:proofErr w:type="gramStart"/>
      <w:r>
        <w:rPr>
          <w:rFonts w:ascii="TimesNewRomanPSMT" w:hAnsi="TimesNewRomanPSMT" w:cs="TimesNewRomanPSMT"/>
          <w:color w:val="000000"/>
          <w:sz w:val="24"/>
        </w:rPr>
        <w:t>time;</w:t>
      </w:r>
      <w:proofErr w:type="gramEnd"/>
    </w:p>
    <w:p w14:paraId="41540626"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F7CA84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5.2 We attempt to mitigate the risk of a large departure from assumptions made by regularly</w:t>
      </w:r>
    </w:p>
    <w:p w14:paraId="7C4FDE9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monitoring and reviewing our strategy in conjunction with our professional </w:t>
      </w:r>
      <w:proofErr w:type="gramStart"/>
      <w:r>
        <w:rPr>
          <w:rFonts w:ascii="TimesNewRomanPSMT" w:hAnsi="TimesNewRomanPSMT" w:cs="TimesNewRomanPSMT"/>
          <w:color w:val="000000"/>
          <w:sz w:val="24"/>
        </w:rPr>
        <w:t>advisers;</w:t>
      </w:r>
      <w:proofErr w:type="gramEnd"/>
    </w:p>
    <w:p w14:paraId="1F1C29C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67C14D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5.3 We consider the nominal (and real inflation-adjusted) returns that might be achieved</w:t>
      </w:r>
    </w:p>
    <w:p w14:paraId="3138F3A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from various asset classes and use these (alongside best estimates for costs) to</w:t>
      </w:r>
    </w:p>
    <w:p w14:paraId="70E8C65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determine potential future </w:t>
      </w:r>
      <w:proofErr w:type="gramStart"/>
      <w:r>
        <w:rPr>
          <w:rFonts w:ascii="TimesNewRomanPSMT" w:hAnsi="TimesNewRomanPSMT" w:cs="TimesNewRomanPSMT"/>
          <w:color w:val="000000"/>
          <w:sz w:val="24"/>
        </w:rPr>
        <w:t>returns;</w:t>
      </w:r>
      <w:proofErr w:type="gramEnd"/>
    </w:p>
    <w:p w14:paraId="2D0E65B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C61744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5.4 We have received appropriate actuarial and/or investment advice over the years to assist</w:t>
      </w:r>
    </w:p>
    <w:p w14:paraId="61B77EB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us in determining our strategy and its potential risks and rewards. We will continue to</w:t>
      </w:r>
    </w:p>
    <w:p w14:paraId="578637E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do so in the future as </w:t>
      </w:r>
      <w:proofErr w:type="gramStart"/>
      <w:r>
        <w:rPr>
          <w:rFonts w:ascii="TimesNewRomanPSMT" w:hAnsi="TimesNewRomanPSMT" w:cs="TimesNewRomanPSMT"/>
          <w:color w:val="000000"/>
          <w:sz w:val="24"/>
        </w:rPr>
        <w:t>necessary;</w:t>
      </w:r>
      <w:proofErr w:type="gramEnd"/>
    </w:p>
    <w:p w14:paraId="531AB26A"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23B7A2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5.5 We will also continue to monitor the net of costs investment returns achieved by LGIM</w:t>
      </w:r>
    </w:p>
    <w:p w14:paraId="7EC913D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and Newton to assess how they are performing against our needs, their rivals and</w:t>
      </w:r>
    </w:p>
    <w:p w14:paraId="030BD0E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suitable independent benchmarks. We reserve the right to replace the investment</w:t>
      </w:r>
    </w:p>
    <w:p w14:paraId="775978F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managers should we feel their net returns are not </w:t>
      </w:r>
      <w:proofErr w:type="gramStart"/>
      <w:r>
        <w:rPr>
          <w:rFonts w:ascii="TimesNewRomanPSMT" w:hAnsi="TimesNewRomanPSMT" w:cs="TimesNewRomanPSMT"/>
          <w:color w:val="000000"/>
          <w:sz w:val="24"/>
        </w:rPr>
        <w:t>acceptable;</w:t>
      </w:r>
      <w:proofErr w:type="gramEnd"/>
    </w:p>
    <w:p w14:paraId="3E81A5A5"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EBC91A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5.6 We are also aware the future impact of inflation on returns is an important consideration</w:t>
      </w:r>
    </w:p>
    <w:p w14:paraId="732D281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for our DB and DC membership (whether directly or indirectly).</w:t>
      </w:r>
    </w:p>
    <w:p w14:paraId="26679B1A"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FB5F674" w14:textId="77777777" w:rsidR="003340B4" w:rsidRPr="00830B97" w:rsidRDefault="003340B4" w:rsidP="003340B4">
      <w:pPr>
        <w:autoSpaceDE w:val="0"/>
        <w:autoSpaceDN w:val="0"/>
        <w:adjustRightInd w:val="0"/>
        <w:spacing w:after="0"/>
        <w:rPr>
          <w:rFonts w:ascii="TimesNewRomanPSMT" w:hAnsi="TimesNewRomanPSMT" w:cs="TimesNewRomanPSMT"/>
          <w:b/>
          <w:bCs/>
          <w:color w:val="000000"/>
          <w:sz w:val="24"/>
        </w:rPr>
      </w:pPr>
      <w:r>
        <w:rPr>
          <w:rFonts w:ascii="TimesNewRomanPSMT" w:hAnsi="TimesNewRomanPSMT" w:cs="TimesNewRomanPSMT"/>
          <w:color w:val="000000"/>
          <w:sz w:val="24"/>
        </w:rPr>
        <w:t xml:space="preserve">6 </w:t>
      </w:r>
      <w:r w:rsidRPr="00830B97">
        <w:rPr>
          <w:rFonts w:ascii="TimesNewRomanPSMT" w:hAnsi="TimesNewRomanPSMT" w:cs="TimesNewRomanPSMT"/>
          <w:b/>
          <w:bCs/>
          <w:color w:val="000000"/>
          <w:sz w:val="24"/>
        </w:rPr>
        <w:t>Investment Objectives and performance aims:</w:t>
      </w:r>
    </w:p>
    <w:p w14:paraId="32BCC151"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E511FF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 summary of investment objectives and performance aims of Newton and LGIM funds in which the Scheme is invested:</w:t>
      </w:r>
    </w:p>
    <w:p w14:paraId="5943EA8C"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D89CFF5" w14:textId="77777777" w:rsidR="003340B4" w:rsidRPr="00830B97" w:rsidRDefault="003340B4" w:rsidP="003340B4">
      <w:pPr>
        <w:autoSpaceDE w:val="0"/>
        <w:autoSpaceDN w:val="0"/>
        <w:adjustRightInd w:val="0"/>
        <w:spacing w:after="0"/>
        <w:rPr>
          <w:rFonts w:ascii="Times New Roman" w:hAnsi="Times New Roman"/>
          <w:sz w:val="24"/>
        </w:rPr>
      </w:pPr>
      <w:r w:rsidRPr="00830B97">
        <w:rPr>
          <w:rFonts w:ascii="Times New Roman" w:hAnsi="Times New Roman"/>
          <w:sz w:val="24"/>
        </w:rPr>
        <w:t>6.</w:t>
      </w:r>
      <w:r>
        <w:rPr>
          <w:rFonts w:ascii="Times New Roman" w:hAnsi="Times New Roman"/>
          <w:sz w:val="24"/>
        </w:rPr>
        <w:t xml:space="preserve">1  </w:t>
      </w:r>
      <w:r w:rsidRPr="00830B97">
        <w:rPr>
          <w:rFonts w:ascii="Times New Roman" w:hAnsi="Times New Roman"/>
          <w:b/>
          <w:bCs/>
          <w:sz w:val="24"/>
        </w:rPr>
        <w:t>BNY Mellon UK Income Fund</w:t>
      </w:r>
    </w:p>
    <w:p w14:paraId="4AFBAE57" w14:textId="77777777" w:rsidR="003340B4" w:rsidRPr="00830B97" w:rsidRDefault="003340B4" w:rsidP="003340B4">
      <w:pPr>
        <w:pStyle w:val="PlainText"/>
        <w:rPr>
          <w:rFonts w:ascii="Times New Roman" w:hAnsi="Times New Roman" w:cs="Times New Roman"/>
          <w:b/>
          <w:bCs/>
          <w:sz w:val="24"/>
          <w:szCs w:val="24"/>
        </w:rPr>
      </w:pPr>
    </w:p>
    <w:p w14:paraId="345C0C42"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4A4F12D9"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income over an annual period together with capital growth over the long term (5 years or more). The Fund is actively managed and invests at least 70% of the portfolio in UK equities (company shares), including ordinary shares, preference shares and other equity-related securities. UK companies are defined as those that are either domiciled, incorporated or which have significant business in the UK.</w:t>
      </w:r>
    </w:p>
    <w:p w14:paraId="5692E4A0" w14:textId="77777777" w:rsidR="003340B4" w:rsidRPr="00830B97" w:rsidRDefault="003340B4" w:rsidP="003340B4">
      <w:pPr>
        <w:pStyle w:val="PlainText"/>
        <w:rPr>
          <w:rFonts w:ascii="Times New Roman" w:hAnsi="Times New Roman" w:cs="Times New Roman"/>
          <w:sz w:val="24"/>
          <w:szCs w:val="24"/>
        </w:rPr>
      </w:pPr>
    </w:p>
    <w:p w14:paraId="5C59A723"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766DE1D2"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 xml:space="preserve">To outperform the FTSE All-Share Index by over 2% p.a. over rolling </w:t>
      </w:r>
      <w:proofErr w:type="gramStart"/>
      <w:r w:rsidRPr="00830B97">
        <w:rPr>
          <w:rFonts w:ascii="Times New Roman" w:hAnsi="Times New Roman" w:cs="Times New Roman"/>
          <w:sz w:val="24"/>
          <w:szCs w:val="24"/>
        </w:rPr>
        <w:t>five year</w:t>
      </w:r>
      <w:proofErr w:type="gramEnd"/>
      <w:r w:rsidRPr="00830B97">
        <w:rPr>
          <w:rFonts w:ascii="Times New Roman" w:hAnsi="Times New Roman" w:cs="Times New Roman"/>
          <w:sz w:val="24"/>
          <w:szCs w:val="24"/>
        </w:rPr>
        <w:t xml:space="preserve"> periods.</w:t>
      </w:r>
    </w:p>
    <w:p w14:paraId="707D3C02" w14:textId="77777777" w:rsidR="003340B4" w:rsidRPr="00830B97" w:rsidRDefault="003340B4" w:rsidP="003340B4">
      <w:pPr>
        <w:pStyle w:val="PlainText"/>
        <w:rPr>
          <w:rFonts w:ascii="Times New Roman" w:hAnsi="Times New Roman" w:cs="Times New Roman"/>
          <w:b/>
          <w:bCs/>
          <w:sz w:val="24"/>
          <w:szCs w:val="24"/>
        </w:rPr>
      </w:pPr>
    </w:p>
    <w:p w14:paraId="0F740959" w14:textId="77777777" w:rsidR="003340B4" w:rsidRPr="00830B97" w:rsidRDefault="003340B4" w:rsidP="003340B4">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 xml:space="preserve">6.2  </w:t>
      </w:r>
      <w:r w:rsidRPr="00830B97">
        <w:rPr>
          <w:rFonts w:ascii="Times New Roman" w:hAnsi="Times New Roman" w:cs="Times New Roman"/>
          <w:b/>
          <w:bCs/>
          <w:sz w:val="24"/>
          <w:szCs w:val="24"/>
        </w:rPr>
        <w:t>BNY Mellon Multi Asset Global Balanced</w:t>
      </w:r>
    </w:p>
    <w:p w14:paraId="71974F1B" w14:textId="77777777" w:rsidR="003340B4" w:rsidRPr="00830B97" w:rsidRDefault="003340B4" w:rsidP="003340B4">
      <w:pPr>
        <w:pStyle w:val="PlainText"/>
        <w:rPr>
          <w:rFonts w:ascii="Times New Roman" w:hAnsi="Times New Roman" w:cs="Times New Roman"/>
          <w:b/>
          <w:bCs/>
          <w:sz w:val="24"/>
          <w:szCs w:val="24"/>
        </w:rPr>
      </w:pPr>
    </w:p>
    <w:p w14:paraId="54C2AC5A"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4B5AE81D"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a balance between income and capital growth over the long term (5 years or more). The Fund is actively managed and invests at least 75% of the portfolio across a range of global asset classes including, without limitation, equities (company shares), fixed income (bonds), infrastructure, renewable energy, property, commodities and near cash. The Fund does not have any restrictions on the portion of the portfolio allocated to any of these asset classes.</w:t>
      </w:r>
    </w:p>
    <w:p w14:paraId="79877E31" w14:textId="77777777" w:rsidR="003340B4" w:rsidRPr="00830B97" w:rsidRDefault="003340B4" w:rsidP="003340B4">
      <w:pPr>
        <w:pStyle w:val="PlainText"/>
        <w:rPr>
          <w:rFonts w:ascii="Times New Roman" w:hAnsi="Times New Roman" w:cs="Times New Roman"/>
          <w:sz w:val="24"/>
          <w:szCs w:val="24"/>
        </w:rPr>
      </w:pPr>
    </w:p>
    <w:p w14:paraId="5E011FF3"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6C339ABF"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 xml:space="preserve">To outperform the comparative index by 1% to 2% per annum over rolling </w:t>
      </w:r>
      <w:proofErr w:type="gramStart"/>
      <w:r w:rsidRPr="00830B97">
        <w:rPr>
          <w:rFonts w:ascii="Times New Roman" w:hAnsi="Times New Roman" w:cs="Times New Roman"/>
          <w:sz w:val="24"/>
          <w:szCs w:val="24"/>
        </w:rPr>
        <w:t>five year</w:t>
      </w:r>
      <w:proofErr w:type="gramEnd"/>
      <w:r w:rsidRPr="00830B97">
        <w:rPr>
          <w:rFonts w:ascii="Times New Roman" w:hAnsi="Times New Roman" w:cs="Times New Roman"/>
          <w:sz w:val="24"/>
          <w:szCs w:val="24"/>
        </w:rPr>
        <w:t xml:space="preserve"> periods.</w:t>
      </w:r>
    </w:p>
    <w:p w14:paraId="12C479B1" w14:textId="77777777" w:rsidR="003340B4" w:rsidRPr="00830B97" w:rsidRDefault="003340B4" w:rsidP="003340B4">
      <w:pPr>
        <w:pStyle w:val="PlainText"/>
        <w:rPr>
          <w:rFonts w:ascii="Times New Roman" w:hAnsi="Times New Roman" w:cs="Times New Roman"/>
          <w:b/>
          <w:bCs/>
          <w:sz w:val="24"/>
          <w:szCs w:val="24"/>
        </w:rPr>
      </w:pPr>
    </w:p>
    <w:p w14:paraId="167D28C9" w14:textId="77777777" w:rsidR="003340B4" w:rsidRPr="00830B97" w:rsidRDefault="003340B4" w:rsidP="003340B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6.3  </w:t>
      </w:r>
      <w:r w:rsidRPr="00830B97">
        <w:rPr>
          <w:rFonts w:ascii="Times New Roman" w:hAnsi="Times New Roman" w:cs="Times New Roman"/>
          <w:b/>
          <w:bCs/>
          <w:sz w:val="24"/>
          <w:szCs w:val="24"/>
        </w:rPr>
        <w:t>BNY Mellon Long Gilt Fund</w:t>
      </w:r>
    </w:p>
    <w:p w14:paraId="5A92644F" w14:textId="77777777" w:rsidR="003340B4" w:rsidRPr="00830B97" w:rsidRDefault="003340B4" w:rsidP="003340B4">
      <w:pPr>
        <w:pStyle w:val="PlainText"/>
        <w:rPr>
          <w:rFonts w:ascii="Times New Roman" w:hAnsi="Times New Roman" w:cs="Times New Roman"/>
          <w:b/>
          <w:bCs/>
          <w:sz w:val="24"/>
          <w:szCs w:val="24"/>
        </w:rPr>
      </w:pPr>
    </w:p>
    <w:p w14:paraId="3D1F1ADE"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6D568D43"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income together with the potential for capital growth over the medium term (3-5 years). The Fund is actively managed and invests in fixed income securities (bonds) issued or guaranteed by the UK Government or the Governments of foreign countries or corporate bodies.</w:t>
      </w:r>
    </w:p>
    <w:p w14:paraId="2C7642A5" w14:textId="77777777" w:rsidR="003340B4" w:rsidRPr="00830B97" w:rsidRDefault="003340B4" w:rsidP="003340B4">
      <w:pPr>
        <w:pStyle w:val="PlainText"/>
        <w:rPr>
          <w:rFonts w:ascii="Times New Roman" w:hAnsi="Times New Roman" w:cs="Times New Roman"/>
          <w:sz w:val="24"/>
          <w:szCs w:val="24"/>
        </w:rPr>
      </w:pPr>
    </w:p>
    <w:p w14:paraId="4FE77ECB"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7EF81D31"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 xml:space="preserve">To marginally outperform the FTSE Actuaries Government Securities (over 15 Years) Index over rolling </w:t>
      </w:r>
      <w:proofErr w:type="gramStart"/>
      <w:r w:rsidRPr="00830B97">
        <w:rPr>
          <w:rFonts w:ascii="Times New Roman" w:hAnsi="Times New Roman" w:cs="Times New Roman"/>
          <w:sz w:val="24"/>
          <w:szCs w:val="24"/>
        </w:rPr>
        <w:t>five year</w:t>
      </w:r>
      <w:proofErr w:type="gramEnd"/>
      <w:r w:rsidRPr="00830B97">
        <w:rPr>
          <w:rFonts w:ascii="Times New Roman" w:hAnsi="Times New Roman" w:cs="Times New Roman"/>
          <w:sz w:val="24"/>
          <w:szCs w:val="24"/>
        </w:rPr>
        <w:t xml:space="preserve"> periods.</w:t>
      </w:r>
    </w:p>
    <w:p w14:paraId="0F84CCC7" w14:textId="77777777" w:rsidR="003340B4" w:rsidRPr="00830B97" w:rsidRDefault="003340B4" w:rsidP="003340B4">
      <w:pPr>
        <w:pStyle w:val="PlainText"/>
        <w:rPr>
          <w:rFonts w:ascii="Times New Roman" w:hAnsi="Times New Roman" w:cs="Times New Roman"/>
          <w:b/>
          <w:bCs/>
          <w:sz w:val="24"/>
          <w:szCs w:val="24"/>
        </w:rPr>
      </w:pPr>
    </w:p>
    <w:p w14:paraId="74B09806" w14:textId="77777777" w:rsidR="003340B4" w:rsidRPr="00830B97" w:rsidRDefault="003340B4" w:rsidP="003340B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6.4  </w:t>
      </w:r>
      <w:r w:rsidRPr="00830B97">
        <w:rPr>
          <w:rFonts w:ascii="Times New Roman" w:hAnsi="Times New Roman" w:cs="Times New Roman"/>
          <w:b/>
          <w:bCs/>
          <w:sz w:val="24"/>
          <w:szCs w:val="24"/>
        </w:rPr>
        <w:t>BNY Mellon Long Corporate Bond Fund</w:t>
      </w:r>
    </w:p>
    <w:p w14:paraId="35C5250D" w14:textId="77777777" w:rsidR="003340B4" w:rsidRPr="00830B97" w:rsidRDefault="003340B4" w:rsidP="003340B4">
      <w:pPr>
        <w:pStyle w:val="PlainText"/>
        <w:rPr>
          <w:rFonts w:ascii="Times New Roman" w:hAnsi="Times New Roman" w:cs="Times New Roman"/>
          <w:sz w:val="24"/>
          <w:szCs w:val="24"/>
        </w:rPr>
      </w:pPr>
    </w:p>
    <w:p w14:paraId="672B3BC3"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00A09218"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income together with the potential for capital growth over the medium term (3-5 years). The Fund is actively managed and invests at least 75% in sterling-denominated fixed income securities (bonds) with long maturities issued by entities other than the UK government (gilts).</w:t>
      </w:r>
    </w:p>
    <w:p w14:paraId="2B114590" w14:textId="77777777" w:rsidR="003340B4" w:rsidRPr="00830B97" w:rsidRDefault="003340B4" w:rsidP="003340B4">
      <w:pPr>
        <w:pStyle w:val="PlainText"/>
        <w:rPr>
          <w:rFonts w:ascii="Times New Roman" w:hAnsi="Times New Roman" w:cs="Times New Roman"/>
          <w:sz w:val="24"/>
          <w:szCs w:val="24"/>
        </w:rPr>
      </w:pPr>
    </w:p>
    <w:p w14:paraId="50A66A8C"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1B525BE9"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 xml:space="preserve">To outperform the Bank </w:t>
      </w:r>
      <w:proofErr w:type="gramStart"/>
      <w:r w:rsidRPr="00830B97">
        <w:rPr>
          <w:rFonts w:ascii="Times New Roman" w:hAnsi="Times New Roman" w:cs="Times New Roman"/>
          <w:sz w:val="24"/>
          <w:szCs w:val="24"/>
        </w:rPr>
        <w:t>Of</w:t>
      </w:r>
      <w:proofErr w:type="gramEnd"/>
      <w:r w:rsidRPr="00830B97">
        <w:rPr>
          <w:rFonts w:ascii="Times New Roman" w:hAnsi="Times New Roman" w:cs="Times New Roman"/>
          <w:sz w:val="24"/>
          <w:szCs w:val="24"/>
        </w:rPr>
        <w:t xml:space="preserve"> America Merrill Lynch Over 10 Years Investment Grade Index by up to 1% p.a. over rolling five year periods.</w:t>
      </w:r>
    </w:p>
    <w:p w14:paraId="419CA9C0" w14:textId="77777777" w:rsidR="003340B4" w:rsidRPr="00830B97" w:rsidRDefault="003340B4" w:rsidP="003340B4">
      <w:pPr>
        <w:pStyle w:val="PlainText"/>
        <w:rPr>
          <w:rFonts w:ascii="Times New Roman" w:hAnsi="Times New Roman" w:cs="Times New Roman"/>
          <w:sz w:val="24"/>
          <w:szCs w:val="24"/>
        </w:rPr>
      </w:pPr>
    </w:p>
    <w:p w14:paraId="3228F5C1" w14:textId="77777777" w:rsidR="003340B4" w:rsidRPr="00830B97" w:rsidRDefault="003340B4" w:rsidP="003340B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6.5  </w:t>
      </w:r>
      <w:r w:rsidRPr="00830B97">
        <w:rPr>
          <w:rFonts w:ascii="Times New Roman" w:hAnsi="Times New Roman" w:cs="Times New Roman"/>
          <w:b/>
          <w:bCs/>
          <w:sz w:val="24"/>
          <w:szCs w:val="24"/>
        </w:rPr>
        <w:t>BNY Mellon Continental European Fund</w:t>
      </w:r>
    </w:p>
    <w:p w14:paraId="6868C022" w14:textId="77777777" w:rsidR="003340B4" w:rsidRPr="00830B97" w:rsidRDefault="003340B4" w:rsidP="003340B4">
      <w:pPr>
        <w:pStyle w:val="PlainText"/>
        <w:rPr>
          <w:rFonts w:ascii="Times New Roman" w:hAnsi="Times New Roman" w:cs="Times New Roman"/>
          <w:sz w:val="24"/>
          <w:szCs w:val="24"/>
        </w:rPr>
      </w:pPr>
    </w:p>
    <w:p w14:paraId="159FBC16"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2BFF4267"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capital growth over the long term (5 years or more). The Fund is actively managed and invests at least 75% of the portfolio in equities (company shares) of issuers domiciled, incorporated or with significant business in Continental Europe (excluding the UK), including ordinary shares, preference shares and other equity-related securities.</w:t>
      </w:r>
    </w:p>
    <w:p w14:paraId="7AA33BE9" w14:textId="77777777" w:rsidR="003340B4" w:rsidRPr="00830B97" w:rsidRDefault="003340B4" w:rsidP="003340B4">
      <w:pPr>
        <w:pStyle w:val="PlainText"/>
        <w:rPr>
          <w:rFonts w:ascii="Times New Roman" w:hAnsi="Times New Roman" w:cs="Times New Roman"/>
          <w:sz w:val="24"/>
          <w:szCs w:val="24"/>
        </w:rPr>
      </w:pPr>
    </w:p>
    <w:p w14:paraId="633E5952"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69F58C68"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lastRenderedPageBreak/>
        <w:t xml:space="preserve">To outperform the FTSE World Europe (ex UK) Index by over 2% p.a. over rolling </w:t>
      </w:r>
      <w:proofErr w:type="gramStart"/>
      <w:r w:rsidRPr="00830B97">
        <w:rPr>
          <w:rFonts w:ascii="Times New Roman" w:hAnsi="Times New Roman" w:cs="Times New Roman"/>
          <w:sz w:val="24"/>
          <w:szCs w:val="24"/>
        </w:rPr>
        <w:t>five year</w:t>
      </w:r>
      <w:proofErr w:type="gramEnd"/>
      <w:r w:rsidRPr="00830B97">
        <w:rPr>
          <w:rFonts w:ascii="Times New Roman" w:hAnsi="Times New Roman" w:cs="Times New Roman"/>
          <w:sz w:val="24"/>
          <w:szCs w:val="24"/>
        </w:rPr>
        <w:t xml:space="preserve"> periods.</w:t>
      </w:r>
    </w:p>
    <w:p w14:paraId="0C186806" w14:textId="77777777" w:rsidR="003340B4" w:rsidRPr="00830B97" w:rsidRDefault="003340B4" w:rsidP="003340B4">
      <w:pPr>
        <w:pStyle w:val="PlainText"/>
        <w:rPr>
          <w:rFonts w:ascii="Times New Roman" w:hAnsi="Times New Roman" w:cs="Times New Roman"/>
          <w:sz w:val="24"/>
          <w:szCs w:val="24"/>
        </w:rPr>
      </w:pPr>
    </w:p>
    <w:p w14:paraId="1F5B536C" w14:textId="77777777" w:rsidR="003340B4" w:rsidRPr="00830B97" w:rsidRDefault="003340B4" w:rsidP="003340B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6.6  </w:t>
      </w:r>
      <w:r w:rsidRPr="00830B97">
        <w:rPr>
          <w:rFonts w:ascii="Times New Roman" w:hAnsi="Times New Roman" w:cs="Times New Roman"/>
          <w:b/>
          <w:bCs/>
          <w:sz w:val="24"/>
          <w:szCs w:val="24"/>
        </w:rPr>
        <w:t>BNY Mellon UK Equity Fund</w:t>
      </w:r>
    </w:p>
    <w:p w14:paraId="0D9C1447" w14:textId="77777777" w:rsidR="003340B4" w:rsidRPr="00830B97" w:rsidRDefault="003340B4" w:rsidP="003340B4">
      <w:pPr>
        <w:pStyle w:val="PlainText"/>
        <w:rPr>
          <w:rFonts w:ascii="Times New Roman" w:hAnsi="Times New Roman" w:cs="Times New Roman"/>
          <w:b/>
          <w:bCs/>
          <w:sz w:val="24"/>
          <w:szCs w:val="24"/>
        </w:rPr>
      </w:pPr>
    </w:p>
    <w:p w14:paraId="37C2AA8E"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4215DD5B"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capital growth and income over the long term (5 years or more). The Fund is actively managed and invests at least 70% of the portfolio in UK equities (company shares), including ordinary shares, preference shares and other equity-related securities. UK companies are defined as those that are either domiciled, incorporated or which have significant business in the UK.</w:t>
      </w:r>
    </w:p>
    <w:p w14:paraId="5BD9C8BE" w14:textId="77777777" w:rsidR="003340B4" w:rsidRPr="00830B97" w:rsidRDefault="003340B4" w:rsidP="003340B4">
      <w:pPr>
        <w:pStyle w:val="PlainText"/>
        <w:rPr>
          <w:rFonts w:ascii="Times New Roman" w:hAnsi="Times New Roman" w:cs="Times New Roman"/>
          <w:sz w:val="24"/>
          <w:szCs w:val="24"/>
        </w:rPr>
      </w:pPr>
    </w:p>
    <w:p w14:paraId="4CF71550"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3DF9744E"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 xml:space="preserve">To outperform the FTSE All-Share Index by over 2% p.a. over rolling </w:t>
      </w:r>
      <w:proofErr w:type="gramStart"/>
      <w:r w:rsidRPr="00830B97">
        <w:rPr>
          <w:rFonts w:ascii="Times New Roman" w:hAnsi="Times New Roman" w:cs="Times New Roman"/>
          <w:sz w:val="24"/>
          <w:szCs w:val="24"/>
        </w:rPr>
        <w:t>five year</w:t>
      </w:r>
      <w:proofErr w:type="gramEnd"/>
      <w:r w:rsidRPr="00830B97">
        <w:rPr>
          <w:rFonts w:ascii="Times New Roman" w:hAnsi="Times New Roman" w:cs="Times New Roman"/>
          <w:sz w:val="24"/>
          <w:szCs w:val="24"/>
        </w:rPr>
        <w:t xml:space="preserve"> periods.</w:t>
      </w:r>
    </w:p>
    <w:p w14:paraId="25EFB0CD" w14:textId="77777777" w:rsidR="003340B4" w:rsidRPr="00830B97" w:rsidRDefault="003340B4" w:rsidP="003340B4">
      <w:pPr>
        <w:pStyle w:val="PlainText"/>
        <w:rPr>
          <w:rFonts w:ascii="Times New Roman" w:hAnsi="Times New Roman" w:cs="Times New Roman"/>
          <w:b/>
          <w:bCs/>
          <w:sz w:val="24"/>
          <w:szCs w:val="24"/>
        </w:rPr>
      </w:pPr>
    </w:p>
    <w:p w14:paraId="775E617D" w14:textId="77777777" w:rsidR="003340B4" w:rsidRPr="00830B97" w:rsidRDefault="003340B4" w:rsidP="003340B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6.7  </w:t>
      </w:r>
      <w:r w:rsidRPr="00830B97">
        <w:rPr>
          <w:rFonts w:ascii="Times New Roman" w:hAnsi="Times New Roman" w:cs="Times New Roman"/>
          <w:b/>
          <w:bCs/>
          <w:sz w:val="24"/>
          <w:szCs w:val="24"/>
        </w:rPr>
        <w:t>BNY Mellon Oriental Fund</w:t>
      </w:r>
    </w:p>
    <w:p w14:paraId="7ACF0160" w14:textId="77777777" w:rsidR="003340B4" w:rsidRPr="00830B97" w:rsidRDefault="003340B4" w:rsidP="003340B4">
      <w:pPr>
        <w:pStyle w:val="PlainText"/>
        <w:rPr>
          <w:rFonts w:ascii="Times New Roman" w:hAnsi="Times New Roman" w:cs="Times New Roman"/>
          <w:sz w:val="24"/>
          <w:szCs w:val="24"/>
        </w:rPr>
      </w:pPr>
    </w:p>
    <w:p w14:paraId="7274C193"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04330E6E"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The Fund aims to achieve capital growth over the long term (5 years or more). The Fund is actively managed and invests at least 75% of the portfolio in equities (company shares) of issuers domiciled, incorporated or with significant business in Asian and Pacific markets (including Australia and New Zealand but excluding Japan), including ordinary shares, preference shares and other equity-related securities.</w:t>
      </w:r>
    </w:p>
    <w:p w14:paraId="35BD4656" w14:textId="77777777" w:rsidR="003340B4" w:rsidRPr="00830B97" w:rsidRDefault="003340B4" w:rsidP="003340B4">
      <w:pPr>
        <w:pStyle w:val="PlainText"/>
        <w:rPr>
          <w:rFonts w:ascii="Times New Roman" w:hAnsi="Times New Roman" w:cs="Times New Roman"/>
          <w:sz w:val="24"/>
          <w:szCs w:val="24"/>
        </w:rPr>
      </w:pPr>
    </w:p>
    <w:p w14:paraId="394029CF"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6D90B87F" w14:textId="77777777" w:rsidR="003340B4"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To outperform the FTSE-AW Asia Pacific (</w:t>
      </w:r>
      <w:proofErr w:type="spellStart"/>
      <w:r w:rsidRPr="00830B97">
        <w:rPr>
          <w:rFonts w:ascii="Times New Roman" w:hAnsi="Times New Roman" w:cs="Times New Roman"/>
          <w:sz w:val="24"/>
          <w:szCs w:val="24"/>
        </w:rPr>
        <w:t>ex Japan</w:t>
      </w:r>
      <w:proofErr w:type="spellEnd"/>
      <w:r w:rsidRPr="00830B97">
        <w:rPr>
          <w:rFonts w:ascii="Times New Roman" w:hAnsi="Times New Roman" w:cs="Times New Roman"/>
          <w:sz w:val="24"/>
          <w:szCs w:val="24"/>
        </w:rPr>
        <w:t xml:space="preserve">) Index by over 2% p.a. over rolling </w:t>
      </w:r>
      <w:proofErr w:type="gramStart"/>
      <w:r w:rsidRPr="00830B97">
        <w:rPr>
          <w:rFonts w:ascii="Times New Roman" w:hAnsi="Times New Roman" w:cs="Times New Roman"/>
          <w:sz w:val="24"/>
          <w:szCs w:val="24"/>
        </w:rPr>
        <w:t>five year</w:t>
      </w:r>
      <w:proofErr w:type="gramEnd"/>
      <w:r w:rsidRPr="00830B97">
        <w:rPr>
          <w:rFonts w:ascii="Times New Roman" w:hAnsi="Times New Roman" w:cs="Times New Roman"/>
          <w:sz w:val="24"/>
          <w:szCs w:val="24"/>
        </w:rPr>
        <w:t xml:space="preserve"> periods.</w:t>
      </w:r>
    </w:p>
    <w:p w14:paraId="6402D938" w14:textId="77777777" w:rsidR="003340B4" w:rsidRDefault="003340B4" w:rsidP="003340B4">
      <w:pPr>
        <w:pStyle w:val="PlainText"/>
        <w:rPr>
          <w:rFonts w:ascii="Times New Roman" w:hAnsi="Times New Roman" w:cs="Times New Roman"/>
          <w:sz w:val="24"/>
          <w:szCs w:val="24"/>
        </w:rPr>
      </w:pPr>
    </w:p>
    <w:p w14:paraId="5C542790" w14:textId="77777777" w:rsidR="003340B4" w:rsidRPr="00AA02DA" w:rsidRDefault="003340B4" w:rsidP="003340B4">
      <w:pPr>
        <w:pStyle w:val="PlainText"/>
        <w:rPr>
          <w:rFonts w:ascii="Times New Roman" w:hAnsi="Times New Roman" w:cs="Times New Roman"/>
          <w:b/>
          <w:bCs/>
          <w:sz w:val="24"/>
          <w:szCs w:val="24"/>
        </w:rPr>
      </w:pPr>
      <w:r w:rsidRPr="00AA02DA">
        <w:rPr>
          <w:rFonts w:ascii="Times New Roman" w:hAnsi="Times New Roman" w:cs="Times New Roman"/>
          <w:b/>
          <w:bCs/>
          <w:sz w:val="24"/>
          <w:szCs w:val="24"/>
        </w:rPr>
        <w:t>6.8  LGIM Japan Equity Index Fund</w:t>
      </w:r>
    </w:p>
    <w:p w14:paraId="237EA092" w14:textId="77777777" w:rsidR="003340B4" w:rsidRDefault="003340B4" w:rsidP="003340B4">
      <w:pPr>
        <w:pStyle w:val="PlainText"/>
        <w:rPr>
          <w:rFonts w:ascii="Times New Roman" w:hAnsi="Times New Roman" w:cs="Times New Roman"/>
          <w:sz w:val="24"/>
          <w:szCs w:val="24"/>
        </w:rPr>
      </w:pPr>
    </w:p>
    <w:p w14:paraId="4BE2D209"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INVESTMENT OBJECTIVE</w:t>
      </w:r>
    </w:p>
    <w:p w14:paraId="57A08AAB" w14:textId="77777777" w:rsidR="003340B4" w:rsidRDefault="003340B4" w:rsidP="003340B4">
      <w:pPr>
        <w:pStyle w:val="PlainText"/>
        <w:rPr>
          <w:rFonts w:ascii="Times New Roman" w:hAnsi="Times New Roman" w:cs="Times New Roman"/>
          <w:sz w:val="24"/>
          <w:szCs w:val="24"/>
        </w:rPr>
      </w:pPr>
      <w:r>
        <w:rPr>
          <w:rFonts w:ascii="Times New Roman" w:hAnsi="Times New Roman" w:cs="Times New Roman"/>
          <w:sz w:val="24"/>
          <w:szCs w:val="24"/>
        </w:rPr>
        <w:t>The fund employs an index tracking strategy, aiming to replicate the performance of its benchmark.  A pragmatic approach is taken to managing index funds, investing directly in the securities of that index, or indirectly through other LGIM funds.  The fund may also hold index and single stock futures for efficient portfolio management.</w:t>
      </w:r>
    </w:p>
    <w:p w14:paraId="44F4B570" w14:textId="77777777" w:rsidR="003340B4" w:rsidRDefault="003340B4" w:rsidP="003340B4">
      <w:pPr>
        <w:pStyle w:val="PlainText"/>
        <w:rPr>
          <w:rFonts w:ascii="Times New Roman" w:hAnsi="Times New Roman" w:cs="Times New Roman"/>
          <w:sz w:val="24"/>
          <w:szCs w:val="24"/>
        </w:rPr>
      </w:pPr>
    </w:p>
    <w:p w14:paraId="7AE15211" w14:textId="77777777" w:rsidR="003340B4" w:rsidRPr="00830B97" w:rsidRDefault="003340B4" w:rsidP="003340B4">
      <w:pPr>
        <w:pStyle w:val="PlainText"/>
        <w:rPr>
          <w:rFonts w:ascii="Times New Roman" w:hAnsi="Times New Roman" w:cs="Times New Roman"/>
          <w:sz w:val="24"/>
          <w:szCs w:val="24"/>
        </w:rPr>
      </w:pPr>
      <w:r w:rsidRPr="00830B97">
        <w:rPr>
          <w:rFonts w:ascii="Times New Roman" w:hAnsi="Times New Roman" w:cs="Times New Roman"/>
          <w:sz w:val="24"/>
          <w:szCs w:val="24"/>
        </w:rPr>
        <w:t>PERFORMANCE AIM</w:t>
      </w:r>
    </w:p>
    <w:p w14:paraId="311641D9" w14:textId="77777777" w:rsidR="003340B4" w:rsidRPr="00830B97" w:rsidRDefault="003340B4" w:rsidP="003340B4">
      <w:pPr>
        <w:pStyle w:val="PlainText"/>
        <w:rPr>
          <w:rFonts w:ascii="Times New Roman" w:hAnsi="Times New Roman" w:cs="Times New Roman"/>
          <w:sz w:val="24"/>
          <w:szCs w:val="24"/>
        </w:rPr>
      </w:pPr>
      <w:r>
        <w:rPr>
          <w:rFonts w:ascii="Times New Roman" w:hAnsi="Times New Roman" w:cs="Times New Roman"/>
          <w:sz w:val="24"/>
          <w:szCs w:val="24"/>
        </w:rPr>
        <w:t>The investment object of the fund is to track the performance of the FTSE Japan Index (les withholding tax where applicable) to within +/-0.5% p.a. for two years out of three.</w:t>
      </w:r>
    </w:p>
    <w:p w14:paraId="3DE8FC6C" w14:textId="77777777" w:rsidR="003340B4" w:rsidRDefault="003340B4" w:rsidP="003340B4">
      <w:pPr>
        <w:pStyle w:val="PlainText"/>
      </w:pPr>
    </w:p>
    <w:p w14:paraId="2E2885DD"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6.9  LGIM North America Equity Index Fund</w:t>
      </w:r>
    </w:p>
    <w:p w14:paraId="63A445D3"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3017A7FD"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INVESTMENT OBJECTIVE</w:t>
      </w:r>
    </w:p>
    <w:p w14:paraId="169463D0" w14:textId="77777777" w:rsidR="003340B4" w:rsidRPr="00616429" w:rsidRDefault="003340B4" w:rsidP="003340B4">
      <w:pPr>
        <w:autoSpaceDE w:val="0"/>
        <w:autoSpaceDN w:val="0"/>
        <w:adjustRightInd w:val="0"/>
        <w:spacing w:after="0"/>
        <w:rPr>
          <w:rFonts w:ascii="Times New Roman" w:hAnsi="Times New Roman"/>
          <w:sz w:val="24"/>
        </w:rPr>
      </w:pPr>
      <w:r w:rsidRPr="00616429">
        <w:rPr>
          <w:rFonts w:ascii="TimesNewRomanPSMT" w:hAnsi="TimesNewRomanPSMT" w:cs="TimesNewRomanPSMT"/>
          <w:sz w:val="24"/>
        </w:rPr>
        <w:t xml:space="preserve">The fund employs an index tracking strategy, aiming to replicate the performance of its benchmark.  A pragmatic approach is taken to managing index funds, either investing directly in the securities of that index, or indirectly through other LGIM funds.  </w:t>
      </w:r>
      <w:r w:rsidRPr="00616429">
        <w:rPr>
          <w:rFonts w:ascii="Times New Roman" w:hAnsi="Times New Roman"/>
          <w:sz w:val="24"/>
        </w:rPr>
        <w:t>The fund may also hold index and single stock futures for efficient portfolio management.</w:t>
      </w:r>
    </w:p>
    <w:p w14:paraId="55C5E04D" w14:textId="77777777" w:rsidR="003340B4" w:rsidRPr="00616429" w:rsidRDefault="003340B4" w:rsidP="003340B4">
      <w:pPr>
        <w:autoSpaceDE w:val="0"/>
        <w:autoSpaceDN w:val="0"/>
        <w:adjustRightInd w:val="0"/>
        <w:spacing w:after="0"/>
        <w:rPr>
          <w:rFonts w:ascii="Times New Roman" w:hAnsi="Times New Roman"/>
          <w:sz w:val="24"/>
        </w:rPr>
      </w:pPr>
    </w:p>
    <w:p w14:paraId="233ADD97"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PERFORMANCE AIM</w:t>
      </w:r>
    </w:p>
    <w:p w14:paraId="2453A7C0" w14:textId="77777777" w:rsidR="003340B4" w:rsidRPr="00616429" w:rsidRDefault="003340B4" w:rsidP="003340B4">
      <w:pPr>
        <w:pStyle w:val="PlainText"/>
        <w:rPr>
          <w:rFonts w:ascii="Times New Roman" w:hAnsi="Times New Roman" w:cs="Times New Roman"/>
          <w:sz w:val="24"/>
          <w:szCs w:val="24"/>
        </w:rPr>
      </w:pPr>
      <w:r w:rsidRPr="00616429">
        <w:rPr>
          <w:rFonts w:ascii="TimesNewRomanPSMT" w:hAnsi="TimesNewRomanPSMT" w:cs="TimesNewRomanPSMT"/>
          <w:sz w:val="24"/>
          <w:szCs w:val="24"/>
        </w:rPr>
        <w:t xml:space="preserve">The investment objective of the fund is to track the performance of the FTSE North America Index (less withholding tax where applicable) to within </w:t>
      </w:r>
      <w:r w:rsidRPr="00616429">
        <w:rPr>
          <w:rFonts w:ascii="Times New Roman" w:hAnsi="Times New Roman" w:cs="Times New Roman"/>
          <w:sz w:val="24"/>
          <w:szCs w:val="24"/>
        </w:rPr>
        <w:t>+/-0.5% p.a. for two years out of three.</w:t>
      </w:r>
    </w:p>
    <w:p w14:paraId="38572593"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0249546B"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6.10  LGIM Europe (ex UK) Equity Index</w:t>
      </w:r>
    </w:p>
    <w:p w14:paraId="52384272"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5359E462"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INVESTMENT OBJECTIVE</w:t>
      </w:r>
    </w:p>
    <w:p w14:paraId="3A9B73B2"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Invests primarily in shares that make up the index, issued by medium to large companies from developed European countries, excluding the UK.  The Fund may also use derivatives.  Passively managed, aiming to replicate the performance of the index.</w:t>
      </w:r>
    </w:p>
    <w:p w14:paraId="78B2434F"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69CD311F"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PERFORMANCE AIM</w:t>
      </w:r>
    </w:p>
    <w:p w14:paraId="7FE2632D"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The Fund aims to track the performance of the European equity market, excluding the UK, as represented by the MSCI Europe Ex. UK Index (the “Index”).</w:t>
      </w:r>
    </w:p>
    <w:p w14:paraId="2B03AB49"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46CEE5C3"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6.11 LGIM Over 5y Index-Linked Gilts</w:t>
      </w:r>
    </w:p>
    <w:p w14:paraId="0A51464E"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6B02D75B"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INVESTMENT OBJECTIVE</w:t>
      </w:r>
    </w:p>
    <w:p w14:paraId="670CA0AA"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The fund employs an index tracking strategy, aiming to replicate the performance of its benchmark.  Investments are made directly in the securities of that index, or indirectly through other LGIM funds.</w:t>
      </w:r>
    </w:p>
    <w:p w14:paraId="6A7C7518"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PERFORMANCE AIM</w:t>
      </w:r>
    </w:p>
    <w:p w14:paraId="43A503AB"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 xml:space="preserve">The investment objective of the fund is to track the performance of the FTSE Actuaries UK Index-Linked Gilts Over 5 Years Index to within +/-0.25% </w:t>
      </w:r>
      <w:proofErr w:type="spellStart"/>
      <w:r w:rsidRPr="00616429">
        <w:rPr>
          <w:rFonts w:ascii="TimesNewRomanPSMT" w:hAnsi="TimesNewRomanPSMT" w:cs="TimesNewRomanPSMT"/>
          <w:sz w:val="24"/>
        </w:rPr>
        <w:t>pa</w:t>
      </w:r>
      <w:proofErr w:type="spellEnd"/>
      <w:r w:rsidRPr="00616429">
        <w:rPr>
          <w:rFonts w:ascii="TimesNewRomanPSMT" w:hAnsi="TimesNewRomanPSMT" w:cs="TimesNewRomanPSMT"/>
          <w:sz w:val="24"/>
        </w:rPr>
        <w:t xml:space="preserve"> for two years out of three.</w:t>
      </w:r>
    </w:p>
    <w:p w14:paraId="2C8A8AD1"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59FC49A4"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6.12  LGIM Active Corporate Bond – Over 10 Year Fund</w:t>
      </w:r>
    </w:p>
    <w:p w14:paraId="3EA210FD"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6A728FC7"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INVESTMENT OBJECTIVE</w:t>
      </w:r>
    </w:p>
    <w:p w14:paraId="4802A547"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 xml:space="preserve">The fund actively manages interest rate risk, </w:t>
      </w:r>
      <w:proofErr w:type="gramStart"/>
      <w:r w:rsidRPr="00616429">
        <w:rPr>
          <w:rFonts w:ascii="TimesNewRomanPSMT" w:hAnsi="TimesNewRomanPSMT" w:cs="TimesNewRomanPSMT"/>
          <w:sz w:val="24"/>
        </w:rPr>
        <w:t>and also</w:t>
      </w:r>
      <w:proofErr w:type="gramEnd"/>
      <w:r w:rsidRPr="00616429">
        <w:rPr>
          <w:rFonts w:ascii="TimesNewRomanPSMT" w:hAnsi="TimesNewRomanPSMT" w:cs="TimesNewRomanPSMT"/>
          <w:sz w:val="24"/>
        </w:rPr>
        <w:t xml:space="preserve"> seeks to out-perform the benchmark (Markit iBoxx £ Non-Gilts Over 10 Years Index) through active management of credit risk.  The fund has a duration of up to +/- 1 year relative to its benchmark and a tracking error range of up to 1.5% pa.  The fund primarily invests in corporate fixed interest securities denominated in sterling with credit ratings of BBB- (or equivalent) and above.  The fund can also hold an exposure to UK government bonds and cash.  </w:t>
      </w:r>
      <w:proofErr w:type="gramStart"/>
      <w:r w:rsidRPr="00616429">
        <w:rPr>
          <w:rFonts w:ascii="TimesNewRomanPSMT" w:hAnsi="TimesNewRomanPSMT" w:cs="TimesNewRomanPSMT"/>
          <w:sz w:val="24"/>
        </w:rPr>
        <w:t>In order to</w:t>
      </w:r>
      <w:proofErr w:type="gramEnd"/>
      <w:r w:rsidRPr="00616429">
        <w:rPr>
          <w:rFonts w:ascii="TimesNewRomanPSMT" w:hAnsi="TimesNewRomanPSMT" w:cs="TimesNewRomanPSMT"/>
          <w:sz w:val="24"/>
        </w:rPr>
        <w:t xml:space="preserve"> access greater investment opportunities, the fund is permitted to allocate a maximum of 20% of the portfolio to EUR and USD credit hedged back to sterling.  The fund </w:t>
      </w:r>
      <w:proofErr w:type="gramStart"/>
      <w:r w:rsidRPr="00616429">
        <w:rPr>
          <w:rFonts w:ascii="TimesNewRomanPSMT" w:hAnsi="TimesNewRomanPSMT" w:cs="TimesNewRomanPSMT"/>
          <w:sz w:val="24"/>
        </w:rPr>
        <w:t>has the ability to</w:t>
      </w:r>
      <w:proofErr w:type="gramEnd"/>
      <w:r w:rsidRPr="00616429">
        <w:rPr>
          <w:rFonts w:ascii="TimesNewRomanPSMT" w:hAnsi="TimesNewRomanPSMT" w:cs="TimesNewRomanPSMT"/>
          <w:sz w:val="24"/>
        </w:rPr>
        <w:t xml:space="preserve"> use derivatives for more efficient portfolio management (Available from 1 December 2008).</w:t>
      </w:r>
    </w:p>
    <w:p w14:paraId="288B626C"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064B839B"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PERFORMANCE AIM</w:t>
      </w:r>
    </w:p>
    <w:p w14:paraId="1A0497E5"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 xml:space="preserve">The fund aims to exceed the Markit iBoxx £ Non-Gilts Over 10 Years Index by 0.75% pa (before fees) over a </w:t>
      </w:r>
      <w:proofErr w:type="gramStart"/>
      <w:r w:rsidRPr="00616429">
        <w:rPr>
          <w:rFonts w:ascii="TimesNewRomanPSMT" w:hAnsi="TimesNewRomanPSMT" w:cs="TimesNewRomanPSMT"/>
          <w:sz w:val="24"/>
        </w:rPr>
        <w:t>three year</w:t>
      </w:r>
      <w:proofErr w:type="gramEnd"/>
      <w:r w:rsidRPr="00616429">
        <w:rPr>
          <w:rFonts w:ascii="TimesNewRomanPSMT" w:hAnsi="TimesNewRomanPSMT" w:cs="TimesNewRomanPSMT"/>
          <w:sz w:val="24"/>
        </w:rPr>
        <w:t xml:space="preserve"> rolling period.</w:t>
      </w:r>
    </w:p>
    <w:p w14:paraId="3D43E3B7"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7083ADCF"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6.13  LGIM Asia Pacific (</w:t>
      </w:r>
      <w:proofErr w:type="spellStart"/>
      <w:r w:rsidRPr="00616429">
        <w:rPr>
          <w:rFonts w:ascii="TimesNewRomanPSMT" w:hAnsi="TimesNewRomanPSMT" w:cs="TimesNewRomanPSMT"/>
          <w:sz w:val="24"/>
        </w:rPr>
        <w:t>ex Japan</w:t>
      </w:r>
      <w:proofErr w:type="spellEnd"/>
      <w:r w:rsidRPr="00616429">
        <w:rPr>
          <w:rFonts w:ascii="TimesNewRomanPSMT" w:hAnsi="TimesNewRomanPSMT" w:cs="TimesNewRomanPSMT"/>
          <w:sz w:val="24"/>
        </w:rPr>
        <w:t>) Developed Equity Index</w:t>
      </w:r>
    </w:p>
    <w:p w14:paraId="06AFBF3C"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1F481CF7"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INVESTMENT OBJECTIVE</w:t>
      </w:r>
    </w:p>
    <w:p w14:paraId="2C8C041A"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lastRenderedPageBreak/>
        <w:t>The fund employs an index tracking strategy, aiming to replicate the performance of its benchmark.  A pragmatic approach is taken to managing index funds, investing directly in the securities of that index, or indirectly through other LGIM funds.  The fund may also hold index and single stock futures for efficient portfolio management.</w:t>
      </w:r>
    </w:p>
    <w:p w14:paraId="12862128"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3EB2A87D"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PERFORMANCE AIM</w:t>
      </w:r>
    </w:p>
    <w:p w14:paraId="66F69CA6"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The investment object of the fund is to track the performance of the FTSE Developed Asia Pacific ex Japan Index (less withholding tax where applicable) to within +/-0.75% p.a. for two years out of three.</w:t>
      </w:r>
    </w:p>
    <w:p w14:paraId="1DE472F5" w14:textId="77777777" w:rsidR="003340B4" w:rsidRPr="00616429" w:rsidRDefault="003340B4" w:rsidP="003340B4">
      <w:pPr>
        <w:pStyle w:val="PlainText"/>
        <w:rPr>
          <w:rFonts w:ascii="Times New Roman" w:hAnsi="Times New Roman" w:cs="Times New Roman"/>
          <w:sz w:val="24"/>
          <w:szCs w:val="24"/>
        </w:rPr>
      </w:pPr>
    </w:p>
    <w:p w14:paraId="601AF4FF"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6.14  LGIM Index-Linked Gilts</w:t>
      </w:r>
    </w:p>
    <w:p w14:paraId="0535CC3B" w14:textId="77777777" w:rsidR="003340B4" w:rsidRPr="00616429" w:rsidRDefault="003340B4" w:rsidP="003340B4">
      <w:pPr>
        <w:pStyle w:val="PlainText"/>
        <w:rPr>
          <w:rFonts w:ascii="Times New Roman" w:hAnsi="Times New Roman" w:cs="Times New Roman"/>
          <w:sz w:val="24"/>
          <w:szCs w:val="24"/>
        </w:rPr>
      </w:pPr>
    </w:p>
    <w:p w14:paraId="7BE8B4FE"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FUND AIM</w:t>
      </w:r>
    </w:p>
    <w:p w14:paraId="29747201" w14:textId="77777777" w:rsidR="003340B4" w:rsidRPr="00616429" w:rsidRDefault="003340B4" w:rsidP="003340B4">
      <w:pPr>
        <w:pStyle w:val="PlainText"/>
        <w:rPr>
          <w:rFonts w:ascii="Times New Roman" w:hAnsi="Times New Roman" w:cs="Times New Roman"/>
          <w:sz w:val="24"/>
          <w:szCs w:val="24"/>
        </w:rPr>
      </w:pPr>
      <w:r w:rsidRPr="00616429">
        <w:rPr>
          <w:rFonts w:ascii="Times New Roman" w:hAnsi="Times New Roman" w:cs="Times New Roman"/>
          <w:sz w:val="24"/>
          <w:szCs w:val="24"/>
        </w:rPr>
        <w:t>To maximise returns by investing mainly in index-linked securities issued predominantly by the UK Government.</w:t>
      </w:r>
    </w:p>
    <w:p w14:paraId="73466268"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6E3A2C03" w14:textId="77777777" w:rsidR="003340B4" w:rsidRPr="00616429" w:rsidRDefault="003340B4" w:rsidP="003340B4">
      <w:pPr>
        <w:autoSpaceDE w:val="0"/>
        <w:autoSpaceDN w:val="0"/>
        <w:adjustRightInd w:val="0"/>
        <w:spacing w:after="0"/>
        <w:rPr>
          <w:rFonts w:ascii="TimesNewRomanPSMT" w:hAnsi="TimesNewRomanPSMT" w:cs="TimesNewRomanPSMT"/>
          <w:sz w:val="24"/>
        </w:rPr>
      </w:pPr>
    </w:p>
    <w:p w14:paraId="48B74F39" w14:textId="77777777" w:rsidR="003340B4" w:rsidRPr="00616429" w:rsidRDefault="003340B4" w:rsidP="003340B4">
      <w:pPr>
        <w:autoSpaceDE w:val="0"/>
        <w:autoSpaceDN w:val="0"/>
        <w:adjustRightInd w:val="0"/>
        <w:spacing w:after="0"/>
        <w:rPr>
          <w:rFonts w:ascii="TimesNewRomanPS-BoldMT" w:hAnsi="TimesNewRomanPS-BoldMT" w:cs="TimesNewRomanPS-BoldMT"/>
          <w:b/>
          <w:bCs/>
          <w:sz w:val="24"/>
        </w:rPr>
      </w:pPr>
      <w:r w:rsidRPr="00616429">
        <w:rPr>
          <w:rFonts w:ascii="TimesNewRomanPS-BoldMT" w:hAnsi="TimesNewRomanPS-BoldMT" w:cs="TimesNewRomanPS-BoldMT"/>
          <w:b/>
          <w:bCs/>
          <w:sz w:val="24"/>
        </w:rPr>
        <w:t>7 Environmental Social &amp; Governance (ESG) policies and stewardship of assets</w:t>
      </w:r>
    </w:p>
    <w:p w14:paraId="3B671958" w14:textId="77777777" w:rsidR="003340B4" w:rsidRPr="00616429" w:rsidRDefault="003340B4" w:rsidP="003340B4">
      <w:pPr>
        <w:autoSpaceDE w:val="0"/>
        <w:autoSpaceDN w:val="0"/>
        <w:adjustRightInd w:val="0"/>
        <w:spacing w:after="0"/>
        <w:rPr>
          <w:rFonts w:ascii="TimesNewRomanPS-BoldMT" w:hAnsi="TimesNewRomanPS-BoldMT" w:cs="TimesNewRomanPS-BoldMT"/>
          <w:b/>
          <w:bCs/>
          <w:sz w:val="24"/>
        </w:rPr>
      </w:pPr>
    </w:p>
    <w:p w14:paraId="7D44246D" w14:textId="77777777" w:rsidR="003340B4" w:rsidRPr="00616429" w:rsidRDefault="003340B4" w:rsidP="003340B4">
      <w:pPr>
        <w:autoSpaceDE w:val="0"/>
        <w:autoSpaceDN w:val="0"/>
        <w:adjustRightInd w:val="0"/>
        <w:spacing w:after="0"/>
        <w:rPr>
          <w:rFonts w:ascii="TimesNewRomanPSMT" w:hAnsi="TimesNewRomanPSMT" w:cs="TimesNewRomanPSMT"/>
          <w:sz w:val="24"/>
        </w:rPr>
      </w:pPr>
      <w:r w:rsidRPr="00616429">
        <w:rPr>
          <w:rFonts w:ascii="TimesNewRomanPSMT" w:hAnsi="TimesNewRomanPSMT" w:cs="TimesNewRomanPSMT"/>
          <w:sz w:val="24"/>
        </w:rPr>
        <w:t>7.1 We believe ESG factors can be material to the assessment of investment value and</w:t>
      </w:r>
    </w:p>
    <w:p w14:paraId="3A36532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sidRPr="00616429">
        <w:rPr>
          <w:rFonts w:ascii="TimesNewRomanPSMT" w:hAnsi="TimesNewRomanPSMT" w:cs="TimesNewRomanPSMT"/>
          <w:sz w:val="24"/>
        </w:rPr>
        <w:t xml:space="preserve">mitigation </w:t>
      </w:r>
      <w:r>
        <w:rPr>
          <w:rFonts w:ascii="TimesNewRomanPSMT" w:hAnsi="TimesNewRomanPSMT" w:cs="TimesNewRomanPSMT"/>
          <w:color w:val="000000"/>
          <w:sz w:val="24"/>
        </w:rPr>
        <w:t>of investment risk (to varying degrees across companies, sectors, regions</w:t>
      </w:r>
    </w:p>
    <w:p w14:paraId="5121964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and asset classes and through time).</w:t>
      </w:r>
    </w:p>
    <w:p w14:paraId="108EECB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561C4142"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7.2 We ensure ESG factors are being considered by the investment managers (</w:t>
      </w:r>
      <w:proofErr w:type="gramStart"/>
      <w:r>
        <w:rPr>
          <w:rFonts w:ascii="TimesNewRomanPSMT" w:hAnsi="TimesNewRomanPSMT" w:cs="TimesNewRomanPSMT"/>
          <w:color w:val="000000"/>
          <w:sz w:val="24"/>
        </w:rPr>
        <w:t>where</w:t>
      </w:r>
      <w:proofErr w:type="gramEnd"/>
    </w:p>
    <w:p w14:paraId="150068D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relevant) and have considered the extent to which the fund managers analyse and</w:t>
      </w:r>
    </w:p>
    <w:p w14:paraId="4BC25D6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integrate ESG risks and opportunities into their investment process.</w:t>
      </w:r>
    </w:p>
    <w:p w14:paraId="7A868186"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523DF9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7.3 We will monitor on an ongoing basis the investment managers’ approach to considering</w:t>
      </w:r>
    </w:p>
    <w:p w14:paraId="1C45DC6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and integrating ESG into their investment processes. At this </w:t>
      </w:r>
      <w:proofErr w:type="gramStart"/>
      <w:r>
        <w:rPr>
          <w:rFonts w:ascii="TimesNewRomanPSMT" w:hAnsi="TimesNewRomanPSMT" w:cs="TimesNewRomanPSMT"/>
          <w:color w:val="000000"/>
          <w:sz w:val="24"/>
        </w:rPr>
        <w:t>time</w:t>
      </w:r>
      <w:proofErr w:type="gramEnd"/>
      <w:r>
        <w:rPr>
          <w:rFonts w:ascii="TimesNewRomanPSMT" w:hAnsi="TimesNewRomanPSMT" w:cs="TimesNewRomanPSMT"/>
          <w:color w:val="000000"/>
          <w:sz w:val="24"/>
        </w:rPr>
        <w:t xml:space="preserve"> we do not impose</w:t>
      </w:r>
    </w:p>
    <w:p w14:paraId="3F2543D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constraints solely </w:t>
      </w:r>
      <w:proofErr w:type="gramStart"/>
      <w:r>
        <w:rPr>
          <w:rFonts w:ascii="TimesNewRomanPSMT" w:hAnsi="TimesNewRomanPSMT" w:cs="TimesNewRomanPSMT"/>
          <w:color w:val="000000"/>
          <w:sz w:val="24"/>
        </w:rPr>
        <w:t>on the basis of</w:t>
      </w:r>
      <w:proofErr w:type="gramEnd"/>
      <w:r>
        <w:rPr>
          <w:rFonts w:ascii="TimesNewRomanPSMT" w:hAnsi="TimesNewRomanPSMT" w:cs="TimesNewRomanPSMT"/>
          <w:color w:val="000000"/>
          <w:sz w:val="24"/>
        </w:rPr>
        <w:t xml:space="preserve"> ESG factors when selecting investments or managers</w:t>
      </w:r>
    </w:p>
    <w:p w14:paraId="13A97D6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and we have received no member representation in relation to ESG, ethical, green or</w:t>
      </w:r>
    </w:p>
    <w:p w14:paraId="683DC05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other specific investment criteria. We would </w:t>
      </w:r>
      <w:proofErr w:type="gramStart"/>
      <w:r>
        <w:rPr>
          <w:rFonts w:ascii="TimesNewRomanPSMT" w:hAnsi="TimesNewRomanPSMT" w:cs="TimesNewRomanPSMT"/>
          <w:color w:val="000000"/>
          <w:sz w:val="24"/>
        </w:rPr>
        <w:t>give consideration to</w:t>
      </w:r>
      <w:proofErr w:type="gramEnd"/>
      <w:r>
        <w:rPr>
          <w:rFonts w:ascii="TimesNewRomanPSMT" w:hAnsi="TimesNewRomanPSMT" w:cs="TimesNewRomanPSMT"/>
          <w:color w:val="000000"/>
          <w:sz w:val="24"/>
        </w:rPr>
        <w:t xml:space="preserve"> such requests but</w:t>
      </w:r>
    </w:p>
    <w:p w14:paraId="2409ED6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remain mindful we are ultimately responsible for </w:t>
      </w:r>
      <w:proofErr w:type="gramStart"/>
      <w:r>
        <w:rPr>
          <w:rFonts w:ascii="TimesNewRomanPSMT" w:hAnsi="TimesNewRomanPSMT" w:cs="TimesNewRomanPSMT"/>
          <w:color w:val="000000"/>
          <w:sz w:val="24"/>
        </w:rPr>
        <w:t>all of</w:t>
      </w:r>
      <w:proofErr w:type="gramEnd"/>
      <w:r>
        <w:rPr>
          <w:rFonts w:ascii="TimesNewRomanPSMT" w:hAnsi="TimesNewRomanPSMT" w:cs="TimesNewRomanPSMT"/>
          <w:color w:val="000000"/>
          <w:sz w:val="24"/>
        </w:rPr>
        <w:t xml:space="preserve"> the Scheme’s investments and</w:t>
      </w:r>
    </w:p>
    <w:p w14:paraId="2BE6648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need to act in the best interests of all members taking due account of professional</w:t>
      </w:r>
    </w:p>
    <w:p w14:paraId="40ABB1D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advice received.</w:t>
      </w:r>
    </w:p>
    <w:p w14:paraId="15D339D0"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35DA1D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7.4 We do expect the investment managers to use their rights (including voting rights)</w:t>
      </w:r>
    </w:p>
    <w:p w14:paraId="1A15FD8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wholly in the best economic interests of their investors (including our Scheme</w:t>
      </w:r>
    </w:p>
    <w:p w14:paraId="58AB469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members).</w:t>
      </w:r>
    </w:p>
    <w:p w14:paraId="3DC0951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024FCC2"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MT" w:hAnsi="TimesNewRomanPSMT" w:cs="TimesNewRomanPSMT"/>
          <w:color w:val="000000"/>
          <w:sz w:val="24"/>
        </w:rPr>
        <w:t xml:space="preserve">8 </w:t>
      </w:r>
      <w:r>
        <w:rPr>
          <w:rFonts w:ascii="TimesNewRomanPS-BoldMT" w:hAnsi="TimesNewRomanPS-BoldMT" w:cs="TimesNewRomanPS-BoldMT"/>
          <w:b/>
          <w:bCs/>
          <w:color w:val="000000"/>
          <w:sz w:val="24"/>
        </w:rPr>
        <w:t>Risk factors</w:t>
      </w:r>
    </w:p>
    <w:p w14:paraId="4601710C"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405AB9A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8.1 In developing and reviewing this SIP, we as trustees have given due consideration to</w:t>
      </w:r>
    </w:p>
    <w:p w14:paraId="7390B21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following risk factors in determining a suitable investment strategy for the DB</w:t>
      </w:r>
    </w:p>
    <w:p w14:paraId="110C798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section of the Scheme:</w:t>
      </w:r>
    </w:p>
    <w:p w14:paraId="269E851C"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A6559F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8.1.1 </w:t>
      </w:r>
      <w:r>
        <w:rPr>
          <w:rFonts w:ascii="TimesNewRomanPS-BoldMT" w:hAnsi="TimesNewRomanPS-BoldMT" w:cs="TimesNewRomanPS-BoldMT"/>
          <w:b/>
          <w:bCs/>
          <w:color w:val="000000"/>
          <w:sz w:val="24"/>
        </w:rPr>
        <w:t xml:space="preserve">Risk and liability </w:t>
      </w:r>
      <w:r>
        <w:rPr>
          <w:rFonts w:ascii="TimesNewRomanPSMT" w:hAnsi="TimesNewRomanPSMT" w:cs="TimesNewRomanPSMT"/>
          <w:color w:val="000000"/>
          <w:sz w:val="24"/>
        </w:rPr>
        <w:t>– We will monitor and review the investment strategy in line</w:t>
      </w:r>
    </w:p>
    <w:p w14:paraId="0D38331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lastRenderedPageBreak/>
        <w:t>with movements in the value of the Scheme’s assets and liabilities following</w:t>
      </w:r>
    </w:p>
    <w:p w14:paraId="400BD5B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each AVR. The investment strategy will be set and/or reviewed giving due</w:t>
      </w:r>
    </w:p>
    <w:p w14:paraId="21128C5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consideration to the various factors mentioned in section 3 </w:t>
      </w:r>
      <w:proofErr w:type="gramStart"/>
      <w:r>
        <w:rPr>
          <w:rFonts w:ascii="TimesNewRomanPSMT" w:hAnsi="TimesNewRomanPSMT" w:cs="TimesNewRomanPSMT"/>
          <w:color w:val="000000"/>
          <w:sz w:val="24"/>
        </w:rPr>
        <w:t>above;</w:t>
      </w:r>
      <w:proofErr w:type="gramEnd"/>
    </w:p>
    <w:p w14:paraId="5F9EF504"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02A8D9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8.1.2 </w:t>
      </w:r>
      <w:r>
        <w:rPr>
          <w:rFonts w:ascii="TimesNewRomanPS-BoldMT" w:hAnsi="TimesNewRomanPS-BoldMT" w:cs="TimesNewRomanPS-BoldMT"/>
          <w:b/>
          <w:bCs/>
          <w:color w:val="000000"/>
          <w:sz w:val="24"/>
        </w:rPr>
        <w:t xml:space="preserve">Covenant risk </w:t>
      </w:r>
      <w:r>
        <w:rPr>
          <w:rFonts w:ascii="TimesNewRomanPSMT" w:hAnsi="TimesNewRomanPSMT" w:cs="TimesNewRomanPSMT"/>
          <w:color w:val="000000"/>
          <w:sz w:val="24"/>
        </w:rPr>
        <w:t>– As part of this we will monitor on an ongoing basis (and with</w:t>
      </w:r>
    </w:p>
    <w:p w14:paraId="2B87C73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external help where necessary) the creditworthiness of the Principal Employer.</w:t>
      </w:r>
    </w:p>
    <w:p w14:paraId="12F209C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This will take account of the size of the Scheme’s liabilities and the employer’s</w:t>
      </w:r>
    </w:p>
    <w:p w14:paraId="6A6EFD9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ability in the light of its current and expected earnings to make good on any</w:t>
      </w:r>
    </w:p>
    <w:p w14:paraId="3F03C7A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funding commitments to the </w:t>
      </w:r>
      <w:proofErr w:type="gramStart"/>
      <w:r>
        <w:rPr>
          <w:rFonts w:ascii="TimesNewRomanPSMT" w:hAnsi="TimesNewRomanPSMT" w:cs="TimesNewRomanPSMT"/>
          <w:color w:val="000000"/>
          <w:sz w:val="24"/>
        </w:rPr>
        <w:t>Scheme;</w:t>
      </w:r>
      <w:proofErr w:type="gramEnd"/>
    </w:p>
    <w:p w14:paraId="0F0F08D2"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ED207C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8.1.3 </w:t>
      </w:r>
      <w:r>
        <w:rPr>
          <w:rFonts w:ascii="TimesNewRomanPS-BoldMT" w:hAnsi="TimesNewRomanPS-BoldMT" w:cs="TimesNewRomanPS-BoldMT"/>
          <w:b/>
          <w:bCs/>
          <w:color w:val="000000"/>
          <w:sz w:val="24"/>
        </w:rPr>
        <w:t xml:space="preserve">Solvency risk </w:t>
      </w:r>
      <w:r>
        <w:rPr>
          <w:rFonts w:ascii="TimesNewRomanPSMT" w:hAnsi="TimesNewRomanPSMT" w:cs="TimesNewRomanPSMT"/>
          <w:color w:val="000000"/>
          <w:sz w:val="24"/>
        </w:rPr>
        <w:t>- This risk is addressed through the asset allocation strategy and</w:t>
      </w:r>
    </w:p>
    <w:p w14:paraId="6A812C9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ongoing three-yearly AVRs. We are aware the asset allocation required to</w:t>
      </w:r>
    </w:p>
    <w:p w14:paraId="7897974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minimise the volatility of the solvency position will likely be very different to</w:t>
      </w:r>
    </w:p>
    <w:p w14:paraId="6A929DF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that which minimises the volatility on the Scheme’s funding basis.</w:t>
      </w:r>
    </w:p>
    <w:p w14:paraId="15C3B2AD"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FAA606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8.1.4 </w:t>
      </w:r>
      <w:r>
        <w:rPr>
          <w:rFonts w:ascii="TimesNewRomanPS-BoldMT" w:hAnsi="TimesNewRomanPS-BoldMT" w:cs="TimesNewRomanPS-BoldMT"/>
          <w:b/>
          <w:bCs/>
          <w:color w:val="000000"/>
          <w:sz w:val="24"/>
        </w:rPr>
        <w:t xml:space="preserve">Asset allocation risk </w:t>
      </w:r>
      <w:r>
        <w:rPr>
          <w:rFonts w:ascii="TimesNewRomanPSMT" w:hAnsi="TimesNewRomanPSMT" w:cs="TimesNewRomanPSMT"/>
          <w:color w:val="000000"/>
          <w:sz w:val="24"/>
        </w:rPr>
        <w:t>- The asset allocation is monitored on a regular basis by</w:t>
      </w:r>
    </w:p>
    <w:p w14:paraId="16421DA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Trustees.</w:t>
      </w:r>
    </w:p>
    <w:p w14:paraId="017934C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1EAF30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8.1.5 </w:t>
      </w:r>
      <w:r>
        <w:rPr>
          <w:rFonts w:ascii="TimesNewRomanPS-BoldMT" w:hAnsi="TimesNewRomanPS-BoldMT" w:cs="TimesNewRomanPS-BoldMT"/>
          <w:b/>
          <w:bCs/>
          <w:color w:val="000000"/>
          <w:sz w:val="24"/>
        </w:rPr>
        <w:t xml:space="preserve">Investment manager risk </w:t>
      </w:r>
      <w:r>
        <w:rPr>
          <w:rFonts w:ascii="TimesNewRomanPSMT" w:hAnsi="TimesNewRomanPSMT" w:cs="TimesNewRomanPSMT"/>
          <w:color w:val="000000"/>
          <w:sz w:val="24"/>
        </w:rPr>
        <w:t>- The trustees monitor the performance of each of</w:t>
      </w:r>
    </w:p>
    <w:p w14:paraId="4D7A8F5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Scheme’s investment managers on a regular basis in addition to having</w:t>
      </w:r>
    </w:p>
    <w:p w14:paraId="71D8DCB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meetings with each manager as necessary. The Trustees have</w:t>
      </w:r>
    </w:p>
    <w:p w14:paraId="2799641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 written agreement with each investment manager, which contains a number of</w:t>
      </w:r>
    </w:p>
    <w:p w14:paraId="42A215A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restrictions on how each investment manager may operate.</w:t>
      </w:r>
    </w:p>
    <w:p w14:paraId="5F26A50D"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896D2B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8.1.6 </w:t>
      </w:r>
      <w:r>
        <w:rPr>
          <w:rFonts w:ascii="TimesNewRomanPS-BoldMT" w:hAnsi="TimesNewRomanPS-BoldMT" w:cs="TimesNewRomanPS-BoldMT"/>
          <w:b/>
          <w:bCs/>
          <w:color w:val="000000"/>
          <w:sz w:val="24"/>
        </w:rPr>
        <w:t xml:space="preserve">Concentration/Market risk </w:t>
      </w:r>
      <w:r>
        <w:rPr>
          <w:rFonts w:ascii="TimesNewRomanPSMT" w:hAnsi="TimesNewRomanPSMT" w:cs="TimesNewRomanPSMT"/>
          <w:color w:val="000000"/>
          <w:sz w:val="24"/>
        </w:rPr>
        <w:t>- Each investment manager is expected to manage</w:t>
      </w:r>
    </w:p>
    <w:p w14:paraId="7D1DAA8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broadly diversified portfolios and to spread assets across a number of </w:t>
      </w:r>
      <w:proofErr w:type="gramStart"/>
      <w:r>
        <w:rPr>
          <w:rFonts w:ascii="TimesNewRomanPSMT" w:hAnsi="TimesNewRomanPSMT" w:cs="TimesNewRomanPSMT"/>
          <w:color w:val="000000"/>
          <w:sz w:val="24"/>
        </w:rPr>
        <w:t>individual</w:t>
      </w:r>
      <w:proofErr w:type="gramEnd"/>
    </w:p>
    <w:p w14:paraId="7623581A"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shares and securities.</w:t>
      </w:r>
    </w:p>
    <w:p w14:paraId="44F7C8A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0DA1F4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8.1.7 </w:t>
      </w:r>
      <w:r>
        <w:rPr>
          <w:rFonts w:ascii="TimesNewRomanPS-BoldMT" w:hAnsi="TimesNewRomanPS-BoldMT" w:cs="TimesNewRomanPS-BoldMT"/>
          <w:b/>
          <w:bCs/>
          <w:color w:val="000000"/>
          <w:sz w:val="24"/>
        </w:rPr>
        <w:t xml:space="preserve">Liquidity risk </w:t>
      </w:r>
      <w:r>
        <w:rPr>
          <w:rFonts w:ascii="TimesNewRomanPSMT" w:hAnsi="TimesNewRomanPSMT" w:cs="TimesNewRomanPSMT"/>
          <w:color w:val="000000"/>
          <w:sz w:val="24"/>
        </w:rPr>
        <w:t>- The Scheme invests in assets such that there is a sufficient</w:t>
      </w:r>
    </w:p>
    <w:p w14:paraId="7AEE30B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allocation to liquid investments that can be converted into cash at short notice</w:t>
      </w:r>
    </w:p>
    <w:p w14:paraId="1ECEF11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given the Scheme’s cash flow requirements. The Scheme's administrators assess</w:t>
      </w:r>
    </w:p>
    <w:p w14:paraId="04048DE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the level of cash held </w:t>
      </w:r>
      <w:proofErr w:type="gramStart"/>
      <w:r>
        <w:rPr>
          <w:rFonts w:ascii="TimesNewRomanPSMT" w:hAnsi="TimesNewRomanPSMT" w:cs="TimesNewRomanPSMT"/>
          <w:color w:val="000000"/>
          <w:sz w:val="24"/>
        </w:rPr>
        <w:t>in order to</w:t>
      </w:r>
      <w:proofErr w:type="gramEnd"/>
      <w:r>
        <w:rPr>
          <w:rFonts w:ascii="TimesNewRomanPSMT" w:hAnsi="TimesNewRomanPSMT" w:cs="TimesNewRomanPSMT"/>
          <w:color w:val="000000"/>
          <w:sz w:val="24"/>
        </w:rPr>
        <w:t xml:space="preserve"> limit the impact of the cash flow requirements</w:t>
      </w:r>
    </w:p>
    <w:p w14:paraId="3DC56CE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on the investment policy.</w:t>
      </w:r>
    </w:p>
    <w:p w14:paraId="59EFAF6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5B2932A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8.1.8 </w:t>
      </w:r>
      <w:r>
        <w:rPr>
          <w:rFonts w:ascii="TimesNewRomanPS-BoldMT" w:hAnsi="TimesNewRomanPS-BoldMT" w:cs="TimesNewRomanPS-BoldMT"/>
          <w:b/>
          <w:bCs/>
          <w:color w:val="000000"/>
          <w:sz w:val="24"/>
        </w:rPr>
        <w:t xml:space="preserve">Currency risk </w:t>
      </w:r>
      <w:r>
        <w:rPr>
          <w:rFonts w:ascii="TimesNewRomanPSMT" w:hAnsi="TimesNewRomanPSMT" w:cs="TimesNewRomanPSMT"/>
          <w:color w:val="000000"/>
          <w:sz w:val="24"/>
        </w:rPr>
        <w:t>- The Scheme’s liabilities are denominated in sterling. The</w:t>
      </w:r>
    </w:p>
    <w:p w14:paraId="5688EC8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Scheme may gain exposure to overseas currencies by investing in assets that are</w:t>
      </w:r>
    </w:p>
    <w:p w14:paraId="5DE722A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denominated in a foreign currency or via currency management.</w:t>
      </w:r>
    </w:p>
    <w:p w14:paraId="072852AF"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30F8AF0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8.1.9 </w:t>
      </w:r>
      <w:r>
        <w:rPr>
          <w:rFonts w:ascii="TimesNewRomanPS-BoldMT" w:hAnsi="TimesNewRomanPS-BoldMT" w:cs="TimesNewRomanPS-BoldMT"/>
          <w:b/>
          <w:bCs/>
          <w:color w:val="000000"/>
          <w:sz w:val="24"/>
        </w:rPr>
        <w:t xml:space="preserve">Loss of investment </w:t>
      </w:r>
      <w:r>
        <w:rPr>
          <w:rFonts w:ascii="TimesNewRomanPSMT" w:hAnsi="TimesNewRomanPSMT" w:cs="TimesNewRomanPSMT"/>
          <w:color w:val="000000"/>
          <w:sz w:val="24"/>
        </w:rPr>
        <w:t>- The risk of loss of investment by each investment manager</w:t>
      </w:r>
    </w:p>
    <w:p w14:paraId="4F5FAD3B"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and custodian is assessed by the Trustees. This includes losses beyond those</w:t>
      </w:r>
    </w:p>
    <w:p w14:paraId="24859CC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caused by market movements (</w:t>
      </w:r>
      <w:proofErr w:type="gramStart"/>
      <w:r>
        <w:rPr>
          <w:rFonts w:ascii="TimesNewRomanPSMT" w:hAnsi="TimesNewRomanPSMT" w:cs="TimesNewRomanPSMT"/>
          <w:color w:val="000000"/>
          <w:sz w:val="24"/>
        </w:rPr>
        <w:t>e.g.</w:t>
      </w:r>
      <w:proofErr w:type="gramEnd"/>
      <w:r>
        <w:rPr>
          <w:rFonts w:ascii="TimesNewRomanPSMT" w:hAnsi="TimesNewRomanPSMT" w:cs="TimesNewRomanPSMT"/>
          <w:color w:val="000000"/>
          <w:sz w:val="24"/>
        </w:rPr>
        <w:t xml:space="preserve"> default risk, operational errors or fraud).</w:t>
      </w:r>
    </w:p>
    <w:p w14:paraId="34DC712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7EDF6D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8.2 Whilst most of the risk factors identified in 5.1 above are relevant to the DC section of</w:t>
      </w:r>
    </w:p>
    <w:p w14:paraId="4F23010D"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Scheme too, there are other risk factors to consider in addition given it is each</w:t>
      </w:r>
    </w:p>
    <w:p w14:paraId="0CEC27FE"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member that is bearing the investment risk personally on their DC fund:</w:t>
      </w:r>
    </w:p>
    <w:p w14:paraId="5AC6EDB3"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C99CF3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lastRenderedPageBreak/>
        <w:t xml:space="preserve">8.2.1 </w:t>
      </w:r>
      <w:r>
        <w:rPr>
          <w:rFonts w:ascii="TimesNewRomanPS-BoldMT" w:hAnsi="TimesNewRomanPS-BoldMT" w:cs="TimesNewRomanPS-BoldMT"/>
          <w:b/>
          <w:bCs/>
          <w:color w:val="000000"/>
          <w:sz w:val="24"/>
        </w:rPr>
        <w:t xml:space="preserve">Inflation risk – </w:t>
      </w:r>
      <w:r>
        <w:rPr>
          <w:rFonts w:ascii="TimesNewRomanPSMT" w:hAnsi="TimesNewRomanPSMT" w:cs="TimesNewRomanPSMT"/>
          <w:color w:val="000000"/>
          <w:sz w:val="24"/>
        </w:rPr>
        <w:t>This is the risk that the investments do not provide a return (net of costs) at least in line with inflation, thus eroding the purchasing power of the DC</w:t>
      </w:r>
    </w:p>
    <w:p w14:paraId="53AFF72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retirement savings. The trustees make available investment options that are</w:t>
      </w:r>
    </w:p>
    <w:p w14:paraId="20A98283"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expected to provide a long-term real rate of return.</w:t>
      </w:r>
    </w:p>
    <w:p w14:paraId="2200B24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FC4541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8.2.2 </w:t>
      </w:r>
      <w:r>
        <w:rPr>
          <w:rFonts w:ascii="TimesNewRomanPS-BoldMT" w:hAnsi="TimesNewRomanPS-BoldMT" w:cs="TimesNewRomanPS-BoldMT"/>
          <w:b/>
          <w:bCs/>
          <w:color w:val="000000"/>
          <w:sz w:val="24"/>
        </w:rPr>
        <w:t xml:space="preserve">Conversion risk – </w:t>
      </w:r>
      <w:r>
        <w:rPr>
          <w:rFonts w:ascii="TimesNewRomanPSMT" w:hAnsi="TimesNewRomanPSMT" w:cs="TimesNewRomanPSMT"/>
          <w:color w:val="000000"/>
          <w:sz w:val="24"/>
        </w:rPr>
        <w:t>The risk that fluctuations in the assets held, particularly in</w:t>
      </w:r>
    </w:p>
    <w:p w14:paraId="79D9D6D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period before retirement, lead to uncertainty over the amount likely to be</w:t>
      </w:r>
    </w:p>
    <w:p w14:paraId="35138E3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received. The trustees have a range of Newton investment funds available to</w:t>
      </w:r>
    </w:p>
    <w:p w14:paraId="4A445A27"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them some of which are low risk and thus most suitable for use as retirement</w:t>
      </w:r>
    </w:p>
    <w:p w14:paraId="3B437983" w14:textId="77777777" w:rsidR="003340B4" w:rsidRDefault="003340B4" w:rsidP="003340B4">
      <w:pPr>
        <w:autoSpaceDE w:val="0"/>
        <w:autoSpaceDN w:val="0"/>
        <w:adjustRightInd w:val="0"/>
        <w:spacing w:after="0"/>
        <w:rPr>
          <w:rFonts w:ascii="TimesNewRomanPSMT" w:hAnsi="TimesNewRomanPSMT" w:cs="TimesNewRomanPSMT"/>
          <w:color w:val="000000"/>
          <w:sz w:val="24"/>
        </w:rPr>
      </w:pPr>
      <w:proofErr w:type="gramStart"/>
      <w:r>
        <w:rPr>
          <w:rFonts w:ascii="TimesNewRomanPSMT" w:hAnsi="TimesNewRomanPSMT" w:cs="TimesNewRomanPSMT"/>
          <w:color w:val="000000"/>
          <w:sz w:val="24"/>
        </w:rPr>
        <w:t>approaches;</w:t>
      </w:r>
      <w:proofErr w:type="gramEnd"/>
    </w:p>
    <w:p w14:paraId="26996D49"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6702431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8.2.3 </w:t>
      </w:r>
      <w:r>
        <w:rPr>
          <w:rFonts w:ascii="TimesNewRomanPS-BoldMT" w:hAnsi="TimesNewRomanPS-BoldMT" w:cs="TimesNewRomanPS-BoldMT"/>
          <w:b/>
          <w:bCs/>
          <w:color w:val="000000"/>
          <w:sz w:val="24"/>
        </w:rPr>
        <w:t xml:space="preserve">Retirement income risk – </w:t>
      </w:r>
      <w:r>
        <w:rPr>
          <w:rFonts w:ascii="TimesNewRomanPSMT" w:hAnsi="TimesNewRomanPSMT" w:cs="TimesNewRomanPSMT"/>
          <w:color w:val="000000"/>
          <w:sz w:val="24"/>
        </w:rPr>
        <w:t>The risk that a member’s retirement income falls</w:t>
      </w:r>
    </w:p>
    <w:p w14:paraId="5CD3A9D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short of the amount expected, whether this is due to lower investment returns</w:t>
      </w:r>
    </w:p>
    <w:p w14:paraId="3F27353C"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than expected, insufficient contributions paid or the high cost of securing a</w:t>
      </w:r>
    </w:p>
    <w:p w14:paraId="5E32050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pension at retirement.</w:t>
      </w:r>
    </w:p>
    <w:p w14:paraId="3FF6D8C5"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7BE6DC7F"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r>
        <w:rPr>
          <w:rFonts w:ascii="TimesNewRomanPSMT" w:hAnsi="TimesNewRomanPSMT" w:cs="TimesNewRomanPSMT"/>
          <w:color w:val="000000"/>
          <w:sz w:val="24"/>
        </w:rPr>
        <w:t xml:space="preserve">9 </w:t>
      </w:r>
      <w:r>
        <w:rPr>
          <w:rFonts w:ascii="TimesNewRomanPS-BoldMT" w:hAnsi="TimesNewRomanPS-BoldMT" w:cs="TimesNewRomanPS-BoldMT"/>
          <w:b/>
          <w:bCs/>
          <w:color w:val="000000"/>
          <w:sz w:val="24"/>
        </w:rPr>
        <w:t>Availability of and updates to the SIP</w:t>
      </w:r>
    </w:p>
    <w:p w14:paraId="62A5F9A8" w14:textId="77777777" w:rsidR="003340B4" w:rsidRDefault="003340B4" w:rsidP="003340B4">
      <w:pPr>
        <w:autoSpaceDE w:val="0"/>
        <w:autoSpaceDN w:val="0"/>
        <w:adjustRightInd w:val="0"/>
        <w:spacing w:after="0"/>
        <w:rPr>
          <w:rFonts w:ascii="TimesNewRomanPS-BoldMT" w:hAnsi="TimesNewRomanPS-BoldMT" w:cs="TimesNewRomanPS-BoldMT"/>
          <w:b/>
          <w:bCs/>
          <w:color w:val="000000"/>
          <w:sz w:val="24"/>
        </w:rPr>
      </w:pPr>
    </w:p>
    <w:p w14:paraId="1467963F"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9.1 This SIP and any future updates to it had to be published on a publicly available and</w:t>
      </w:r>
    </w:p>
    <w:p w14:paraId="64FBBE29"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free to access website.</w:t>
      </w:r>
    </w:p>
    <w:p w14:paraId="28BB0B7B"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2AB4265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9.2 As trustees we did not judge the cost-benefit of creating our own website as being</w:t>
      </w:r>
    </w:p>
    <w:p w14:paraId="5C2F4AA4"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favourable. We therefore agreed with the Principal Employer that it would make the</w:t>
      </w:r>
    </w:p>
    <w:p w14:paraId="1D4F6586" w14:textId="079AE349"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SIP available via its own website.</w:t>
      </w:r>
    </w:p>
    <w:p w14:paraId="5C0E124D"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09F68765"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 xml:space="preserve">9.3 This can be found at </w:t>
      </w:r>
      <w:r>
        <w:rPr>
          <w:rFonts w:ascii="TimesNewRomanPSMT" w:hAnsi="TimesNewRomanPSMT" w:cs="TimesNewRomanPSMT"/>
          <w:color w:val="0563C2"/>
          <w:sz w:val="24"/>
        </w:rPr>
        <w:t xml:space="preserve">www.sjdixon.co.uk </w:t>
      </w:r>
      <w:r>
        <w:rPr>
          <w:rFonts w:ascii="TimesNewRomanPSMT" w:hAnsi="TimesNewRomanPSMT" w:cs="TimesNewRomanPSMT"/>
          <w:color w:val="000000"/>
          <w:sz w:val="24"/>
        </w:rPr>
        <w:t>and from these please follow the link to</w:t>
      </w:r>
    </w:p>
    <w:p w14:paraId="51B4ECA1"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“Pensions”.</w:t>
      </w:r>
    </w:p>
    <w:p w14:paraId="24E6CC82"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45405FE8"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9.4 We will review the content of this SIP at least once a year and publish any update(s) to</w:t>
      </w:r>
    </w:p>
    <w:p w14:paraId="51AC2876"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the website mentioned in 8.3 above.</w:t>
      </w:r>
    </w:p>
    <w:p w14:paraId="54992742" w14:textId="77777777" w:rsidR="003340B4" w:rsidRDefault="003340B4" w:rsidP="003340B4">
      <w:pPr>
        <w:autoSpaceDE w:val="0"/>
        <w:autoSpaceDN w:val="0"/>
        <w:adjustRightInd w:val="0"/>
        <w:spacing w:after="0"/>
        <w:rPr>
          <w:rFonts w:ascii="TimesNewRomanPSMT" w:hAnsi="TimesNewRomanPSMT" w:cs="TimesNewRomanPSMT"/>
          <w:color w:val="000000"/>
          <w:sz w:val="24"/>
        </w:rPr>
      </w:pPr>
    </w:p>
    <w:p w14:paraId="1283FA80" w14:textId="77777777" w:rsidR="003340B4" w:rsidRDefault="003340B4" w:rsidP="003340B4">
      <w:pPr>
        <w:autoSpaceDE w:val="0"/>
        <w:autoSpaceDN w:val="0"/>
        <w:adjustRightInd w:val="0"/>
        <w:spacing w:after="0"/>
        <w:rPr>
          <w:rFonts w:ascii="TimesNewRomanPSMT" w:hAnsi="TimesNewRomanPSMT" w:cs="TimesNewRomanPSMT"/>
          <w:color w:val="000000"/>
          <w:sz w:val="24"/>
        </w:rPr>
      </w:pPr>
      <w:r>
        <w:rPr>
          <w:rFonts w:ascii="TimesNewRomanPSMT" w:hAnsi="TimesNewRomanPSMT" w:cs="TimesNewRomanPSMT"/>
          <w:color w:val="000000"/>
          <w:sz w:val="24"/>
        </w:rPr>
        <w:t>9.5 We are due to publish the results of the latest 3-yearly AVR during the next few months.</w:t>
      </w:r>
    </w:p>
    <w:p w14:paraId="6C2DCD13" w14:textId="77777777" w:rsidR="003340B4" w:rsidRDefault="003340B4" w:rsidP="003340B4">
      <w:r>
        <w:rPr>
          <w:rFonts w:ascii="TimesNewRomanPSMT" w:hAnsi="TimesNewRomanPSMT" w:cs="TimesNewRomanPSMT"/>
          <w:color w:val="000000"/>
          <w:sz w:val="24"/>
        </w:rPr>
        <w:t>It is quite possible this will result in the need to update the SIP again.</w:t>
      </w:r>
    </w:p>
    <w:p w14:paraId="20B5E155" w14:textId="77777777" w:rsidR="003340B4" w:rsidRPr="008C0086" w:rsidRDefault="003340B4" w:rsidP="004A6927">
      <w:pPr>
        <w:spacing w:after="0"/>
        <w:rPr>
          <w:rFonts w:cs="Arial"/>
          <w:b/>
          <w:bCs/>
          <w:color w:val="005187" w:themeColor="accent1"/>
          <w:sz w:val="24"/>
          <w:szCs w:val="26"/>
        </w:rPr>
      </w:pPr>
    </w:p>
    <w:sectPr w:rsidR="003340B4" w:rsidRPr="008C0086" w:rsidSect="009D116D">
      <w:footerReference w:type="default" r:id="rId9"/>
      <w:pgSz w:w="11906" w:h="16838"/>
      <w:pgMar w:top="2381" w:right="1304" w:bottom="1304" w:left="130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4A3D" w14:textId="77777777" w:rsidR="00C54A3C" w:rsidRDefault="00C54A3C">
      <w:r>
        <w:separator/>
      </w:r>
    </w:p>
  </w:endnote>
  <w:endnote w:type="continuationSeparator" w:id="0">
    <w:p w14:paraId="41683F4F" w14:textId="77777777" w:rsidR="00C54A3C" w:rsidRDefault="00C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Light">
    <w:panose1 w:val="020B04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491" w14:textId="77777777" w:rsidR="00C54A3C" w:rsidRPr="0091369E" w:rsidRDefault="00C54A3C" w:rsidP="007C5CA5">
    <w:pPr>
      <w:pStyle w:val="Footer"/>
      <w:jc w:val="left"/>
      <w:rPr>
        <w:rFonts w:ascii="Futura Std Light" w:hAnsi="Futura Std Light"/>
        <w:color w:val="FFFFFF" w:themeColor="background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0918" w14:textId="77777777" w:rsidR="00C54A3C" w:rsidRDefault="00C54A3C">
      <w:r>
        <w:separator/>
      </w:r>
    </w:p>
  </w:footnote>
  <w:footnote w:type="continuationSeparator" w:id="0">
    <w:p w14:paraId="3F7D65AC" w14:textId="77777777" w:rsidR="00C54A3C" w:rsidRDefault="00C5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D6511"/>
    <w:multiLevelType w:val="hybridMultilevel"/>
    <w:tmpl w:val="959658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1D116F"/>
    <w:multiLevelType w:val="hybridMultilevel"/>
    <w:tmpl w:val="AA55C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F6C916"/>
    <w:multiLevelType w:val="hybridMultilevel"/>
    <w:tmpl w:val="7A47DD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FDCC60E"/>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135E5EAE"/>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CB5ADD02"/>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E662DBA0"/>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EE70FEA0"/>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B972F8A2"/>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45E4D0B8"/>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9A2C6FC"/>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1A98AA94"/>
    <w:lvl w:ilvl="0">
      <w:start w:val="1"/>
      <w:numFmt w:val="upperRoman"/>
      <w:lvlText w:val="(%1)"/>
      <w:lvlJc w:val="left"/>
      <w:pPr>
        <w:ind w:left="360" w:hanging="360"/>
      </w:pPr>
      <w:rPr>
        <w:rFonts w:hint="default"/>
        <w:color w:val="00518B"/>
      </w:rPr>
    </w:lvl>
  </w:abstractNum>
  <w:abstractNum w:abstractNumId="12" w15:restartNumberingAfterBreak="0">
    <w:nsid w:val="FFFFFF89"/>
    <w:multiLevelType w:val="singleLevel"/>
    <w:tmpl w:val="6B644AB4"/>
    <w:lvl w:ilvl="0">
      <w:start w:val="1"/>
      <w:numFmt w:val="bullet"/>
      <w:pStyle w:val="ListBullet"/>
      <w:lvlText w:val=""/>
      <w:lvlJc w:val="left"/>
      <w:pPr>
        <w:ind w:left="360" w:hanging="360"/>
      </w:pPr>
      <w:rPr>
        <w:rFonts w:ascii="Symbol" w:hAnsi="Symbol" w:hint="default"/>
        <w:color w:val="005187" w:themeColor="accent1"/>
      </w:rPr>
    </w:lvl>
  </w:abstractNum>
  <w:abstractNum w:abstractNumId="13" w15:restartNumberingAfterBreak="0">
    <w:nsid w:val="030A4121"/>
    <w:multiLevelType w:val="hybridMultilevel"/>
    <w:tmpl w:val="9EFE1822"/>
    <w:lvl w:ilvl="0" w:tplc="8A1E1A46">
      <w:start w:val="1"/>
      <w:numFmt w:val="bullet"/>
      <w:lvlText w:val=""/>
      <w:lvlJc w:val="left"/>
      <w:pPr>
        <w:tabs>
          <w:tab w:val="num" w:pos="567"/>
        </w:tabs>
        <w:ind w:left="567" w:hanging="567"/>
      </w:pPr>
      <w:rPr>
        <w:rFonts w:ascii="Symbol" w:hAnsi="Symbol" w:hint="default"/>
        <w:color w:val="00315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437BB0"/>
    <w:multiLevelType w:val="hybridMultilevel"/>
    <w:tmpl w:val="BE4A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800856"/>
    <w:multiLevelType w:val="hybridMultilevel"/>
    <w:tmpl w:val="1842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97D3F08"/>
    <w:multiLevelType w:val="multilevel"/>
    <w:tmpl w:val="3A52E90A"/>
    <w:lvl w:ilvl="0">
      <w:start w:val="1"/>
      <w:numFmt w:val="bullet"/>
      <w:lvlText w:val=""/>
      <w:lvlJc w:val="left"/>
      <w:pPr>
        <w:tabs>
          <w:tab w:val="num" w:pos="425"/>
        </w:tabs>
        <w:ind w:left="425" w:hanging="425"/>
      </w:pPr>
      <w:rPr>
        <w:rFonts w:ascii="Symbol" w:hAnsi="Symbol"/>
        <w:color w:val="00315A"/>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794C08"/>
    <w:multiLevelType w:val="hybridMultilevel"/>
    <w:tmpl w:val="3A52E90A"/>
    <w:lvl w:ilvl="0" w:tplc="0F84921E">
      <w:start w:val="1"/>
      <w:numFmt w:val="bullet"/>
      <w:lvlText w:val=""/>
      <w:lvlJc w:val="left"/>
      <w:pPr>
        <w:tabs>
          <w:tab w:val="num" w:pos="425"/>
        </w:tabs>
        <w:ind w:left="425" w:hanging="425"/>
      </w:pPr>
      <w:rPr>
        <w:rFonts w:ascii="Symbol" w:hAnsi="Symbol" w:hint="default"/>
        <w:color w:val="00315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7D0513"/>
    <w:multiLevelType w:val="hybridMultilevel"/>
    <w:tmpl w:val="99B8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903093"/>
    <w:multiLevelType w:val="hybridMultilevel"/>
    <w:tmpl w:val="312CDD64"/>
    <w:lvl w:ilvl="0" w:tplc="C2D055E8">
      <w:start w:val="1"/>
      <w:numFmt w:val="bullet"/>
      <w:lvlText w:val="o"/>
      <w:lvlJc w:val="left"/>
      <w:pPr>
        <w:tabs>
          <w:tab w:val="num" w:pos="1134"/>
        </w:tabs>
        <w:ind w:left="567" w:hanging="567"/>
      </w:pPr>
      <w:rPr>
        <w:rFonts w:ascii="Courier New" w:hAnsi="Courier New" w:hint="default"/>
        <w:color w:val="00315A"/>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17AA0A37"/>
    <w:multiLevelType w:val="multilevel"/>
    <w:tmpl w:val="C65095A8"/>
    <w:lvl w:ilvl="0">
      <w:start w:val="1"/>
      <w:numFmt w:val="decimal"/>
      <w:lvlText w:val="%1."/>
      <w:lvlJc w:val="left"/>
      <w:pPr>
        <w:tabs>
          <w:tab w:val="num" w:pos="425"/>
        </w:tabs>
        <w:ind w:left="425" w:hanging="425"/>
      </w:pPr>
      <w:rPr>
        <w:rFonts w:hint="default"/>
        <w:color w:val="005187"/>
      </w:rPr>
    </w:lvl>
    <w:lvl w:ilvl="1">
      <w:start w:val="1"/>
      <w:numFmt w:val="decimal"/>
      <w:lvlText w:val="%1.%2."/>
      <w:lvlJc w:val="left"/>
      <w:pPr>
        <w:tabs>
          <w:tab w:val="num" w:pos="425"/>
        </w:tabs>
        <w:ind w:left="425" w:hanging="425"/>
      </w:pPr>
      <w:rPr>
        <w:rFonts w:hint="default"/>
        <w:color w:val="005187"/>
      </w:rPr>
    </w:lvl>
    <w:lvl w:ilvl="2">
      <w:start w:val="1"/>
      <w:numFmt w:val="decimal"/>
      <w:lvlText w:val="%1.%2.%3."/>
      <w:lvlJc w:val="lef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C20266E"/>
    <w:multiLevelType w:val="hybridMultilevel"/>
    <w:tmpl w:val="068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7B58A3"/>
    <w:multiLevelType w:val="hybridMultilevel"/>
    <w:tmpl w:val="6EC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86014A"/>
    <w:multiLevelType w:val="hybridMultilevel"/>
    <w:tmpl w:val="C5DE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BD5446"/>
    <w:multiLevelType w:val="hybridMultilevel"/>
    <w:tmpl w:val="A086D9C4"/>
    <w:lvl w:ilvl="0" w:tplc="1A74274C">
      <w:start w:val="1"/>
      <w:numFmt w:val="bullet"/>
      <w:lvlText w:val=""/>
      <w:lvlJc w:val="left"/>
      <w:pPr>
        <w:tabs>
          <w:tab w:val="num" w:pos="425"/>
        </w:tabs>
        <w:ind w:left="425" w:hanging="425"/>
      </w:pPr>
      <w:rPr>
        <w:rFonts w:ascii="Symbol" w:hAnsi="Symbol" w:hint="default"/>
        <w:color w:val="00518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EB1D53"/>
    <w:multiLevelType w:val="multilevel"/>
    <w:tmpl w:val="C65095A8"/>
    <w:lvl w:ilvl="0">
      <w:start w:val="1"/>
      <w:numFmt w:val="decimal"/>
      <w:lvlText w:val="%1."/>
      <w:lvlJc w:val="left"/>
      <w:pPr>
        <w:tabs>
          <w:tab w:val="num" w:pos="425"/>
        </w:tabs>
        <w:ind w:left="425" w:hanging="425"/>
      </w:pPr>
      <w:rPr>
        <w:rFonts w:ascii="Calibri" w:hAnsi="Calibri"/>
        <w:color w:val="005187"/>
        <w:sz w:val="22"/>
      </w:rPr>
    </w:lvl>
    <w:lvl w:ilvl="1">
      <w:start w:val="1"/>
      <w:numFmt w:val="decimal"/>
      <w:lvlText w:val="%1.%2."/>
      <w:lvlJc w:val="left"/>
      <w:pPr>
        <w:tabs>
          <w:tab w:val="num" w:pos="425"/>
        </w:tabs>
        <w:ind w:left="425" w:hanging="425"/>
      </w:pPr>
      <w:rPr>
        <w:rFonts w:hint="default"/>
        <w:color w:val="005187"/>
      </w:rPr>
    </w:lvl>
    <w:lvl w:ilvl="2">
      <w:start w:val="1"/>
      <w:numFmt w:val="decimal"/>
      <w:lvlText w:val="%1.%2.%3."/>
      <w:lvlJc w:val="lef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5B00815"/>
    <w:multiLevelType w:val="hybridMultilevel"/>
    <w:tmpl w:val="9122645A"/>
    <w:lvl w:ilvl="0" w:tplc="2B689692">
      <w:start w:val="1"/>
      <w:numFmt w:val="bullet"/>
      <w:lvlText w:val="•"/>
      <w:lvlJc w:val="left"/>
      <w:pPr>
        <w:ind w:left="720" w:hanging="360"/>
      </w:pPr>
      <w:rPr>
        <w:rFonts w:ascii="Calibri" w:hAnsi="Calibri" w:hint="default"/>
        <w:color w:val="0051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177FB0"/>
    <w:multiLevelType w:val="multilevel"/>
    <w:tmpl w:val="D0FAAD8C"/>
    <w:lvl w:ilvl="0">
      <w:start w:val="1"/>
      <w:numFmt w:val="lowerLetter"/>
      <w:pStyle w:val="ListNumber"/>
      <w:lvlText w:val="%1)"/>
      <w:lvlJc w:val="left"/>
      <w:pPr>
        <w:ind w:left="360" w:hanging="360"/>
      </w:pPr>
      <w:rPr>
        <w:rFonts w:hint="default"/>
        <w:color w:val="005187" w:themeColor="accent1"/>
      </w:rPr>
    </w:lvl>
    <w:lvl w:ilvl="1">
      <w:start w:val="1"/>
      <w:numFmt w:val="lowerRoman"/>
      <w:lvlText w:val="i%2)"/>
      <w:lvlJc w:val="left"/>
      <w:pPr>
        <w:tabs>
          <w:tab w:val="num" w:pos="425"/>
        </w:tabs>
        <w:ind w:left="425" w:hanging="425"/>
      </w:pPr>
      <w:rPr>
        <w:rFonts w:hint="default"/>
        <w:color w:val="005187"/>
      </w:rPr>
    </w:lvl>
    <w:lvl w:ilvl="2">
      <w:start w:val="1"/>
      <w:numFmt w:val="lowerRoman"/>
      <w:lvlText w:val="%3."/>
      <w:lvlJc w:val="righ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15:restartNumberingAfterBreak="0">
    <w:nsid w:val="3B5D0BD1"/>
    <w:multiLevelType w:val="hybridMultilevel"/>
    <w:tmpl w:val="0F663410"/>
    <w:lvl w:ilvl="0" w:tplc="CDE4509A">
      <w:numFmt w:val="bullet"/>
      <w:lvlText w:val="•"/>
      <w:lvlJc w:val="left"/>
      <w:pPr>
        <w:ind w:left="1485" w:hanging="76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D290DE1"/>
    <w:multiLevelType w:val="hybridMultilevel"/>
    <w:tmpl w:val="C5DE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7D39C0"/>
    <w:multiLevelType w:val="hybridMultilevel"/>
    <w:tmpl w:val="5C7C8D2E"/>
    <w:lvl w:ilvl="0" w:tplc="51ACAF2A">
      <w:start w:val="1"/>
      <w:numFmt w:val="decimal"/>
      <w:lvlText w:val="%1."/>
      <w:lvlJc w:val="left"/>
      <w:pPr>
        <w:tabs>
          <w:tab w:val="num" w:pos="425"/>
        </w:tabs>
        <w:ind w:left="425" w:hanging="425"/>
      </w:pPr>
      <w:rPr>
        <w:rFonts w:hint="default"/>
        <w:color w:val="005187"/>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2E91561"/>
    <w:multiLevelType w:val="multilevel"/>
    <w:tmpl w:val="C65095A8"/>
    <w:lvl w:ilvl="0">
      <w:start w:val="1"/>
      <w:numFmt w:val="decimal"/>
      <w:lvlText w:val="%1."/>
      <w:lvlJc w:val="left"/>
      <w:pPr>
        <w:tabs>
          <w:tab w:val="num" w:pos="425"/>
        </w:tabs>
        <w:ind w:left="425" w:hanging="425"/>
      </w:pPr>
      <w:rPr>
        <w:rFonts w:hint="default"/>
        <w:color w:val="005187"/>
      </w:rPr>
    </w:lvl>
    <w:lvl w:ilvl="1">
      <w:start w:val="1"/>
      <w:numFmt w:val="decimal"/>
      <w:lvlText w:val="%1.%2."/>
      <w:lvlJc w:val="left"/>
      <w:pPr>
        <w:tabs>
          <w:tab w:val="num" w:pos="425"/>
        </w:tabs>
        <w:ind w:left="425" w:hanging="425"/>
      </w:pPr>
      <w:rPr>
        <w:rFonts w:hint="default"/>
        <w:color w:val="005187"/>
      </w:rPr>
    </w:lvl>
    <w:lvl w:ilvl="2">
      <w:start w:val="1"/>
      <w:numFmt w:val="decimal"/>
      <w:lvlText w:val="%1.%2.%3."/>
      <w:lvlJc w:val="lef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FFA750D"/>
    <w:multiLevelType w:val="hybridMultilevel"/>
    <w:tmpl w:val="B51EDDB6"/>
    <w:lvl w:ilvl="0" w:tplc="736A0DD2">
      <w:numFmt w:val="bullet"/>
      <w:lvlText w:val="-"/>
      <w:lvlJc w:val="left"/>
      <w:pPr>
        <w:ind w:left="1210" w:hanging="360"/>
      </w:pPr>
      <w:rPr>
        <w:rFonts w:ascii="Calibri" w:eastAsia="Times New Roman" w:hAnsi="Calibri"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3" w15:restartNumberingAfterBreak="0">
    <w:nsid w:val="54BF6FF6"/>
    <w:multiLevelType w:val="hybridMultilevel"/>
    <w:tmpl w:val="1A9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78120A"/>
    <w:multiLevelType w:val="multilevel"/>
    <w:tmpl w:val="C65095A8"/>
    <w:lvl w:ilvl="0">
      <w:start w:val="1"/>
      <w:numFmt w:val="decimal"/>
      <w:lvlText w:val="%1."/>
      <w:lvlJc w:val="left"/>
      <w:pPr>
        <w:tabs>
          <w:tab w:val="num" w:pos="425"/>
        </w:tabs>
        <w:ind w:left="425" w:hanging="425"/>
      </w:pPr>
      <w:rPr>
        <w:rFonts w:hint="default"/>
        <w:color w:val="005187"/>
      </w:rPr>
    </w:lvl>
    <w:lvl w:ilvl="1">
      <w:start w:val="1"/>
      <w:numFmt w:val="decimal"/>
      <w:lvlText w:val="%1.%2."/>
      <w:lvlJc w:val="left"/>
      <w:pPr>
        <w:tabs>
          <w:tab w:val="num" w:pos="425"/>
        </w:tabs>
        <w:ind w:left="425" w:hanging="425"/>
      </w:pPr>
      <w:rPr>
        <w:rFonts w:hint="default"/>
        <w:color w:val="005187"/>
      </w:rPr>
    </w:lvl>
    <w:lvl w:ilvl="2">
      <w:start w:val="1"/>
      <w:numFmt w:val="decimal"/>
      <w:lvlText w:val="%1.%2.%3."/>
      <w:lvlJc w:val="lef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C82C96"/>
    <w:multiLevelType w:val="hybridMultilevel"/>
    <w:tmpl w:val="3B92BB24"/>
    <w:lvl w:ilvl="0" w:tplc="CDE4509A">
      <w:numFmt w:val="bullet"/>
      <w:lvlText w:val="•"/>
      <w:lvlJc w:val="left"/>
      <w:pPr>
        <w:ind w:left="1125" w:hanging="7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E4DC2"/>
    <w:multiLevelType w:val="hybridMultilevel"/>
    <w:tmpl w:val="93140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CE344D"/>
    <w:multiLevelType w:val="multilevel"/>
    <w:tmpl w:val="3A52E90A"/>
    <w:lvl w:ilvl="0">
      <w:start w:val="1"/>
      <w:numFmt w:val="bullet"/>
      <w:lvlText w:val=""/>
      <w:lvlJc w:val="left"/>
      <w:pPr>
        <w:tabs>
          <w:tab w:val="num" w:pos="425"/>
        </w:tabs>
        <w:ind w:left="425" w:hanging="425"/>
      </w:pPr>
      <w:rPr>
        <w:rFonts w:ascii="Symbol" w:hAnsi="Symbol" w:hint="default"/>
        <w:color w:val="00315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060E8"/>
    <w:multiLevelType w:val="hybridMultilevel"/>
    <w:tmpl w:val="C5DE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E5771"/>
    <w:multiLevelType w:val="multilevel"/>
    <w:tmpl w:val="C65095A8"/>
    <w:lvl w:ilvl="0">
      <w:start w:val="1"/>
      <w:numFmt w:val="decimal"/>
      <w:lvlText w:val="%1."/>
      <w:lvlJc w:val="left"/>
      <w:pPr>
        <w:tabs>
          <w:tab w:val="num" w:pos="425"/>
        </w:tabs>
        <w:ind w:left="425" w:hanging="425"/>
      </w:pPr>
      <w:rPr>
        <w:rFonts w:ascii="Calibri" w:hAnsi="Calibri"/>
        <w:color w:val="005187"/>
        <w:sz w:val="22"/>
      </w:rPr>
    </w:lvl>
    <w:lvl w:ilvl="1">
      <w:start w:val="1"/>
      <w:numFmt w:val="decimal"/>
      <w:lvlText w:val="%1.%2."/>
      <w:lvlJc w:val="left"/>
      <w:pPr>
        <w:tabs>
          <w:tab w:val="num" w:pos="425"/>
        </w:tabs>
        <w:ind w:left="425" w:hanging="425"/>
      </w:pPr>
      <w:rPr>
        <w:rFonts w:hint="default"/>
        <w:color w:val="005187"/>
      </w:rPr>
    </w:lvl>
    <w:lvl w:ilvl="2">
      <w:start w:val="1"/>
      <w:numFmt w:val="decimal"/>
      <w:lvlText w:val="%1.%2.%3."/>
      <w:lvlJc w:val="left"/>
      <w:pPr>
        <w:tabs>
          <w:tab w:val="num" w:pos="992"/>
        </w:tabs>
        <w:ind w:left="992" w:hanging="567"/>
      </w:pPr>
      <w:rPr>
        <w:rFonts w:hint="default"/>
        <w:color w:val="005187"/>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3A32B7"/>
    <w:multiLevelType w:val="hybridMultilevel"/>
    <w:tmpl w:val="C5DE8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9"/>
  </w:num>
  <w:num w:numId="5">
    <w:abstractNumId w:val="8"/>
  </w:num>
  <w:num w:numId="6">
    <w:abstractNumId w:val="7"/>
  </w:num>
  <w:num w:numId="7">
    <w:abstractNumId w:val="11"/>
  </w:num>
  <w:num w:numId="8">
    <w:abstractNumId w:val="6"/>
  </w:num>
  <w:num w:numId="9">
    <w:abstractNumId w:val="5"/>
  </w:num>
  <w:num w:numId="10">
    <w:abstractNumId w:val="4"/>
  </w:num>
  <w:num w:numId="11">
    <w:abstractNumId w:val="3"/>
  </w:num>
  <w:num w:numId="12">
    <w:abstractNumId w:val="13"/>
  </w:num>
  <w:num w:numId="13">
    <w:abstractNumId w:val="17"/>
  </w:num>
  <w:num w:numId="14">
    <w:abstractNumId w:val="16"/>
  </w:num>
  <w:num w:numId="15">
    <w:abstractNumId w:val="37"/>
  </w:num>
  <w:num w:numId="16">
    <w:abstractNumId w:val="24"/>
  </w:num>
  <w:num w:numId="17">
    <w:abstractNumId w:val="30"/>
  </w:num>
  <w:num w:numId="18">
    <w:abstractNumId w:val="34"/>
  </w:num>
  <w:num w:numId="19">
    <w:abstractNumId w:val="25"/>
  </w:num>
  <w:num w:numId="20">
    <w:abstractNumId w:val="31"/>
  </w:num>
  <w:num w:numId="21">
    <w:abstractNumId w:val="39"/>
  </w:num>
  <w:num w:numId="22">
    <w:abstractNumId w:val="20"/>
  </w:num>
  <w:num w:numId="23">
    <w:abstractNumId w:val="26"/>
  </w:num>
  <w:num w:numId="24">
    <w:abstractNumId w:val="12"/>
  </w:num>
  <w:num w:numId="25">
    <w:abstractNumId w:val="27"/>
  </w:num>
  <w:num w:numId="26">
    <w:abstractNumId w:val="12"/>
  </w:num>
  <w:num w:numId="27">
    <w:abstractNumId w:val="27"/>
  </w:num>
  <w:num w:numId="28">
    <w:abstractNumId w:val="15"/>
  </w:num>
  <w:num w:numId="29">
    <w:abstractNumId w:val="33"/>
  </w:num>
  <w:num w:numId="30">
    <w:abstractNumId w:val="32"/>
  </w:num>
  <w:num w:numId="31">
    <w:abstractNumId w:val="38"/>
  </w:num>
  <w:num w:numId="32">
    <w:abstractNumId w:val="29"/>
  </w:num>
  <w:num w:numId="33">
    <w:abstractNumId w:val="40"/>
  </w:num>
  <w:num w:numId="34">
    <w:abstractNumId w:val="23"/>
  </w:num>
  <w:num w:numId="35">
    <w:abstractNumId w:val="1"/>
  </w:num>
  <w:num w:numId="36">
    <w:abstractNumId w:val="2"/>
  </w:num>
  <w:num w:numId="37">
    <w:abstractNumId w:val="0"/>
  </w:num>
  <w:num w:numId="38">
    <w:abstractNumId w:val="21"/>
  </w:num>
  <w:num w:numId="39">
    <w:abstractNumId w:val="22"/>
  </w:num>
  <w:num w:numId="40">
    <w:abstractNumId w:val="18"/>
  </w:num>
  <w:num w:numId="41">
    <w:abstractNumId w:val="14"/>
  </w:num>
  <w:num w:numId="42">
    <w:abstractNumId w:val="35"/>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EE"/>
    <w:rsid w:val="00001BF5"/>
    <w:rsid w:val="00004058"/>
    <w:rsid w:val="00044E18"/>
    <w:rsid w:val="00046D24"/>
    <w:rsid w:val="00077BDE"/>
    <w:rsid w:val="00080426"/>
    <w:rsid w:val="00081E51"/>
    <w:rsid w:val="0008483E"/>
    <w:rsid w:val="00097A05"/>
    <w:rsid w:val="000C5560"/>
    <w:rsid w:val="000C603F"/>
    <w:rsid w:val="000D0877"/>
    <w:rsid w:val="000D3698"/>
    <w:rsid w:val="000D5302"/>
    <w:rsid w:val="000D7CFE"/>
    <w:rsid w:val="000F10BF"/>
    <w:rsid w:val="000F18D2"/>
    <w:rsid w:val="000F3B55"/>
    <w:rsid w:val="000F568B"/>
    <w:rsid w:val="00104CBD"/>
    <w:rsid w:val="001131CD"/>
    <w:rsid w:val="001216EE"/>
    <w:rsid w:val="00124BA1"/>
    <w:rsid w:val="00141618"/>
    <w:rsid w:val="00143BCD"/>
    <w:rsid w:val="00154979"/>
    <w:rsid w:val="00166EEC"/>
    <w:rsid w:val="001757D3"/>
    <w:rsid w:val="0018020B"/>
    <w:rsid w:val="001852A0"/>
    <w:rsid w:val="00187FB5"/>
    <w:rsid w:val="001A0FA1"/>
    <w:rsid w:val="001A4D96"/>
    <w:rsid w:val="001B0720"/>
    <w:rsid w:val="001B4573"/>
    <w:rsid w:val="001C14A0"/>
    <w:rsid w:val="001C580A"/>
    <w:rsid w:val="001D6D83"/>
    <w:rsid w:val="001E0247"/>
    <w:rsid w:val="001F2F73"/>
    <w:rsid w:val="001F5320"/>
    <w:rsid w:val="00200B76"/>
    <w:rsid w:val="00201A59"/>
    <w:rsid w:val="0020293B"/>
    <w:rsid w:val="00203B76"/>
    <w:rsid w:val="002109C4"/>
    <w:rsid w:val="0021288E"/>
    <w:rsid w:val="00212CDB"/>
    <w:rsid w:val="00213F00"/>
    <w:rsid w:val="00222B40"/>
    <w:rsid w:val="00231594"/>
    <w:rsid w:val="00231E79"/>
    <w:rsid w:val="00237212"/>
    <w:rsid w:val="0024250E"/>
    <w:rsid w:val="00246E9F"/>
    <w:rsid w:val="00253014"/>
    <w:rsid w:val="00254350"/>
    <w:rsid w:val="00254ED1"/>
    <w:rsid w:val="00257CB1"/>
    <w:rsid w:val="00267D0C"/>
    <w:rsid w:val="00284D9C"/>
    <w:rsid w:val="00287542"/>
    <w:rsid w:val="002A0ADD"/>
    <w:rsid w:val="002A4754"/>
    <w:rsid w:val="002B25A0"/>
    <w:rsid w:val="002B3B0A"/>
    <w:rsid w:val="002C0252"/>
    <w:rsid w:val="002C3B19"/>
    <w:rsid w:val="002D48D8"/>
    <w:rsid w:val="002E6C84"/>
    <w:rsid w:val="002F03EB"/>
    <w:rsid w:val="002F26D8"/>
    <w:rsid w:val="002F514D"/>
    <w:rsid w:val="00302AC3"/>
    <w:rsid w:val="0030472A"/>
    <w:rsid w:val="00315CC3"/>
    <w:rsid w:val="003173E1"/>
    <w:rsid w:val="003340B4"/>
    <w:rsid w:val="003409F4"/>
    <w:rsid w:val="00340BD6"/>
    <w:rsid w:val="00353FAA"/>
    <w:rsid w:val="003612E6"/>
    <w:rsid w:val="003671DF"/>
    <w:rsid w:val="00367D86"/>
    <w:rsid w:val="0038030B"/>
    <w:rsid w:val="003811B7"/>
    <w:rsid w:val="00382270"/>
    <w:rsid w:val="00383BB5"/>
    <w:rsid w:val="00386B8C"/>
    <w:rsid w:val="00390785"/>
    <w:rsid w:val="003A0E66"/>
    <w:rsid w:val="003A1CEE"/>
    <w:rsid w:val="003A44FC"/>
    <w:rsid w:val="003A4505"/>
    <w:rsid w:val="003A65A7"/>
    <w:rsid w:val="003B69C4"/>
    <w:rsid w:val="003C1E38"/>
    <w:rsid w:val="003C38B6"/>
    <w:rsid w:val="003E2297"/>
    <w:rsid w:val="003F0C04"/>
    <w:rsid w:val="003F223F"/>
    <w:rsid w:val="003F495A"/>
    <w:rsid w:val="003F5256"/>
    <w:rsid w:val="00404E8F"/>
    <w:rsid w:val="004137C7"/>
    <w:rsid w:val="00413E39"/>
    <w:rsid w:val="0041705C"/>
    <w:rsid w:val="00425DA9"/>
    <w:rsid w:val="00427283"/>
    <w:rsid w:val="00427700"/>
    <w:rsid w:val="00447ED3"/>
    <w:rsid w:val="00451608"/>
    <w:rsid w:val="00453AF1"/>
    <w:rsid w:val="004619A7"/>
    <w:rsid w:val="004901E1"/>
    <w:rsid w:val="004935F6"/>
    <w:rsid w:val="004960C2"/>
    <w:rsid w:val="004A6927"/>
    <w:rsid w:val="004C3ED1"/>
    <w:rsid w:val="004C6C36"/>
    <w:rsid w:val="004C7E97"/>
    <w:rsid w:val="004D6D39"/>
    <w:rsid w:val="004E2486"/>
    <w:rsid w:val="004E484E"/>
    <w:rsid w:val="004E5311"/>
    <w:rsid w:val="004E5449"/>
    <w:rsid w:val="004F5B1D"/>
    <w:rsid w:val="00507CD2"/>
    <w:rsid w:val="00510FB0"/>
    <w:rsid w:val="00512317"/>
    <w:rsid w:val="00512876"/>
    <w:rsid w:val="0051353D"/>
    <w:rsid w:val="0052472C"/>
    <w:rsid w:val="0052520B"/>
    <w:rsid w:val="00530124"/>
    <w:rsid w:val="00531541"/>
    <w:rsid w:val="00533BAD"/>
    <w:rsid w:val="00542166"/>
    <w:rsid w:val="00542694"/>
    <w:rsid w:val="00552DCE"/>
    <w:rsid w:val="005548AE"/>
    <w:rsid w:val="00554A87"/>
    <w:rsid w:val="00555329"/>
    <w:rsid w:val="00555BB3"/>
    <w:rsid w:val="005572A8"/>
    <w:rsid w:val="0056427E"/>
    <w:rsid w:val="00570B53"/>
    <w:rsid w:val="005874A5"/>
    <w:rsid w:val="005A4E49"/>
    <w:rsid w:val="005B7160"/>
    <w:rsid w:val="005C4ECC"/>
    <w:rsid w:val="005C7D65"/>
    <w:rsid w:val="005D4173"/>
    <w:rsid w:val="005D4385"/>
    <w:rsid w:val="005E2FA9"/>
    <w:rsid w:val="005F1B84"/>
    <w:rsid w:val="005F6576"/>
    <w:rsid w:val="00600964"/>
    <w:rsid w:val="006038BE"/>
    <w:rsid w:val="00604C63"/>
    <w:rsid w:val="00606CC5"/>
    <w:rsid w:val="006124AA"/>
    <w:rsid w:val="00620AC2"/>
    <w:rsid w:val="0062280C"/>
    <w:rsid w:val="00631051"/>
    <w:rsid w:val="00631687"/>
    <w:rsid w:val="0063484B"/>
    <w:rsid w:val="00637543"/>
    <w:rsid w:val="00642395"/>
    <w:rsid w:val="006521F3"/>
    <w:rsid w:val="006530B0"/>
    <w:rsid w:val="0065422C"/>
    <w:rsid w:val="0065434F"/>
    <w:rsid w:val="00667895"/>
    <w:rsid w:val="00671CEB"/>
    <w:rsid w:val="00672385"/>
    <w:rsid w:val="00677398"/>
    <w:rsid w:val="00687461"/>
    <w:rsid w:val="006920A6"/>
    <w:rsid w:val="00692476"/>
    <w:rsid w:val="00695E6D"/>
    <w:rsid w:val="006B2F1D"/>
    <w:rsid w:val="006B7AEE"/>
    <w:rsid w:val="006C5E58"/>
    <w:rsid w:val="006C6741"/>
    <w:rsid w:val="006D7FE7"/>
    <w:rsid w:val="006E11B2"/>
    <w:rsid w:val="006E2682"/>
    <w:rsid w:val="00702DF0"/>
    <w:rsid w:val="0070797F"/>
    <w:rsid w:val="00722205"/>
    <w:rsid w:val="00724795"/>
    <w:rsid w:val="00725EE3"/>
    <w:rsid w:val="0073177B"/>
    <w:rsid w:val="0073717A"/>
    <w:rsid w:val="007433C6"/>
    <w:rsid w:val="007532EC"/>
    <w:rsid w:val="0076041A"/>
    <w:rsid w:val="00762268"/>
    <w:rsid w:val="00763A82"/>
    <w:rsid w:val="00765BC8"/>
    <w:rsid w:val="0077210C"/>
    <w:rsid w:val="0078589C"/>
    <w:rsid w:val="007909A7"/>
    <w:rsid w:val="007A0C6F"/>
    <w:rsid w:val="007A14B3"/>
    <w:rsid w:val="007A1EBA"/>
    <w:rsid w:val="007A267D"/>
    <w:rsid w:val="007B6E0D"/>
    <w:rsid w:val="007C5CA5"/>
    <w:rsid w:val="007D391F"/>
    <w:rsid w:val="007D5050"/>
    <w:rsid w:val="007E1035"/>
    <w:rsid w:val="007E2E0B"/>
    <w:rsid w:val="007F591F"/>
    <w:rsid w:val="00807BED"/>
    <w:rsid w:val="00811A13"/>
    <w:rsid w:val="00812482"/>
    <w:rsid w:val="00817FF3"/>
    <w:rsid w:val="00833F84"/>
    <w:rsid w:val="00841A99"/>
    <w:rsid w:val="00852CFD"/>
    <w:rsid w:val="00865773"/>
    <w:rsid w:val="008711B0"/>
    <w:rsid w:val="008732D9"/>
    <w:rsid w:val="00880016"/>
    <w:rsid w:val="00880BDA"/>
    <w:rsid w:val="008823E5"/>
    <w:rsid w:val="00886344"/>
    <w:rsid w:val="008875BC"/>
    <w:rsid w:val="0089112D"/>
    <w:rsid w:val="00897808"/>
    <w:rsid w:val="008A35C3"/>
    <w:rsid w:val="008A3FC3"/>
    <w:rsid w:val="008B0F38"/>
    <w:rsid w:val="008B2B5A"/>
    <w:rsid w:val="008B38F5"/>
    <w:rsid w:val="008C1055"/>
    <w:rsid w:val="008C388E"/>
    <w:rsid w:val="008C4B34"/>
    <w:rsid w:val="008C5406"/>
    <w:rsid w:val="008D5087"/>
    <w:rsid w:val="008D517A"/>
    <w:rsid w:val="008E217E"/>
    <w:rsid w:val="008E2A28"/>
    <w:rsid w:val="008E2BBB"/>
    <w:rsid w:val="008E4FFF"/>
    <w:rsid w:val="0091291E"/>
    <w:rsid w:val="0091369E"/>
    <w:rsid w:val="00914243"/>
    <w:rsid w:val="0092231E"/>
    <w:rsid w:val="00927881"/>
    <w:rsid w:val="00936A74"/>
    <w:rsid w:val="00944CAF"/>
    <w:rsid w:val="009478E5"/>
    <w:rsid w:val="0096559F"/>
    <w:rsid w:val="0096569F"/>
    <w:rsid w:val="0099786C"/>
    <w:rsid w:val="009A321C"/>
    <w:rsid w:val="009B51F5"/>
    <w:rsid w:val="009B5DA3"/>
    <w:rsid w:val="009B6FD0"/>
    <w:rsid w:val="009D116D"/>
    <w:rsid w:val="009D163C"/>
    <w:rsid w:val="009D26ED"/>
    <w:rsid w:val="009E74E1"/>
    <w:rsid w:val="00A176AB"/>
    <w:rsid w:val="00A17EAA"/>
    <w:rsid w:val="00A24247"/>
    <w:rsid w:val="00A2610F"/>
    <w:rsid w:val="00A3123C"/>
    <w:rsid w:val="00A31797"/>
    <w:rsid w:val="00A4158C"/>
    <w:rsid w:val="00A442B9"/>
    <w:rsid w:val="00A45663"/>
    <w:rsid w:val="00A56A5E"/>
    <w:rsid w:val="00A57831"/>
    <w:rsid w:val="00A57C69"/>
    <w:rsid w:val="00A65E02"/>
    <w:rsid w:val="00A828E9"/>
    <w:rsid w:val="00A83C8F"/>
    <w:rsid w:val="00A85721"/>
    <w:rsid w:val="00AA2731"/>
    <w:rsid w:val="00AA3745"/>
    <w:rsid w:val="00AA3852"/>
    <w:rsid w:val="00AA6C91"/>
    <w:rsid w:val="00AB1412"/>
    <w:rsid w:val="00AB3CAF"/>
    <w:rsid w:val="00AC0F4B"/>
    <w:rsid w:val="00AD22B8"/>
    <w:rsid w:val="00AD2BC3"/>
    <w:rsid w:val="00AE25AA"/>
    <w:rsid w:val="00AF0EBC"/>
    <w:rsid w:val="00AF1441"/>
    <w:rsid w:val="00B01E72"/>
    <w:rsid w:val="00B10CB4"/>
    <w:rsid w:val="00B11D80"/>
    <w:rsid w:val="00B15178"/>
    <w:rsid w:val="00B16797"/>
    <w:rsid w:val="00B226A9"/>
    <w:rsid w:val="00B30172"/>
    <w:rsid w:val="00B345F1"/>
    <w:rsid w:val="00B34C19"/>
    <w:rsid w:val="00B36F8F"/>
    <w:rsid w:val="00B375F6"/>
    <w:rsid w:val="00B43AE3"/>
    <w:rsid w:val="00B524BA"/>
    <w:rsid w:val="00B56795"/>
    <w:rsid w:val="00B57936"/>
    <w:rsid w:val="00B60A6E"/>
    <w:rsid w:val="00B6632F"/>
    <w:rsid w:val="00B724D0"/>
    <w:rsid w:val="00B732C3"/>
    <w:rsid w:val="00B737BD"/>
    <w:rsid w:val="00B80215"/>
    <w:rsid w:val="00B81A3F"/>
    <w:rsid w:val="00B853EC"/>
    <w:rsid w:val="00B95B80"/>
    <w:rsid w:val="00BC1B49"/>
    <w:rsid w:val="00BC6CAF"/>
    <w:rsid w:val="00BD295F"/>
    <w:rsid w:val="00BE5084"/>
    <w:rsid w:val="00BE6C48"/>
    <w:rsid w:val="00BF087F"/>
    <w:rsid w:val="00BF327C"/>
    <w:rsid w:val="00BF6268"/>
    <w:rsid w:val="00BF78A9"/>
    <w:rsid w:val="00C022D8"/>
    <w:rsid w:val="00C14057"/>
    <w:rsid w:val="00C14A77"/>
    <w:rsid w:val="00C16842"/>
    <w:rsid w:val="00C400EE"/>
    <w:rsid w:val="00C446D3"/>
    <w:rsid w:val="00C53608"/>
    <w:rsid w:val="00C54A3C"/>
    <w:rsid w:val="00C63D1E"/>
    <w:rsid w:val="00C701FD"/>
    <w:rsid w:val="00C806FA"/>
    <w:rsid w:val="00C8308B"/>
    <w:rsid w:val="00C86BF7"/>
    <w:rsid w:val="00C878B3"/>
    <w:rsid w:val="00CA144C"/>
    <w:rsid w:val="00CA36D5"/>
    <w:rsid w:val="00CA747B"/>
    <w:rsid w:val="00CB0EEE"/>
    <w:rsid w:val="00CB1412"/>
    <w:rsid w:val="00CD5B2B"/>
    <w:rsid w:val="00CE6FAB"/>
    <w:rsid w:val="00CF0148"/>
    <w:rsid w:val="00D02706"/>
    <w:rsid w:val="00D178DC"/>
    <w:rsid w:val="00D246C7"/>
    <w:rsid w:val="00D31290"/>
    <w:rsid w:val="00D315CF"/>
    <w:rsid w:val="00D4373D"/>
    <w:rsid w:val="00D53650"/>
    <w:rsid w:val="00D55616"/>
    <w:rsid w:val="00D615E5"/>
    <w:rsid w:val="00D616C5"/>
    <w:rsid w:val="00D769B1"/>
    <w:rsid w:val="00D928DE"/>
    <w:rsid w:val="00D9366B"/>
    <w:rsid w:val="00D95CE8"/>
    <w:rsid w:val="00D97F9B"/>
    <w:rsid w:val="00DA668B"/>
    <w:rsid w:val="00DA682D"/>
    <w:rsid w:val="00DB7BD7"/>
    <w:rsid w:val="00DC0AEB"/>
    <w:rsid w:val="00DC4726"/>
    <w:rsid w:val="00DD01F0"/>
    <w:rsid w:val="00DD0D69"/>
    <w:rsid w:val="00DD1DE8"/>
    <w:rsid w:val="00DE026D"/>
    <w:rsid w:val="00DE1C87"/>
    <w:rsid w:val="00DE3BFE"/>
    <w:rsid w:val="00DE4424"/>
    <w:rsid w:val="00DE6C71"/>
    <w:rsid w:val="00DF0A48"/>
    <w:rsid w:val="00DF5210"/>
    <w:rsid w:val="00E11B52"/>
    <w:rsid w:val="00E20C1B"/>
    <w:rsid w:val="00E25E39"/>
    <w:rsid w:val="00E34817"/>
    <w:rsid w:val="00E46B4E"/>
    <w:rsid w:val="00E51785"/>
    <w:rsid w:val="00E547E3"/>
    <w:rsid w:val="00E54FF0"/>
    <w:rsid w:val="00E56013"/>
    <w:rsid w:val="00E57276"/>
    <w:rsid w:val="00E71BD5"/>
    <w:rsid w:val="00E73DB2"/>
    <w:rsid w:val="00E7575A"/>
    <w:rsid w:val="00E8562F"/>
    <w:rsid w:val="00EB034F"/>
    <w:rsid w:val="00EB1F28"/>
    <w:rsid w:val="00EB5A58"/>
    <w:rsid w:val="00EC3067"/>
    <w:rsid w:val="00ED180A"/>
    <w:rsid w:val="00EE31C8"/>
    <w:rsid w:val="00EF07FA"/>
    <w:rsid w:val="00F0071D"/>
    <w:rsid w:val="00F01639"/>
    <w:rsid w:val="00F11DF1"/>
    <w:rsid w:val="00F12A66"/>
    <w:rsid w:val="00F1715E"/>
    <w:rsid w:val="00F20FEA"/>
    <w:rsid w:val="00F252C0"/>
    <w:rsid w:val="00F31F44"/>
    <w:rsid w:val="00F32634"/>
    <w:rsid w:val="00F37B13"/>
    <w:rsid w:val="00F40192"/>
    <w:rsid w:val="00F4534B"/>
    <w:rsid w:val="00F508FB"/>
    <w:rsid w:val="00F5264C"/>
    <w:rsid w:val="00F570A7"/>
    <w:rsid w:val="00F57C12"/>
    <w:rsid w:val="00F60F73"/>
    <w:rsid w:val="00F6452C"/>
    <w:rsid w:val="00F7463A"/>
    <w:rsid w:val="00F75159"/>
    <w:rsid w:val="00F772D3"/>
    <w:rsid w:val="00F84456"/>
    <w:rsid w:val="00F907B9"/>
    <w:rsid w:val="00F976FA"/>
    <w:rsid w:val="00FA1788"/>
    <w:rsid w:val="00FA47C7"/>
    <w:rsid w:val="00FA62AF"/>
    <w:rsid w:val="00FB6F41"/>
    <w:rsid w:val="00FC6AEC"/>
    <w:rsid w:val="00FD3DD6"/>
    <w:rsid w:val="00FD559B"/>
    <w:rsid w:val="00FE6695"/>
    <w:rsid w:val="00FF1CF3"/>
    <w:rsid w:val="00FF2715"/>
    <w:rsid w:val="00FF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E69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CFE"/>
    <w:pPr>
      <w:spacing w:after="200"/>
    </w:pPr>
    <w:rPr>
      <w:rFonts w:ascii="Calibri" w:hAnsi="Calibri"/>
      <w:sz w:val="22"/>
      <w:szCs w:val="24"/>
    </w:rPr>
  </w:style>
  <w:style w:type="paragraph" w:styleId="Heading1">
    <w:name w:val="heading 1"/>
    <w:basedOn w:val="Normal"/>
    <w:next w:val="Normal"/>
    <w:link w:val="Heading1Char"/>
    <w:qFormat/>
    <w:rsid w:val="002B3B0A"/>
    <w:pPr>
      <w:keepNext/>
      <w:spacing w:after="360"/>
      <w:contextualSpacing/>
      <w:outlineLvl w:val="0"/>
    </w:pPr>
    <w:rPr>
      <w:rFonts w:ascii="Futura Std Light" w:hAnsi="Futura Std Light" w:cs="Arial"/>
      <w:b/>
      <w:bCs/>
      <w:color w:val="005187" w:themeColor="accent1"/>
      <w:kern w:val="40"/>
      <w:sz w:val="48"/>
      <w:szCs w:val="32"/>
    </w:rPr>
  </w:style>
  <w:style w:type="paragraph" w:styleId="Heading2">
    <w:name w:val="heading 2"/>
    <w:basedOn w:val="Normal"/>
    <w:next w:val="Normal"/>
    <w:qFormat/>
    <w:rsid w:val="002B3B0A"/>
    <w:pPr>
      <w:keepNext/>
      <w:spacing w:before="240" w:after="40"/>
      <w:contextualSpacing/>
      <w:outlineLvl w:val="1"/>
    </w:pPr>
    <w:rPr>
      <w:rFonts w:ascii="Futura Std Medium" w:hAnsi="Futura Std Medium" w:cs="Arial"/>
      <w:bCs/>
      <w:iCs/>
      <w:color w:val="005187" w:themeColor="accent1"/>
      <w:sz w:val="30"/>
      <w:szCs w:val="28"/>
    </w:rPr>
  </w:style>
  <w:style w:type="paragraph" w:styleId="Heading3">
    <w:name w:val="heading 3"/>
    <w:basedOn w:val="Normal"/>
    <w:next w:val="Normal"/>
    <w:qFormat/>
    <w:rsid w:val="002B3B0A"/>
    <w:pPr>
      <w:keepNext/>
      <w:spacing w:before="240" w:after="20"/>
      <w:contextualSpacing/>
      <w:outlineLvl w:val="2"/>
    </w:pPr>
    <w:rPr>
      <w:rFonts w:cs="Arial"/>
      <w:b/>
      <w:bCs/>
      <w:color w:val="005187" w:themeColor="accent1"/>
      <w:sz w:val="24"/>
      <w:szCs w:val="26"/>
    </w:rPr>
  </w:style>
  <w:style w:type="paragraph" w:styleId="Heading4">
    <w:name w:val="heading 4"/>
    <w:basedOn w:val="Normal"/>
    <w:next w:val="Normal"/>
    <w:link w:val="Heading4Char"/>
    <w:qFormat/>
    <w:rsid w:val="002B3B0A"/>
    <w:pPr>
      <w:keepNext/>
      <w:spacing w:before="200"/>
      <w:outlineLvl w:val="3"/>
    </w:pPr>
    <w:rPr>
      <w:b/>
      <w:bCs/>
      <w:color w:val="005187"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5B80"/>
    <w:pPr>
      <w:spacing w:after="40"/>
      <w:jc w:val="right"/>
      <w:outlineLvl w:val="0"/>
    </w:pPr>
    <w:rPr>
      <w:rFonts w:ascii="Futura Std Medium" w:hAnsi="Futura Std Medium" w:cs="Arial"/>
      <w:bCs/>
      <w:color w:val="FFFFFF"/>
      <w:kern w:val="48"/>
      <w:sz w:val="48"/>
      <w:szCs w:val="32"/>
    </w:rPr>
  </w:style>
  <w:style w:type="paragraph" w:styleId="Subtitle">
    <w:name w:val="Subtitle"/>
    <w:qFormat/>
    <w:rsid w:val="00B95B80"/>
    <w:pPr>
      <w:jc w:val="right"/>
      <w:outlineLvl w:val="1"/>
    </w:pPr>
    <w:rPr>
      <w:rFonts w:ascii="Futura Std Medium" w:hAnsi="Futura Std Medium" w:cs="Arial"/>
      <w:bCs/>
      <w:iCs/>
      <w:color w:val="FFFFFF"/>
      <w:sz w:val="30"/>
      <w:szCs w:val="28"/>
    </w:rPr>
  </w:style>
  <w:style w:type="paragraph" w:styleId="Footer">
    <w:name w:val="footer"/>
    <w:basedOn w:val="Normal"/>
    <w:link w:val="FooterChar"/>
    <w:rsid w:val="001131CD"/>
    <w:pPr>
      <w:tabs>
        <w:tab w:val="center" w:pos="4153"/>
        <w:tab w:val="right" w:pos="8306"/>
      </w:tabs>
      <w:spacing w:after="0"/>
      <w:jc w:val="right"/>
    </w:pPr>
    <w:rPr>
      <w:rFonts w:ascii="Futura Std Medium" w:hAnsi="Futura Std Medium"/>
      <w:color w:val="606060"/>
      <w:sz w:val="16"/>
    </w:rPr>
  </w:style>
  <w:style w:type="paragraph" w:customStyle="1" w:styleId="Contents">
    <w:name w:val="Contents"/>
    <w:basedOn w:val="Normal"/>
    <w:rsid w:val="009D26ED"/>
    <w:pPr>
      <w:pBdr>
        <w:bottom w:val="single" w:sz="4" w:space="1" w:color="606060"/>
      </w:pBdr>
      <w:spacing w:after="360"/>
      <w:contextualSpacing/>
    </w:pPr>
    <w:rPr>
      <w:rFonts w:ascii="Futura Std Medium" w:hAnsi="Futura Std Medium"/>
      <w:color w:val="005187"/>
      <w:sz w:val="48"/>
    </w:rPr>
  </w:style>
  <w:style w:type="paragraph" w:styleId="TOC1">
    <w:name w:val="toc 1"/>
    <w:basedOn w:val="Normal"/>
    <w:next w:val="Normal"/>
    <w:autoRedefine/>
    <w:uiPriority w:val="39"/>
    <w:rsid w:val="009D26ED"/>
  </w:style>
  <w:style w:type="paragraph" w:styleId="NoSpacing">
    <w:name w:val="No Spacing"/>
    <w:basedOn w:val="Normal"/>
    <w:qFormat/>
    <w:rsid w:val="00B95B80"/>
    <w:pPr>
      <w:spacing w:after="0"/>
    </w:pPr>
  </w:style>
  <w:style w:type="table" w:customStyle="1" w:styleId="QuantumBasicTable">
    <w:name w:val="Quantum Basic Table"/>
    <w:basedOn w:val="TableNormal"/>
    <w:rsid w:val="009E74E1"/>
    <w:pPr>
      <w:spacing w:before="40" w:after="40"/>
    </w:pPr>
    <w:rPr>
      <w:rFonts w:ascii="Calibri" w:hAnsi="Calibri"/>
      <w:sz w:val="22"/>
    </w:rPr>
    <w:tblPr>
      <w:tblBorders>
        <w:top w:val="single" w:sz="12" w:space="0" w:color="005187"/>
        <w:left w:val="single" w:sz="12" w:space="0" w:color="005187"/>
        <w:bottom w:val="single" w:sz="12" w:space="0" w:color="005187"/>
        <w:right w:val="single" w:sz="12" w:space="0" w:color="005187"/>
        <w:insideH w:val="single" w:sz="12" w:space="0" w:color="005187"/>
        <w:insideV w:val="single" w:sz="12" w:space="0" w:color="005187"/>
      </w:tblBorders>
    </w:tblPr>
    <w:tcPr>
      <w:vAlign w:val="center"/>
    </w:tcPr>
    <w:tblStylePr w:type="firstRow">
      <w:rPr>
        <w:b/>
        <w:color w:val="FFFFFF" w:themeColor="background1"/>
      </w:rPr>
      <w:tblPr/>
      <w:tcPr>
        <w:tcBorders>
          <w:top w:val="single" w:sz="4" w:space="0" w:color="005187" w:themeColor="accent1"/>
          <w:left w:val="single" w:sz="4" w:space="0" w:color="005187" w:themeColor="accent1"/>
          <w:bottom w:val="single" w:sz="4" w:space="0" w:color="005187" w:themeColor="accent1"/>
          <w:right w:val="single" w:sz="4" w:space="0" w:color="005187" w:themeColor="accent1"/>
          <w:insideH w:val="nil"/>
          <w:insideV w:val="single" w:sz="4" w:space="0" w:color="005187" w:themeColor="accent1"/>
          <w:tl2br w:val="nil"/>
          <w:tr2bl w:val="nil"/>
        </w:tcBorders>
        <w:shd w:val="clear" w:color="auto" w:fill="005187" w:themeFill="accent1"/>
      </w:tcPr>
    </w:tblStylePr>
  </w:style>
  <w:style w:type="table" w:customStyle="1" w:styleId="QuantumBandedTable">
    <w:name w:val="Quantum Banded Table"/>
    <w:basedOn w:val="TableNormal"/>
    <w:rsid w:val="00A57C69"/>
    <w:pPr>
      <w:spacing w:before="120" w:after="120"/>
    </w:pPr>
    <w:rPr>
      <w:rFonts w:ascii="Calibri" w:hAnsi="Calibri"/>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vAlign w:val="center"/>
    </w:tcPr>
    <w:tblStylePr w:type="firstRow">
      <w:pPr>
        <w:wordWrap/>
        <w:spacing w:beforeLines="0" w:before="40" w:beforeAutospacing="0" w:afterLines="0" w:after="40" w:afterAutospacing="0" w:line="240" w:lineRule="auto"/>
      </w:pPr>
      <w:rPr>
        <w:b/>
        <w:color w:val="FFFFFF"/>
      </w:rPr>
      <w:tblPr/>
      <w:tcPr>
        <w:tc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nil"/>
          <w:insideV w:val="single" w:sz="6" w:space="0" w:color="FFFFFF" w:themeColor="background1"/>
          <w:tl2br w:val="nil"/>
          <w:tr2bl w:val="nil"/>
        </w:tcBorders>
        <w:shd w:val="clear" w:color="auto" w:fill="005187" w:themeFill="accent1"/>
      </w:tcPr>
    </w:tblStylePr>
    <w:tblStylePr w:type="band1Horz">
      <w:pPr>
        <w:wordWrap/>
        <w:spacing w:beforeLines="0" w:before="40" w:beforeAutospacing="0" w:afterLines="0" w:after="40" w:afterAutospacing="0"/>
      </w:pPr>
      <w:tblPr/>
      <w:tcPr>
        <w:shd w:val="clear" w:color="auto" w:fill="DAE3EE" w:themeFill="accent2"/>
      </w:tcPr>
    </w:tblStylePr>
    <w:tblStylePr w:type="band2Horz">
      <w:pPr>
        <w:wordWrap/>
        <w:spacing w:beforeLines="0" w:before="40" w:beforeAutospacing="0" w:afterLines="0" w:after="40" w:afterAutospacing="0"/>
      </w:pPr>
      <w:rPr>
        <w:color w:val="auto"/>
      </w:rPr>
      <w:tblPr/>
      <w:tcPr>
        <w:shd w:val="clear" w:color="auto" w:fill="F7F9FB" w:themeFill="accent3"/>
      </w:tcPr>
    </w:tblStylePr>
  </w:style>
  <w:style w:type="paragraph" w:styleId="ListBullet">
    <w:name w:val="List Bullet"/>
    <w:basedOn w:val="Normal"/>
    <w:qFormat/>
    <w:rsid w:val="004C7E97"/>
    <w:pPr>
      <w:numPr>
        <w:numId w:val="26"/>
      </w:numPr>
      <w:contextualSpacing/>
    </w:pPr>
  </w:style>
  <w:style w:type="paragraph" w:styleId="ListNumber">
    <w:name w:val="List Number"/>
    <w:basedOn w:val="Normal"/>
    <w:qFormat/>
    <w:rsid w:val="004C7E97"/>
    <w:pPr>
      <w:numPr>
        <w:numId w:val="27"/>
      </w:numPr>
    </w:pPr>
  </w:style>
  <w:style w:type="paragraph" w:styleId="Header">
    <w:name w:val="header"/>
    <w:basedOn w:val="Normal"/>
    <w:link w:val="HeaderChar"/>
    <w:rsid w:val="00C022D8"/>
    <w:pPr>
      <w:tabs>
        <w:tab w:val="center" w:pos="4513"/>
        <w:tab w:val="right" w:pos="9026"/>
      </w:tabs>
    </w:pPr>
  </w:style>
  <w:style w:type="character" w:customStyle="1" w:styleId="HeaderChar">
    <w:name w:val="Header Char"/>
    <w:link w:val="Header"/>
    <w:rsid w:val="00C022D8"/>
    <w:rPr>
      <w:rFonts w:ascii="Calibri" w:hAnsi="Calibri"/>
      <w:sz w:val="22"/>
      <w:szCs w:val="24"/>
    </w:rPr>
  </w:style>
  <w:style w:type="character" w:customStyle="1" w:styleId="Heading1Char">
    <w:name w:val="Heading 1 Char"/>
    <w:link w:val="Heading1"/>
    <w:rsid w:val="002B3B0A"/>
    <w:rPr>
      <w:rFonts w:ascii="Futura Std Light" w:hAnsi="Futura Std Light" w:cs="Arial"/>
      <w:b/>
      <w:bCs/>
      <w:color w:val="005187" w:themeColor="accent1"/>
      <w:kern w:val="40"/>
      <w:sz w:val="48"/>
      <w:szCs w:val="32"/>
    </w:rPr>
  </w:style>
  <w:style w:type="character" w:styleId="Emphasis">
    <w:name w:val="Emphasis"/>
    <w:qFormat/>
    <w:rsid w:val="00B95B80"/>
    <w:rPr>
      <w:i/>
      <w:iCs/>
    </w:rPr>
  </w:style>
  <w:style w:type="paragraph" w:styleId="ListParagraph">
    <w:name w:val="List Paragraph"/>
    <w:basedOn w:val="Normal"/>
    <w:uiPriority w:val="34"/>
    <w:qFormat/>
    <w:rsid w:val="00B95B80"/>
    <w:pPr>
      <w:ind w:left="720"/>
      <w:contextualSpacing/>
    </w:pPr>
  </w:style>
  <w:style w:type="paragraph" w:customStyle="1" w:styleId="H1-NotShowninContents">
    <w:name w:val="H1 - Not Shown in Contents"/>
    <w:basedOn w:val="Heading1"/>
    <w:next w:val="Normal"/>
    <w:qFormat/>
    <w:rsid w:val="00E20C1B"/>
  </w:style>
  <w:style w:type="character" w:styleId="PageNumber">
    <w:name w:val="page number"/>
    <w:basedOn w:val="DefaultParagraphFont"/>
    <w:rsid w:val="00BC6CAF"/>
  </w:style>
  <w:style w:type="table" w:customStyle="1" w:styleId="TableGrid1">
    <w:name w:val="Table Grid1"/>
    <w:basedOn w:val="TableNormal"/>
    <w:uiPriority w:val="99"/>
    <w:rsid w:val="00BC6CAF"/>
    <w:rPr>
      <w:rFonts w:ascii="Calibri" w:hAnsi="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C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Normal"/>
    <w:qFormat/>
    <w:rsid w:val="001B4573"/>
    <w:pPr>
      <w:tabs>
        <w:tab w:val="left" w:pos="567"/>
      </w:tabs>
      <w:overflowPunct w:val="0"/>
      <w:autoSpaceDE w:val="0"/>
      <w:autoSpaceDN w:val="0"/>
      <w:adjustRightInd w:val="0"/>
      <w:spacing w:before="200" w:line="300" w:lineRule="auto"/>
      <w:textAlignment w:val="baseline"/>
    </w:pPr>
    <w:rPr>
      <w:rFonts w:ascii="Arial" w:hAnsi="Arial"/>
      <w:b/>
      <w:kern w:val="16"/>
      <w:sz w:val="20"/>
      <w:szCs w:val="20"/>
    </w:rPr>
  </w:style>
  <w:style w:type="paragraph" w:styleId="BalloonText">
    <w:name w:val="Balloon Text"/>
    <w:basedOn w:val="Normal"/>
    <w:link w:val="BalloonTextChar"/>
    <w:rsid w:val="001B4573"/>
    <w:pPr>
      <w:spacing w:after="0"/>
    </w:pPr>
    <w:rPr>
      <w:rFonts w:ascii="Tahoma" w:hAnsi="Tahoma" w:cs="Tahoma"/>
      <w:sz w:val="16"/>
      <w:szCs w:val="16"/>
    </w:rPr>
  </w:style>
  <w:style w:type="character" w:customStyle="1" w:styleId="BalloonTextChar">
    <w:name w:val="Balloon Text Char"/>
    <w:basedOn w:val="DefaultParagraphFont"/>
    <w:link w:val="BalloonText"/>
    <w:rsid w:val="001B4573"/>
    <w:rPr>
      <w:rFonts w:ascii="Tahoma" w:hAnsi="Tahoma" w:cs="Tahoma"/>
      <w:sz w:val="16"/>
      <w:szCs w:val="16"/>
    </w:rPr>
  </w:style>
  <w:style w:type="character" w:styleId="Hyperlink">
    <w:name w:val="Hyperlink"/>
    <w:basedOn w:val="DefaultParagraphFont"/>
    <w:uiPriority w:val="99"/>
    <w:unhideWhenUsed/>
    <w:rsid w:val="007532EC"/>
    <w:rPr>
      <w:color w:val="000000" w:themeColor="hyperlink"/>
      <w:u w:val="single"/>
    </w:rPr>
  </w:style>
  <w:style w:type="character" w:styleId="CommentReference">
    <w:name w:val="annotation reference"/>
    <w:basedOn w:val="DefaultParagraphFont"/>
    <w:semiHidden/>
    <w:unhideWhenUsed/>
    <w:rsid w:val="00DC0AEB"/>
    <w:rPr>
      <w:sz w:val="16"/>
      <w:szCs w:val="16"/>
    </w:rPr>
  </w:style>
  <w:style w:type="paragraph" w:styleId="CommentText">
    <w:name w:val="annotation text"/>
    <w:basedOn w:val="Normal"/>
    <w:link w:val="CommentTextChar"/>
    <w:uiPriority w:val="99"/>
    <w:unhideWhenUsed/>
    <w:rsid w:val="00DC0AEB"/>
    <w:rPr>
      <w:sz w:val="20"/>
      <w:szCs w:val="20"/>
    </w:rPr>
  </w:style>
  <w:style w:type="character" w:customStyle="1" w:styleId="CommentTextChar">
    <w:name w:val="Comment Text Char"/>
    <w:basedOn w:val="DefaultParagraphFont"/>
    <w:link w:val="CommentText"/>
    <w:uiPriority w:val="99"/>
    <w:rsid w:val="00DC0AEB"/>
    <w:rPr>
      <w:rFonts w:ascii="Calibri" w:hAnsi="Calibri"/>
    </w:rPr>
  </w:style>
  <w:style w:type="paragraph" w:styleId="CommentSubject">
    <w:name w:val="annotation subject"/>
    <w:basedOn w:val="CommentText"/>
    <w:next w:val="CommentText"/>
    <w:link w:val="CommentSubjectChar"/>
    <w:semiHidden/>
    <w:unhideWhenUsed/>
    <w:rsid w:val="00DC0AEB"/>
    <w:rPr>
      <w:b/>
      <w:bCs/>
    </w:rPr>
  </w:style>
  <w:style w:type="character" w:customStyle="1" w:styleId="CommentSubjectChar">
    <w:name w:val="Comment Subject Char"/>
    <w:basedOn w:val="CommentTextChar"/>
    <w:link w:val="CommentSubject"/>
    <w:semiHidden/>
    <w:rsid w:val="00DC0AEB"/>
    <w:rPr>
      <w:rFonts w:ascii="Calibri" w:hAnsi="Calibri"/>
      <w:b/>
      <w:bCs/>
    </w:rPr>
  </w:style>
  <w:style w:type="paragraph" w:styleId="Revision">
    <w:name w:val="Revision"/>
    <w:hidden/>
    <w:uiPriority w:val="99"/>
    <w:semiHidden/>
    <w:rsid w:val="00D928DE"/>
    <w:rPr>
      <w:rFonts w:ascii="Calibri" w:hAnsi="Calibri"/>
      <w:sz w:val="22"/>
      <w:szCs w:val="24"/>
    </w:rPr>
  </w:style>
  <w:style w:type="paragraph" w:styleId="NormalWeb">
    <w:name w:val="Normal (Web)"/>
    <w:basedOn w:val="Normal"/>
    <w:uiPriority w:val="99"/>
    <w:semiHidden/>
    <w:unhideWhenUsed/>
    <w:rsid w:val="009478E5"/>
    <w:pPr>
      <w:spacing w:before="100" w:beforeAutospacing="1" w:after="100" w:afterAutospacing="1"/>
    </w:pPr>
    <w:rPr>
      <w:rFonts w:ascii="Times New Roman" w:eastAsiaTheme="minorEastAsia" w:hAnsi="Times New Roman"/>
      <w:sz w:val="24"/>
    </w:rPr>
  </w:style>
  <w:style w:type="paragraph" w:customStyle="1" w:styleId="Tabletextlf">
    <w:name w:val="_Table text lf"/>
    <w:basedOn w:val="Normal"/>
    <w:qFormat/>
    <w:rsid w:val="00D97F9B"/>
    <w:pPr>
      <w:spacing w:after="0" w:line="280" w:lineRule="atLeast"/>
    </w:pPr>
    <w:rPr>
      <w:rFonts w:ascii="Arial" w:hAnsi="Arial"/>
      <w:sz w:val="18"/>
    </w:rPr>
  </w:style>
  <w:style w:type="character" w:customStyle="1" w:styleId="FooterChar">
    <w:name w:val="Footer Char"/>
    <w:basedOn w:val="DefaultParagraphFont"/>
    <w:link w:val="Footer"/>
    <w:rsid w:val="0052520B"/>
    <w:rPr>
      <w:rFonts w:ascii="Futura Std Medium" w:hAnsi="Futura Std Medium"/>
      <w:color w:val="606060"/>
      <w:sz w:val="16"/>
      <w:szCs w:val="24"/>
    </w:rPr>
  </w:style>
  <w:style w:type="character" w:styleId="IntenseEmphasis">
    <w:name w:val="Intense Emphasis"/>
    <w:basedOn w:val="DefaultParagraphFont"/>
    <w:uiPriority w:val="21"/>
    <w:qFormat/>
    <w:rsid w:val="002B3B0A"/>
    <w:rPr>
      <w:i/>
      <w:iCs/>
      <w:color w:val="005187" w:themeColor="accent1"/>
    </w:rPr>
  </w:style>
  <w:style w:type="paragraph" w:styleId="IntenseQuote">
    <w:name w:val="Intense Quote"/>
    <w:basedOn w:val="Normal"/>
    <w:next w:val="Normal"/>
    <w:link w:val="IntenseQuoteChar"/>
    <w:uiPriority w:val="30"/>
    <w:qFormat/>
    <w:rsid w:val="002B3B0A"/>
    <w:pPr>
      <w:pBdr>
        <w:top w:val="single" w:sz="4" w:space="10" w:color="005187" w:themeColor="accent1"/>
        <w:bottom w:val="single" w:sz="4" w:space="10" w:color="005187" w:themeColor="accent1"/>
      </w:pBdr>
      <w:spacing w:before="360" w:after="360"/>
      <w:ind w:left="864" w:right="864"/>
      <w:jc w:val="center"/>
    </w:pPr>
    <w:rPr>
      <w:i/>
      <w:iCs/>
      <w:color w:val="005187" w:themeColor="accent1"/>
    </w:rPr>
  </w:style>
  <w:style w:type="character" w:customStyle="1" w:styleId="IntenseQuoteChar">
    <w:name w:val="Intense Quote Char"/>
    <w:basedOn w:val="DefaultParagraphFont"/>
    <w:link w:val="IntenseQuote"/>
    <w:uiPriority w:val="30"/>
    <w:rsid w:val="002B3B0A"/>
    <w:rPr>
      <w:rFonts w:ascii="Calibri" w:hAnsi="Calibri"/>
      <w:i/>
      <w:iCs/>
      <w:color w:val="005187" w:themeColor="accent1"/>
      <w:sz w:val="22"/>
      <w:szCs w:val="24"/>
    </w:rPr>
  </w:style>
  <w:style w:type="character" w:styleId="IntenseReference">
    <w:name w:val="Intense Reference"/>
    <w:basedOn w:val="DefaultParagraphFont"/>
    <w:uiPriority w:val="32"/>
    <w:qFormat/>
    <w:rsid w:val="002B3B0A"/>
    <w:rPr>
      <w:b/>
      <w:bCs/>
      <w:smallCaps/>
      <w:color w:val="005187" w:themeColor="accent1"/>
      <w:spacing w:val="5"/>
    </w:rPr>
  </w:style>
  <w:style w:type="paragraph" w:customStyle="1" w:styleId="Default">
    <w:name w:val="Default"/>
    <w:rsid w:val="00C400E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4534B"/>
    <w:rPr>
      <w:color w:val="605E5C"/>
      <w:shd w:val="clear" w:color="auto" w:fill="E1DFDD"/>
    </w:rPr>
  </w:style>
  <w:style w:type="character" w:customStyle="1" w:styleId="Heading4Char">
    <w:name w:val="Heading 4 Char"/>
    <w:link w:val="Heading4"/>
    <w:rsid w:val="00C63D1E"/>
    <w:rPr>
      <w:rFonts w:ascii="Calibri" w:hAnsi="Calibri"/>
      <w:b/>
      <w:bCs/>
      <w:color w:val="005187" w:themeColor="accent1"/>
      <w:sz w:val="22"/>
      <w:szCs w:val="28"/>
    </w:rPr>
  </w:style>
  <w:style w:type="paragraph" w:styleId="PlainText">
    <w:name w:val="Plain Text"/>
    <w:basedOn w:val="Normal"/>
    <w:link w:val="PlainTextChar"/>
    <w:uiPriority w:val="99"/>
    <w:semiHidden/>
    <w:unhideWhenUsed/>
    <w:rsid w:val="003340B4"/>
    <w:pPr>
      <w:spacing w:after="0"/>
    </w:pPr>
    <w:rPr>
      <w:rFonts w:eastAsiaTheme="minorHAnsi" w:cs="Calibri"/>
      <w:szCs w:val="22"/>
      <w:lang w:eastAsia="en-US"/>
    </w:rPr>
  </w:style>
  <w:style w:type="character" w:customStyle="1" w:styleId="PlainTextChar">
    <w:name w:val="Plain Text Char"/>
    <w:basedOn w:val="DefaultParagraphFont"/>
    <w:link w:val="PlainText"/>
    <w:uiPriority w:val="99"/>
    <w:semiHidden/>
    <w:rsid w:val="003340B4"/>
    <w:rPr>
      <w:rFonts w:ascii="Calibri" w:eastAsiaTheme="minorHAnsi" w:hAnsi="Calibri" w:cs="Calibri"/>
      <w:sz w:val="22"/>
      <w:szCs w:val="22"/>
      <w:lang w:eastAsia="en-US"/>
    </w:rPr>
  </w:style>
  <w:style w:type="character" w:styleId="FollowedHyperlink">
    <w:name w:val="FollowedHyperlink"/>
    <w:basedOn w:val="DefaultParagraphFont"/>
    <w:semiHidden/>
    <w:unhideWhenUsed/>
    <w:rsid w:val="00340BD6"/>
    <w:rPr>
      <w:color w:val="A4043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88060">
      <w:bodyDiv w:val="1"/>
      <w:marLeft w:val="0"/>
      <w:marRight w:val="0"/>
      <w:marTop w:val="0"/>
      <w:marBottom w:val="0"/>
      <w:divBdr>
        <w:top w:val="none" w:sz="0" w:space="0" w:color="auto"/>
        <w:left w:val="none" w:sz="0" w:space="0" w:color="auto"/>
        <w:bottom w:val="none" w:sz="0" w:space="0" w:color="auto"/>
        <w:right w:val="none" w:sz="0" w:space="0" w:color="auto"/>
      </w:divBdr>
    </w:div>
    <w:div w:id="2070374694">
      <w:bodyDiv w:val="1"/>
      <w:marLeft w:val="0"/>
      <w:marRight w:val="0"/>
      <w:marTop w:val="0"/>
      <w:marBottom w:val="0"/>
      <w:divBdr>
        <w:top w:val="none" w:sz="0" w:space="0" w:color="auto"/>
        <w:left w:val="none" w:sz="0" w:space="0" w:color="auto"/>
        <w:bottom w:val="none" w:sz="0" w:space="0" w:color="auto"/>
        <w:right w:val="none" w:sz="0" w:space="0" w:color="auto"/>
      </w:divBdr>
    </w:div>
    <w:div w:id="21229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dixon.co.uk/uploads/9lgiFcgF/SIPSJDpensionscheme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Quantum Word Theme">
  <a:themeElements>
    <a:clrScheme name="Quantum">
      <a:dk1>
        <a:srgbClr val="000000"/>
      </a:dk1>
      <a:lt1>
        <a:srgbClr val="FFFFFF"/>
      </a:lt1>
      <a:dk2>
        <a:srgbClr val="FFFFFF"/>
      </a:dk2>
      <a:lt2>
        <a:srgbClr val="DAE3EE"/>
      </a:lt2>
      <a:accent1>
        <a:srgbClr val="005187"/>
      </a:accent1>
      <a:accent2>
        <a:srgbClr val="DAE3EE"/>
      </a:accent2>
      <a:accent3>
        <a:srgbClr val="F7F9FB"/>
      </a:accent3>
      <a:accent4>
        <a:srgbClr val="B50536"/>
      </a:accent4>
      <a:accent5>
        <a:srgbClr val="AAB3C3"/>
      </a:accent5>
      <a:accent6>
        <a:srgbClr val="5F6062"/>
      </a:accent6>
      <a:hlink>
        <a:srgbClr val="000000"/>
      </a:hlink>
      <a:folHlink>
        <a:srgbClr val="A40430"/>
      </a:folHlink>
    </a:clrScheme>
    <a:fontScheme name="Quantum">
      <a:majorFont>
        <a:latin typeface="Futura Std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46714-77CB-49B8-A102-5EAE9902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6802</Words>
  <Characters>36655</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2021-07-29T16:23:00Z</dcterms:created>
  <dcterms:modified xsi:type="dcterms:W3CDTF">2021-07-29T16:23:00Z</dcterms:modified>
</cp:coreProperties>
</file>