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1CA9" w14:textId="50066B5E" w:rsidR="00425760" w:rsidRDefault="00425760" w:rsidP="00425760">
      <w:pPr>
        <w:pStyle w:val="Heading2"/>
        <w:rPr>
          <w:rFonts w:ascii="Futura Std Light" w:hAnsi="Futura Std Light"/>
          <w:b/>
          <w:iCs w:val="0"/>
          <w:kern w:val="40"/>
          <w:sz w:val="48"/>
          <w:szCs w:val="32"/>
        </w:rPr>
      </w:pPr>
      <w:r w:rsidRPr="000E3ED9">
        <w:rPr>
          <w:rFonts w:ascii="Futura Std Light" w:hAnsi="Futura Std Light"/>
          <w:b/>
          <w:iCs w:val="0"/>
          <w:kern w:val="40"/>
          <w:sz w:val="48"/>
          <w:szCs w:val="32"/>
        </w:rPr>
        <w:t xml:space="preserve">SJ Dixon &amp; Son (Holdings) Limited Pension and Life Assurance Scheme </w:t>
      </w:r>
    </w:p>
    <w:p w14:paraId="2151C52D" w14:textId="77777777" w:rsidR="00425760" w:rsidRPr="00425760" w:rsidRDefault="00425760" w:rsidP="00425760"/>
    <w:p w14:paraId="41DDB2CD" w14:textId="2BC1850D" w:rsidR="006E2D53" w:rsidRDefault="006E2D53" w:rsidP="006E2D53">
      <w:pPr>
        <w:pStyle w:val="Heading2"/>
        <w:numPr>
          <w:ilvl w:val="0"/>
          <w:numId w:val="27"/>
        </w:numPr>
      </w:pPr>
      <w:r>
        <w:t>Introduction</w:t>
      </w:r>
    </w:p>
    <w:p w14:paraId="60FCE5B2" w14:textId="61B82B02" w:rsidR="003066EB" w:rsidRPr="008D5A5E" w:rsidRDefault="003066EB" w:rsidP="00B74514">
      <w:r w:rsidRPr="008D5A5E">
        <w:t xml:space="preserve">On 6 June 2019, the UK Government published the Occupational Pension Schemes (Investment and Disclosure) (Amendment) Regulations (the “Regulations”). The Regulations require that the Trustees of the </w:t>
      </w:r>
      <w:r w:rsidR="00425760" w:rsidRPr="008D5A5E">
        <w:t xml:space="preserve">SJ Dixon &amp; Son (Holdings) Limited Pension and Life Assurance Scheme </w:t>
      </w:r>
      <w:r w:rsidRPr="008D5A5E">
        <w:t>(the “Scheme”) outline how they have ensured compliance with</w:t>
      </w:r>
      <w:r w:rsidR="006E2D53" w:rsidRPr="008D5A5E">
        <w:t xml:space="preserve"> the policies, on the exercise of rights (including voting) and undertaking of engagement activities with investment managers, as set out in the Scheme’s Statement of Investment Principles (“SIP”)</w:t>
      </w:r>
      <w:r w:rsidR="00763766" w:rsidRPr="008D5A5E">
        <w:t>.</w:t>
      </w:r>
      <w:r w:rsidR="00425760" w:rsidRPr="008D5A5E">
        <w:t xml:space="preserve"> </w:t>
      </w:r>
    </w:p>
    <w:p w14:paraId="3270A421" w14:textId="1F18283D" w:rsidR="006E2D53" w:rsidRPr="008D5A5E" w:rsidRDefault="003066EB" w:rsidP="00B74514">
      <w:r w:rsidRPr="008D5A5E">
        <w:t xml:space="preserve">This Statement has been prepared by the Trustees, with the assistance of their appointed Investment </w:t>
      </w:r>
      <w:r w:rsidR="00425760" w:rsidRPr="008D5A5E">
        <w:t>Managers Legal &amp; General Investment Management (</w:t>
      </w:r>
      <w:r w:rsidR="002D1078" w:rsidRPr="008D5A5E">
        <w:t>“</w:t>
      </w:r>
      <w:r w:rsidR="00425760" w:rsidRPr="008D5A5E">
        <w:t>LGIM</w:t>
      </w:r>
      <w:r w:rsidR="002D1078" w:rsidRPr="008D5A5E">
        <w:t>”</w:t>
      </w:r>
      <w:r w:rsidR="00425760" w:rsidRPr="008D5A5E">
        <w:t xml:space="preserve">) </w:t>
      </w:r>
      <w:r w:rsidR="00CF73B9">
        <w:t>and</w:t>
      </w:r>
      <w:r w:rsidR="00CF73B9" w:rsidRPr="008D5A5E">
        <w:t xml:space="preserve"> </w:t>
      </w:r>
      <w:r w:rsidR="00425760" w:rsidRPr="008D5A5E">
        <w:t>BNY Mellon Newton (</w:t>
      </w:r>
      <w:r w:rsidR="002D1078" w:rsidRPr="008D5A5E">
        <w:t>“</w:t>
      </w:r>
      <w:r w:rsidR="00425760" w:rsidRPr="008D5A5E">
        <w:t>Newton</w:t>
      </w:r>
      <w:r w:rsidR="002D1078" w:rsidRPr="008D5A5E">
        <w:t>”</w:t>
      </w:r>
      <w:r w:rsidR="00425760" w:rsidRPr="008D5A5E">
        <w:t>)</w:t>
      </w:r>
      <w:r w:rsidR="00CF73B9">
        <w:t>. It</w:t>
      </w:r>
      <w:r w:rsidR="00425760" w:rsidRPr="008D5A5E">
        <w:t xml:space="preserve"> </w:t>
      </w:r>
      <w:r w:rsidR="006E2D53" w:rsidRPr="008D5A5E">
        <w:t>covers both the Defined Benefit (“DB”) and Defined Contribution (“DC”) sections of the Scheme</w:t>
      </w:r>
      <w:r w:rsidR="00AC6756" w:rsidRPr="008D5A5E">
        <w:t xml:space="preserve"> and covers voting and engagement activity over the 12 month period ending 31 December 202</w:t>
      </w:r>
      <w:r w:rsidR="00CF73B9">
        <w:t>0</w:t>
      </w:r>
      <w:r w:rsidR="006E2D53" w:rsidRPr="008D5A5E">
        <w:t>.</w:t>
      </w:r>
    </w:p>
    <w:p w14:paraId="51E8530D" w14:textId="430CF6E9" w:rsidR="00B74514" w:rsidRPr="008D5A5E" w:rsidRDefault="00B74514" w:rsidP="00B74514">
      <w:r w:rsidRPr="008D5A5E">
        <w:t>References herein to the actions, review work or determinations of the Trustees refer to activity that has been carried out either by the Trustee</w:t>
      </w:r>
      <w:r w:rsidR="00B33766" w:rsidRPr="008D5A5E">
        <w:t>s</w:t>
      </w:r>
      <w:r w:rsidRPr="008D5A5E">
        <w:t xml:space="preserve"> or its </w:t>
      </w:r>
      <w:r w:rsidR="002C21C8" w:rsidRPr="008D5A5E">
        <w:t>I</w:t>
      </w:r>
      <w:r w:rsidRPr="008D5A5E">
        <w:t xml:space="preserve">nvestment </w:t>
      </w:r>
      <w:r w:rsidR="00425760" w:rsidRPr="008D5A5E">
        <w:t>Manager</w:t>
      </w:r>
      <w:r w:rsidRPr="008D5A5E">
        <w:t xml:space="preserve"> on behalf of the Trustees.</w:t>
      </w:r>
    </w:p>
    <w:p w14:paraId="38C32DD2" w14:textId="1D87E504" w:rsidR="001169E9" w:rsidRPr="008D5A5E" w:rsidRDefault="001169E9" w:rsidP="006E2D53">
      <w:pPr>
        <w:pStyle w:val="Heading2"/>
        <w:numPr>
          <w:ilvl w:val="0"/>
          <w:numId w:val="27"/>
        </w:numPr>
      </w:pPr>
      <w:r w:rsidRPr="008D5A5E">
        <w:t>Executive summary</w:t>
      </w:r>
    </w:p>
    <w:p w14:paraId="66589700" w14:textId="6BD8DE9D" w:rsidR="001169E9" w:rsidRPr="008D5A5E" w:rsidRDefault="001169E9" w:rsidP="00260B2F">
      <w:r w:rsidRPr="008D5A5E">
        <w:t>Over the Scheme year, the Trustee</w:t>
      </w:r>
      <w:r w:rsidR="006D325C" w:rsidRPr="008D5A5E">
        <w:t>s</w:t>
      </w:r>
      <w:r w:rsidRPr="008D5A5E">
        <w:t>:</w:t>
      </w:r>
    </w:p>
    <w:p w14:paraId="067F8015" w14:textId="4BFAB239" w:rsidR="004E6715" w:rsidRPr="008D5A5E" w:rsidRDefault="001169E9" w:rsidP="004E6715">
      <w:pPr>
        <w:pStyle w:val="ListBullet"/>
        <w:spacing w:after="120"/>
        <w:ind w:left="357" w:hanging="357"/>
        <w:contextualSpacing w:val="0"/>
      </w:pPr>
      <w:r w:rsidRPr="008D5A5E">
        <w:t>Updated the SIP to</w:t>
      </w:r>
      <w:r w:rsidR="004E6715" w:rsidRPr="008D5A5E">
        <w:t>: (</w:t>
      </w:r>
      <w:proofErr w:type="spellStart"/>
      <w:r w:rsidR="004E6715" w:rsidRPr="008D5A5E">
        <w:t>i</w:t>
      </w:r>
      <w:proofErr w:type="spellEnd"/>
      <w:r w:rsidR="004E6715" w:rsidRPr="008D5A5E">
        <w:t>)</w:t>
      </w:r>
      <w:r w:rsidR="00EF4248" w:rsidRPr="008D5A5E">
        <w:t xml:space="preserve"> incorporate additional information on the Trustees’ policies in line with the</w:t>
      </w:r>
      <w:r w:rsidR="00B23836" w:rsidRPr="008D5A5E">
        <w:t xml:space="preserve"> requirements of the </w:t>
      </w:r>
      <w:r w:rsidR="00EF4248" w:rsidRPr="008D5A5E">
        <w:t>Regulations</w:t>
      </w:r>
      <w:r w:rsidR="00CA4B07" w:rsidRPr="008D5A5E">
        <w:t xml:space="preserve"> – this applies to both the DB and DC sections of the Scheme</w:t>
      </w:r>
      <w:r w:rsidR="00425760" w:rsidRPr="008D5A5E">
        <w:t>.</w:t>
      </w:r>
    </w:p>
    <w:p w14:paraId="059AF660" w14:textId="12F7185D" w:rsidR="005F4F1C" w:rsidRPr="008D5A5E" w:rsidRDefault="00F068A8" w:rsidP="001C5482">
      <w:pPr>
        <w:pStyle w:val="ListBullet"/>
        <w:spacing w:after="120"/>
        <w:ind w:left="357" w:hanging="357"/>
        <w:contextualSpacing w:val="0"/>
      </w:pPr>
      <w:r w:rsidRPr="008D5A5E">
        <w:t xml:space="preserve">Have </w:t>
      </w:r>
      <w:r w:rsidR="002A320F" w:rsidRPr="008D5A5E">
        <w:t>reviewed</w:t>
      </w:r>
      <w:r w:rsidRPr="008D5A5E">
        <w:t xml:space="preserve"> </w:t>
      </w:r>
      <w:r w:rsidR="00CF73B9">
        <w:t xml:space="preserve">the </w:t>
      </w:r>
      <w:r w:rsidR="005F4F1C" w:rsidRPr="008D5A5E">
        <w:t xml:space="preserve">voting and engagement activity of the funds that invest in equities. The Trustees are generally content that the </w:t>
      </w:r>
      <w:r w:rsidR="00B23836" w:rsidRPr="008D5A5E">
        <w:t>Scheme</w:t>
      </w:r>
      <w:r w:rsidR="005F4F1C" w:rsidRPr="008D5A5E">
        <w:t>’s investment managers have appropriately carried out their stewardship duties.</w:t>
      </w:r>
    </w:p>
    <w:p w14:paraId="0C1E3431" w14:textId="7FC87B83" w:rsidR="00B33766" w:rsidRPr="008D5A5E" w:rsidRDefault="00B33766" w:rsidP="00B33766">
      <w:pPr>
        <w:pStyle w:val="ListBullet"/>
        <w:spacing w:after="120"/>
        <w:ind w:left="357" w:hanging="357"/>
        <w:contextualSpacing w:val="0"/>
      </w:pPr>
      <w:r w:rsidRPr="008D5A5E">
        <w:t>Are of the opinion that they have complied with the relevant policies and procedures as identified in the SIP.</w:t>
      </w:r>
    </w:p>
    <w:p w14:paraId="0FBB57EE" w14:textId="5C46F349" w:rsidR="00763766" w:rsidRPr="005D116A" w:rsidRDefault="005F4F1C" w:rsidP="00EF4248">
      <w:pPr>
        <w:pStyle w:val="ListParagraph"/>
        <w:ind w:left="0"/>
        <w:contextualSpacing w:val="0"/>
      </w:pPr>
      <w:r w:rsidRPr="008D5A5E">
        <w:t>It should be noted that the funds that do not hold equities have not been reviewed, as these have fewer (if any) voting opportunities</w:t>
      </w:r>
      <w:r w:rsidR="00EE37C2" w:rsidRPr="008D5A5E">
        <w:t xml:space="preserve">. </w:t>
      </w:r>
      <w:r w:rsidR="00B33766" w:rsidRPr="008D5A5E">
        <w:t>Further detail on each of these matters is presented in the pages that follow.</w:t>
      </w:r>
    </w:p>
    <w:p w14:paraId="039D953F" w14:textId="7CAA1BC7" w:rsidR="00CC5D41" w:rsidRPr="008D5A5E" w:rsidRDefault="00F62673" w:rsidP="006E2D53">
      <w:pPr>
        <w:pStyle w:val="Heading2"/>
        <w:numPr>
          <w:ilvl w:val="0"/>
          <w:numId w:val="27"/>
        </w:numPr>
      </w:pPr>
      <w:r w:rsidRPr="008D5A5E">
        <w:t xml:space="preserve">Reviews of </w:t>
      </w:r>
      <w:r w:rsidR="00835469" w:rsidRPr="008D5A5E">
        <w:t xml:space="preserve">the </w:t>
      </w:r>
      <w:r w:rsidRPr="008D5A5E">
        <w:t xml:space="preserve">SIP over the </w:t>
      </w:r>
      <w:r w:rsidR="004E6715" w:rsidRPr="008D5A5E">
        <w:t>Scheme year</w:t>
      </w:r>
    </w:p>
    <w:p w14:paraId="042BDD8A" w14:textId="4AE1DAD4" w:rsidR="0009325E" w:rsidRPr="005D116A" w:rsidRDefault="004E6715" w:rsidP="00EF4248">
      <w:pPr>
        <w:ind w:right="537"/>
      </w:pPr>
      <w:r w:rsidRPr="008D5A5E">
        <w:t>During the Scheme year, t</w:t>
      </w:r>
      <w:r w:rsidR="00F9517D" w:rsidRPr="008D5A5E">
        <w:t>he SIP was updated</w:t>
      </w:r>
      <w:r w:rsidR="00457041" w:rsidRPr="008D5A5E">
        <w:t xml:space="preserve"> in October 2020,</w:t>
      </w:r>
      <w:r w:rsidR="00F9517D" w:rsidRPr="008D5A5E">
        <w:t xml:space="preserve"> </w:t>
      </w:r>
      <w:r w:rsidR="005F4F1C" w:rsidRPr="008D5A5E">
        <w:t xml:space="preserve">to incorporate additional information on the Trustees’ policies in line with the </w:t>
      </w:r>
      <w:r w:rsidR="00B23836" w:rsidRPr="008D5A5E">
        <w:t xml:space="preserve">requirements of the </w:t>
      </w:r>
      <w:r w:rsidR="005F4F1C" w:rsidRPr="008D5A5E">
        <w:t xml:space="preserve">Regulations. </w:t>
      </w:r>
      <w:r w:rsidR="001930B0">
        <w:t xml:space="preserve">When updating the SIP the </w:t>
      </w:r>
      <w:r w:rsidR="00CF73B9">
        <w:t>T</w:t>
      </w:r>
      <w:r w:rsidR="001930B0">
        <w:t>rustees</w:t>
      </w:r>
      <w:r w:rsidR="00CF73B9">
        <w:t>:</w:t>
      </w:r>
    </w:p>
    <w:p w14:paraId="21DEB40D" w14:textId="5594E5D5" w:rsidR="0009325E" w:rsidRDefault="001930B0" w:rsidP="001930B0">
      <w:pPr>
        <w:pStyle w:val="ListParagraph"/>
        <w:numPr>
          <w:ilvl w:val="0"/>
          <w:numId w:val="4"/>
        </w:numPr>
        <w:spacing w:after="120"/>
      </w:pPr>
      <w:r>
        <w:t xml:space="preserve">Consulted with SJ Dixon &amp; Son (Holdings) Limited as the Principal Employer. The </w:t>
      </w:r>
      <w:r w:rsidR="00CF73B9">
        <w:t>T</w:t>
      </w:r>
      <w:r>
        <w:t xml:space="preserve">rustees of the Scheme did not receive any input or feedback from members of the Scheme in relation to investment matters but any such feedback or comment received in future will be considered. </w:t>
      </w:r>
    </w:p>
    <w:p w14:paraId="2F9AD35A" w14:textId="08504C3B" w:rsidR="00FF2C6D" w:rsidRDefault="001930B0" w:rsidP="00FF2C6D">
      <w:pPr>
        <w:pStyle w:val="ListParagraph"/>
        <w:numPr>
          <w:ilvl w:val="0"/>
          <w:numId w:val="33"/>
        </w:numPr>
        <w:spacing w:after="120"/>
      </w:pPr>
      <w:r>
        <w:lastRenderedPageBreak/>
        <w:t xml:space="preserve">In relation to the DC section of the Scheme, </w:t>
      </w:r>
      <w:r w:rsidR="006B6CB3">
        <w:t>the Trustees</w:t>
      </w:r>
      <w:r w:rsidR="00FF2C6D">
        <w:t xml:space="preserve"> remained </w:t>
      </w:r>
      <w:r w:rsidR="00FF2C6D" w:rsidRPr="00FF2C6D">
        <w:t>keenly aware that the retirement aspirations of members vary as does their ability and willingness to be exposed to investment risk. For this reason, there are a range of investment funds available from Newton and the Trustees remain willing to take members’ representations into account when considering how monies are invested in the DC section of the Scheme. Members of the DC section should contact the Trustees if more information is required.</w:t>
      </w:r>
    </w:p>
    <w:p w14:paraId="5F127DC0" w14:textId="38354C89" w:rsidR="001930B0" w:rsidRDefault="00FF2C6D" w:rsidP="001930B0">
      <w:pPr>
        <w:pStyle w:val="ListParagraph"/>
        <w:numPr>
          <w:ilvl w:val="0"/>
          <w:numId w:val="4"/>
        </w:numPr>
        <w:spacing w:after="120"/>
      </w:pPr>
      <w:r>
        <w:t xml:space="preserve">Trustees </w:t>
      </w:r>
      <w:r w:rsidR="001930B0">
        <w:t>wish to achieve good member outcomes by using a range of collective investment funds which give</w:t>
      </w:r>
      <w:r w:rsidR="006B6CB3">
        <w:t>s</w:t>
      </w:r>
      <w:r w:rsidR="001930B0">
        <w:t>:</w:t>
      </w:r>
    </w:p>
    <w:p w14:paraId="25B582D7" w14:textId="77777777" w:rsidR="001930B0" w:rsidRDefault="001930B0" w:rsidP="001930B0">
      <w:pPr>
        <w:pStyle w:val="ListParagraph"/>
        <w:numPr>
          <w:ilvl w:val="0"/>
          <w:numId w:val="33"/>
        </w:numPr>
        <w:spacing w:after="120"/>
      </w:pPr>
      <w:r>
        <w:t xml:space="preserve">The ability to diversify between one or more collective investment funds to assist in managing investment risk;  </w:t>
      </w:r>
    </w:p>
    <w:p w14:paraId="7DC0D1DD" w14:textId="2B48926B" w:rsidR="001930B0" w:rsidRDefault="001930B0" w:rsidP="001930B0">
      <w:pPr>
        <w:pStyle w:val="ListParagraph"/>
        <w:numPr>
          <w:ilvl w:val="0"/>
          <w:numId w:val="33"/>
        </w:numPr>
        <w:spacing w:after="120"/>
      </w:pPr>
      <w:r>
        <w:t>Access to collective investment funds where the charges levied are competitive against the wider retail pension investment market, as it is the return (net of costs), which is important to members;</w:t>
      </w:r>
      <w:r w:rsidR="006B6CB3">
        <w:t xml:space="preserve"> and</w:t>
      </w:r>
    </w:p>
    <w:p w14:paraId="712E8C70" w14:textId="0B892976" w:rsidR="001930B0" w:rsidRPr="005D116A" w:rsidRDefault="001930B0" w:rsidP="001930B0">
      <w:pPr>
        <w:pStyle w:val="ListParagraph"/>
        <w:numPr>
          <w:ilvl w:val="0"/>
          <w:numId w:val="33"/>
        </w:numPr>
        <w:spacing w:after="120"/>
      </w:pPr>
      <w:r>
        <w:t>Competitive net investment returns thereby offering overall value for money to DC members</w:t>
      </w:r>
      <w:r w:rsidR="006B6CB3">
        <w:t>.</w:t>
      </w:r>
    </w:p>
    <w:p w14:paraId="482A9BC1" w14:textId="513F4270" w:rsidR="00E054CC" w:rsidRPr="008D5A5E" w:rsidRDefault="00E054CC" w:rsidP="00E054CC">
      <w:pPr>
        <w:pStyle w:val="Heading2"/>
        <w:numPr>
          <w:ilvl w:val="0"/>
          <w:numId w:val="27"/>
        </w:numPr>
      </w:pPr>
      <w:r w:rsidRPr="008D5A5E">
        <w:t>Investment Manager’s voting policies and histories</w:t>
      </w:r>
    </w:p>
    <w:p w14:paraId="25A60C43" w14:textId="5E231B89" w:rsidR="00E054CC" w:rsidRPr="008D5A5E" w:rsidRDefault="00E054CC" w:rsidP="00E054CC">
      <w:r w:rsidRPr="008D5A5E">
        <w:t>This section of the statement covers both the DB and DC sections of the Scheme.</w:t>
      </w:r>
    </w:p>
    <w:p w14:paraId="6E313550" w14:textId="77777777" w:rsidR="00E054CC" w:rsidRPr="008D5A5E" w:rsidRDefault="00E054CC" w:rsidP="00E054CC">
      <w:pPr>
        <w:pStyle w:val="Heading3"/>
      </w:pPr>
      <w:r w:rsidRPr="008D5A5E">
        <w:t>Trustees’ voting and stewardship policies</w:t>
      </w:r>
    </w:p>
    <w:p w14:paraId="209F6C0C" w14:textId="738F7C17" w:rsidR="006B6CB3" w:rsidRDefault="003A6C46" w:rsidP="006B6CB3">
      <w:pPr>
        <w:rPr>
          <w:szCs w:val="21"/>
        </w:rPr>
      </w:pPr>
      <w:r w:rsidRPr="008D5A5E">
        <w:rPr>
          <w:szCs w:val="21"/>
        </w:rPr>
        <w:t xml:space="preserve">The Trustees </w:t>
      </w:r>
      <w:r w:rsidR="006B6CB3" w:rsidRPr="006B6CB3">
        <w:rPr>
          <w:szCs w:val="21"/>
        </w:rPr>
        <w:t>ensure ESG factors are being considered by the investment managers (where</w:t>
      </w:r>
      <w:r w:rsidR="006B6CB3">
        <w:rPr>
          <w:szCs w:val="21"/>
        </w:rPr>
        <w:t xml:space="preserve"> </w:t>
      </w:r>
      <w:r w:rsidR="006B6CB3" w:rsidRPr="006B6CB3">
        <w:rPr>
          <w:szCs w:val="21"/>
        </w:rPr>
        <w:t>relevant) and have considered the extent to which the fund managers analyse and</w:t>
      </w:r>
      <w:r w:rsidR="006B6CB3">
        <w:rPr>
          <w:szCs w:val="21"/>
        </w:rPr>
        <w:t xml:space="preserve"> </w:t>
      </w:r>
      <w:r w:rsidR="006B6CB3" w:rsidRPr="006B6CB3">
        <w:rPr>
          <w:szCs w:val="21"/>
        </w:rPr>
        <w:t>integrate ESG risks and opportunities into their investment process.</w:t>
      </w:r>
    </w:p>
    <w:p w14:paraId="7D746CE8" w14:textId="44CAAA40" w:rsidR="006B6CB3" w:rsidRDefault="006B6CB3" w:rsidP="00FF2C6D">
      <w:pPr>
        <w:rPr>
          <w:szCs w:val="21"/>
        </w:rPr>
      </w:pPr>
      <w:r>
        <w:rPr>
          <w:szCs w:val="21"/>
        </w:rPr>
        <w:t>The Trustees</w:t>
      </w:r>
      <w:r w:rsidRPr="006B6CB3">
        <w:rPr>
          <w:szCs w:val="21"/>
        </w:rPr>
        <w:t xml:space="preserve"> monitor on an ongoing basis the investment managers’ approach to considering</w:t>
      </w:r>
      <w:r>
        <w:rPr>
          <w:szCs w:val="21"/>
        </w:rPr>
        <w:t xml:space="preserve"> </w:t>
      </w:r>
      <w:r w:rsidRPr="006B6CB3">
        <w:rPr>
          <w:szCs w:val="21"/>
        </w:rPr>
        <w:t xml:space="preserve">and integrating ESG into their investment processes. At this time </w:t>
      </w:r>
      <w:r w:rsidR="00FF2C6D">
        <w:rPr>
          <w:szCs w:val="21"/>
        </w:rPr>
        <w:t>the Trustees</w:t>
      </w:r>
      <w:r w:rsidRPr="006B6CB3">
        <w:rPr>
          <w:szCs w:val="21"/>
        </w:rPr>
        <w:t xml:space="preserve"> do not impose</w:t>
      </w:r>
      <w:r>
        <w:rPr>
          <w:szCs w:val="21"/>
        </w:rPr>
        <w:t xml:space="preserve"> </w:t>
      </w:r>
      <w:r w:rsidRPr="006B6CB3">
        <w:rPr>
          <w:szCs w:val="21"/>
        </w:rPr>
        <w:t>constraints solely on the basis of ESG factors when selecting investments or managers</w:t>
      </w:r>
      <w:r>
        <w:rPr>
          <w:szCs w:val="21"/>
        </w:rPr>
        <w:t xml:space="preserve"> </w:t>
      </w:r>
      <w:r w:rsidRPr="006B6CB3">
        <w:rPr>
          <w:szCs w:val="21"/>
        </w:rPr>
        <w:t>and have received no member representation in relation to ESG, ethical, green or</w:t>
      </w:r>
      <w:r>
        <w:rPr>
          <w:szCs w:val="21"/>
        </w:rPr>
        <w:t xml:space="preserve"> </w:t>
      </w:r>
      <w:r w:rsidRPr="006B6CB3">
        <w:rPr>
          <w:szCs w:val="21"/>
        </w:rPr>
        <w:t xml:space="preserve">other specific investment criteria. </w:t>
      </w:r>
      <w:r w:rsidR="00FF2C6D">
        <w:rPr>
          <w:szCs w:val="21"/>
        </w:rPr>
        <w:t xml:space="preserve">The Trustees </w:t>
      </w:r>
      <w:r w:rsidRPr="006B6CB3">
        <w:rPr>
          <w:szCs w:val="21"/>
        </w:rPr>
        <w:t>would give consideration to such requests but</w:t>
      </w:r>
      <w:r>
        <w:rPr>
          <w:szCs w:val="21"/>
        </w:rPr>
        <w:t xml:space="preserve"> </w:t>
      </w:r>
      <w:r w:rsidRPr="006B6CB3">
        <w:rPr>
          <w:szCs w:val="21"/>
        </w:rPr>
        <w:t xml:space="preserve">remain mindful </w:t>
      </w:r>
      <w:r w:rsidR="00FF2C6D">
        <w:rPr>
          <w:szCs w:val="21"/>
        </w:rPr>
        <w:t>they</w:t>
      </w:r>
      <w:r w:rsidRPr="006B6CB3">
        <w:rPr>
          <w:szCs w:val="21"/>
        </w:rPr>
        <w:t xml:space="preserve"> are ultimately responsible for all of the Scheme’s investments and</w:t>
      </w:r>
      <w:r>
        <w:rPr>
          <w:szCs w:val="21"/>
        </w:rPr>
        <w:t xml:space="preserve"> </w:t>
      </w:r>
      <w:r w:rsidRPr="006B6CB3">
        <w:rPr>
          <w:szCs w:val="21"/>
        </w:rPr>
        <w:t>need to act in the best interests of all members taking due account of professional</w:t>
      </w:r>
      <w:r>
        <w:rPr>
          <w:szCs w:val="21"/>
        </w:rPr>
        <w:t xml:space="preserve"> </w:t>
      </w:r>
      <w:r w:rsidRPr="006B6CB3">
        <w:rPr>
          <w:szCs w:val="21"/>
        </w:rPr>
        <w:t>advice received.</w:t>
      </w:r>
    </w:p>
    <w:p w14:paraId="19C4F1A9" w14:textId="5B2053CD" w:rsidR="006B6CB3" w:rsidRDefault="006B6CB3" w:rsidP="006B6CB3">
      <w:pPr>
        <w:rPr>
          <w:szCs w:val="21"/>
        </w:rPr>
      </w:pPr>
      <w:r w:rsidRPr="008D5A5E">
        <w:rPr>
          <w:szCs w:val="21"/>
        </w:rPr>
        <w:t>The Trustees have provided the appointed investment managers with full discretion concerning voting and engagement decisions</w:t>
      </w:r>
      <w:r>
        <w:rPr>
          <w:szCs w:val="21"/>
        </w:rPr>
        <w:t xml:space="preserve">, and </w:t>
      </w:r>
      <w:r w:rsidRPr="006B6CB3">
        <w:rPr>
          <w:szCs w:val="21"/>
        </w:rPr>
        <w:t>expect the investment managers to use their rights wholly in the best economic interests of their investors (including our Scheme</w:t>
      </w:r>
      <w:r>
        <w:rPr>
          <w:szCs w:val="21"/>
        </w:rPr>
        <w:t xml:space="preserve"> </w:t>
      </w:r>
      <w:r w:rsidRPr="006B6CB3">
        <w:rPr>
          <w:szCs w:val="21"/>
        </w:rPr>
        <w:t>members).</w:t>
      </w:r>
    </w:p>
    <w:p w14:paraId="26FADF0B" w14:textId="1CA8B62F" w:rsidR="00E054CC" w:rsidRPr="008D5A5E" w:rsidRDefault="00E054CC" w:rsidP="00E054CC">
      <w:r w:rsidRPr="008D5A5E">
        <w:t>As part of this exercise, the Trustee</w:t>
      </w:r>
      <w:r w:rsidR="00CA4B07" w:rsidRPr="008D5A5E">
        <w:t>s</w:t>
      </w:r>
      <w:r w:rsidRPr="008D5A5E">
        <w:t xml:space="preserve"> </w:t>
      </w:r>
      <w:r w:rsidR="006B6CB3">
        <w:t xml:space="preserve">have </w:t>
      </w:r>
      <w:r w:rsidRPr="008D5A5E">
        <w:t xml:space="preserve">reviewed the voting activity of funds where there is an increased ability to influence positive practises (namely those that invest in equities). The following funds </w:t>
      </w:r>
      <w:r w:rsidR="00ED56C8">
        <w:t xml:space="preserve">are held across the DB and DC sections and </w:t>
      </w:r>
      <w:r w:rsidRPr="008D5A5E">
        <w:t>have been reviewed:</w:t>
      </w:r>
    </w:p>
    <w:p w14:paraId="1B25804C" w14:textId="77777777" w:rsidR="00E14B8B" w:rsidRPr="008D5A5E" w:rsidRDefault="00E14B8B" w:rsidP="00FF2C6D">
      <w:pPr>
        <w:pStyle w:val="ListParagraph"/>
        <w:numPr>
          <w:ilvl w:val="0"/>
          <w:numId w:val="4"/>
        </w:numPr>
        <w:spacing w:after="120" w:line="360" w:lineRule="auto"/>
        <w:ind w:left="426" w:hanging="284"/>
      </w:pPr>
      <w:r w:rsidRPr="008D5A5E">
        <w:t>LGIM Japan Equity Index Fund</w:t>
      </w:r>
    </w:p>
    <w:p w14:paraId="088D5D40" w14:textId="1ACE2EA3" w:rsidR="00E14B8B" w:rsidRPr="008D5A5E" w:rsidRDefault="00E14B8B" w:rsidP="00FF2C6D">
      <w:pPr>
        <w:pStyle w:val="ListParagraph"/>
        <w:numPr>
          <w:ilvl w:val="0"/>
          <w:numId w:val="4"/>
        </w:numPr>
        <w:spacing w:after="120" w:line="360" w:lineRule="auto"/>
        <w:ind w:left="426" w:hanging="284"/>
      </w:pPr>
      <w:r w:rsidRPr="008D5A5E">
        <w:t>LGIM North America Equity Index Fund</w:t>
      </w:r>
    </w:p>
    <w:p w14:paraId="3A20CA04" w14:textId="72DFE3A7" w:rsidR="00E14B8B" w:rsidRPr="008D5A5E" w:rsidRDefault="00E14B8B" w:rsidP="00FF2C6D">
      <w:pPr>
        <w:pStyle w:val="ListParagraph"/>
        <w:numPr>
          <w:ilvl w:val="0"/>
          <w:numId w:val="4"/>
        </w:numPr>
        <w:spacing w:after="120" w:line="360" w:lineRule="auto"/>
        <w:ind w:left="426" w:hanging="284"/>
      </w:pPr>
      <w:r w:rsidRPr="008D5A5E">
        <w:t>LGIM Europe (ex UK) Equity Fund</w:t>
      </w:r>
    </w:p>
    <w:p w14:paraId="4635E918" w14:textId="0AC569C8" w:rsidR="00E14B8B" w:rsidRPr="008D5A5E" w:rsidRDefault="00E14B8B" w:rsidP="00FF2C6D">
      <w:pPr>
        <w:pStyle w:val="ListParagraph"/>
        <w:numPr>
          <w:ilvl w:val="0"/>
          <w:numId w:val="4"/>
        </w:numPr>
        <w:spacing w:after="120" w:line="360" w:lineRule="auto"/>
        <w:ind w:left="426" w:hanging="284"/>
      </w:pPr>
      <w:r w:rsidRPr="008D5A5E">
        <w:t>LGIM Asia Pacific (</w:t>
      </w:r>
      <w:proofErr w:type="spellStart"/>
      <w:r w:rsidRPr="008D5A5E">
        <w:t>ex Japan</w:t>
      </w:r>
      <w:proofErr w:type="spellEnd"/>
      <w:r w:rsidRPr="008D5A5E">
        <w:t>) Developed Equity Index</w:t>
      </w:r>
      <w:r w:rsidR="00ED56C8">
        <w:t xml:space="preserve"> Fund</w:t>
      </w:r>
    </w:p>
    <w:p w14:paraId="72CC070F" w14:textId="122D5F9A" w:rsidR="00E14B8B" w:rsidRPr="008D5A5E" w:rsidRDefault="006B6CB3" w:rsidP="00FF2C6D">
      <w:pPr>
        <w:pStyle w:val="ListParagraph"/>
        <w:numPr>
          <w:ilvl w:val="0"/>
          <w:numId w:val="4"/>
        </w:numPr>
        <w:spacing w:after="120" w:line="360" w:lineRule="auto"/>
        <w:ind w:left="426" w:hanging="284"/>
      </w:pPr>
      <w:r>
        <w:t>BNY Mellon</w:t>
      </w:r>
      <w:r w:rsidRPr="008D5A5E">
        <w:t xml:space="preserve"> </w:t>
      </w:r>
      <w:r w:rsidR="00E14B8B" w:rsidRPr="008D5A5E">
        <w:t>UK Income Fund</w:t>
      </w:r>
      <w:r>
        <w:t xml:space="preserve"> </w:t>
      </w:r>
    </w:p>
    <w:p w14:paraId="2BF3C20B" w14:textId="71B95A01" w:rsidR="00E14B8B" w:rsidRPr="008D5A5E" w:rsidRDefault="006B6CB3" w:rsidP="00FF2C6D">
      <w:pPr>
        <w:pStyle w:val="ListParagraph"/>
        <w:numPr>
          <w:ilvl w:val="0"/>
          <w:numId w:val="4"/>
        </w:numPr>
        <w:spacing w:after="120" w:line="360" w:lineRule="auto"/>
        <w:ind w:left="426" w:hanging="284"/>
      </w:pPr>
      <w:r>
        <w:t>BNY Mellon</w:t>
      </w:r>
      <w:r w:rsidRPr="008D5A5E">
        <w:t xml:space="preserve"> </w:t>
      </w:r>
      <w:r w:rsidR="00E14B8B" w:rsidRPr="008D5A5E">
        <w:t>Multi Asset Global Balanced Fund</w:t>
      </w:r>
    </w:p>
    <w:p w14:paraId="4CB77A9D" w14:textId="6EBEC801" w:rsidR="00E14B8B" w:rsidRPr="008D5A5E" w:rsidRDefault="006B6CB3" w:rsidP="00FF2C6D">
      <w:pPr>
        <w:pStyle w:val="ListParagraph"/>
        <w:numPr>
          <w:ilvl w:val="0"/>
          <w:numId w:val="4"/>
        </w:numPr>
        <w:spacing w:after="120" w:line="360" w:lineRule="auto"/>
        <w:ind w:left="426" w:hanging="284"/>
      </w:pPr>
      <w:r>
        <w:t>BNY Mellon</w:t>
      </w:r>
      <w:r w:rsidRPr="008D5A5E">
        <w:t xml:space="preserve"> </w:t>
      </w:r>
      <w:r w:rsidR="00E14B8B" w:rsidRPr="008D5A5E">
        <w:t>Continental European Fund</w:t>
      </w:r>
    </w:p>
    <w:p w14:paraId="13B4F956" w14:textId="280BC115" w:rsidR="00E14B8B" w:rsidRPr="008D5A5E" w:rsidRDefault="006B6CB3" w:rsidP="00FF2C6D">
      <w:pPr>
        <w:pStyle w:val="ListParagraph"/>
        <w:numPr>
          <w:ilvl w:val="0"/>
          <w:numId w:val="4"/>
        </w:numPr>
        <w:spacing w:after="120" w:line="360" w:lineRule="auto"/>
        <w:ind w:left="426" w:hanging="284"/>
      </w:pPr>
      <w:r>
        <w:lastRenderedPageBreak/>
        <w:t>BNY Mellon</w:t>
      </w:r>
      <w:r w:rsidRPr="008D5A5E">
        <w:t xml:space="preserve"> </w:t>
      </w:r>
      <w:r w:rsidR="00E14B8B" w:rsidRPr="008D5A5E">
        <w:t>UK Equity Fund</w:t>
      </w:r>
    </w:p>
    <w:p w14:paraId="0BA923B8" w14:textId="65FAF9B3" w:rsidR="00E14B8B" w:rsidRDefault="006B6CB3" w:rsidP="00FF2C6D">
      <w:pPr>
        <w:pStyle w:val="ListParagraph"/>
        <w:numPr>
          <w:ilvl w:val="0"/>
          <w:numId w:val="4"/>
        </w:numPr>
        <w:spacing w:after="120" w:line="360" w:lineRule="auto"/>
        <w:ind w:left="426" w:hanging="284"/>
      </w:pPr>
      <w:r>
        <w:t>BNY Mellon</w:t>
      </w:r>
      <w:r w:rsidRPr="008D5A5E">
        <w:t xml:space="preserve"> </w:t>
      </w:r>
      <w:r w:rsidR="00E14B8B" w:rsidRPr="008D5A5E">
        <w:t>Oriental Fund</w:t>
      </w:r>
    </w:p>
    <w:p w14:paraId="266CDFAB" w14:textId="162D5D15" w:rsidR="006B6CB3" w:rsidRPr="008D5A5E" w:rsidRDefault="006B6CB3" w:rsidP="00FF2C6D">
      <w:r>
        <w:t xml:space="preserve">It should be noted that the BNY Mellon funds are managed by Newton Investment Management (“Newton”), and that Newton are responsible for managing ESG factors and </w:t>
      </w:r>
      <w:r w:rsidR="00ED56C8">
        <w:t>own</w:t>
      </w:r>
      <w:r>
        <w:t xml:space="preserve"> the voting rights.</w:t>
      </w:r>
    </w:p>
    <w:p w14:paraId="0FBFF2A3" w14:textId="684A3545" w:rsidR="00FF343F" w:rsidRDefault="00FF343F">
      <w:pPr>
        <w:spacing w:after="0"/>
        <w:rPr>
          <w:rFonts w:cs="Arial"/>
          <w:b/>
          <w:bCs/>
          <w:color w:val="004712" w:themeColor="accent1"/>
          <w:sz w:val="24"/>
          <w:szCs w:val="26"/>
        </w:rPr>
      </w:pPr>
    </w:p>
    <w:p w14:paraId="18AA0A6A" w14:textId="77777777" w:rsidR="00ED56C8" w:rsidRDefault="00ED56C8" w:rsidP="00E054CC">
      <w:pPr>
        <w:pStyle w:val="Heading3"/>
        <w:sectPr w:rsidR="00ED56C8" w:rsidSect="0009325E">
          <w:headerReference w:type="even" r:id="rId8"/>
          <w:headerReference w:type="default" r:id="rId9"/>
          <w:footerReference w:type="even" r:id="rId10"/>
          <w:footerReference w:type="default" r:id="rId11"/>
          <w:headerReference w:type="first" r:id="rId12"/>
          <w:footerReference w:type="first" r:id="rId13"/>
          <w:pgSz w:w="11906" w:h="16838"/>
          <w:pgMar w:top="2379" w:right="1416" w:bottom="1304" w:left="1304" w:header="709" w:footer="615" w:gutter="0"/>
          <w:cols w:space="708"/>
          <w:docGrid w:linePitch="360"/>
        </w:sectPr>
      </w:pPr>
    </w:p>
    <w:p w14:paraId="0D88CFA2" w14:textId="4C133A22" w:rsidR="00E054CC" w:rsidRPr="005D116A" w:rsidRDefault="00E054CC" w:rsidP="00E054CC">
      <w:pPr>
        <w:pStyle w:val="Heading3"/>
      </w:pPr>
      <w:r w:rsidRPr="005D116A">
        <w:lastRenderedPageBreak/>
        <w:t>Voting statistics</w:t>
      </w:r>
    </w:p>
    <w:p w14:paraId="5492272F" w14:textId="77777777" w:rsidR="00E054CC" w:rsidRPr="005D116A" w:rsidRDefault="00E054CC" w:rsidP="00E054CC">
      <w:r w:rsidRPr="005D116A">
        <w:t xml:space="preserve">The table below sets out the key statistics on voting eligibility and action over the Scheme year. </w:t>
      </w:r>
    </w:p>
    <w:tbl>
      <w:tblPr>
        <w:tblStyle w:val="QuantumBandedTable"/>
        <w:tblW w:w="1469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318"/>
        <w:gridCol w:w="1445"/>
        <w:gridCol w:w="1444"/>
        <w:gridCol w:w="1444"/>
        <w:gridCol w:w="1444"/>
        <w:gridCol w:w="1444"/>
        <w:gridCol w:w="1444"/>
        <w:gridCol w:w="1444"/>
        <w:gridCol w:w="1444"/>
      </w:tblGrid>
      <w:tr w:rsidR="00ED56C8" w:rsidRPr="005D116A" w14:paraId="672BD77E" w14:textId="7B4F88D2" w:rsidTr="00FF2C6D">
        <w:trPr>
          <w:cnfStyle w:val="100000000000" w:firstRow="1" w:lastRow="0" w:firstColumn="0" w:lastColumn="0" w:oddVBand="0" w:evenVBand="0" w:oddHBand="0" w:evenHBand="0" w:firstRowFirstColumn="0" w:firstRowLastColumn="0" w:lastRowFirstColumn="0" w:lastRowLastColumn="0"/>
          <w:trHeight w:val="195"/>
        </w:trPr>
        <w:tc>
          <w:tcPr>
            <w:tcW w:w="1825" w:type="dxa"/>
            <w:tcBorders>
              <w:top w:val="single" w:sz="4" w:space="0" w:color="auto"/>
              <w:left w:val="single" w:sz="4" w:space="0" w:color="auto"/>
              <w:bottom w:val="single" w:sz="4" w:space="0" w:color="auto"/>
              <w:right w:val="single" w:sz="4" w:space="0" w:color="auto"/>
            </w:tcBorders>
            <w:hideMark/>
          </w:tcPr>
          <w:p w14:paraId="05F60BCC" w14:textId="77777777" w:rsidR="00ED56C8" w:rsidRPr="005D116A" w:rsidRDefault="00ED56C8" w:rsidP="00ED56C8">
            <w:pPr>
              <w:spacing w:after="0"/>
              <w:rPr>
                <w:rFonts w:cs="Calibri"/>
                <w:szCs w:val="22"/>
              </w:rPr>
            </w:pPr>
            <w:r w:rsidRPr="005D116A">
              <w:rPr>
                <w:rFonts w:cs="Calibri"/>
                <w:szCs w:val="22"/>
              </w:rPr>
              <w:t>Statistic</w:t>
            </w:r>
          </w:p>
        </w:tc>
        <w:tc>
          <w:tcPr>
            <w:tcW w:w="1318" w:type="dxa"/>
            <w:tcBorders>
              <w:top w:val="single" w:sz="4" w:space="0" w:color="auto"/>
              <w:left w:val="single" w:sz="4" w:space="0" w:color="auto"/>
              <w:bottom w:val="single" w:sz="4" w:space="0" w:color="auto"/>
              <w:right w:val="single" w:sz="4" w:space="0" w:color="auto"/>
            </w:tcBorders>
          </w:tcPr>
          <w:p w14:paraId="4B2F3CCB" w14:textId="2C31F7F2" w:rsidR="00ED56C8" w:rsidRPr="008D5A5E" w:rsidRDefault="00ED56C8" w:rsidP="00ED56C8">
            <w:pPr>
              <w:spacing w:after="0"/>
              <w:jc w:val="center"/>
              <w:rPr>
                <w:rFonts w:cs="Calibri"/>
                <w:szCs w:val="22"/>
              </w:rPr>
            </w:pPr>
            <w:r w:rsidRPr="008D5A5E">
              <w:rPr>
                <w:rFonts w:cs="Calibri"/>
                <w:szCs w:val="22"/>
              </w:rPr>
              <w:t>LGIM Japan Equity Index</w:t>
            </w:r>
            <w:r>
              <w:rPr>
                <w:rFonts w:cs="Calibri"/>
                <w:szCs w:val="22"/>
              </w:rPr>
              <w:t xml:space="preserve"> Fund</w:t>
            </w:r>
          </w:p>
        </w:tc>
        <w:tc>
          <w:tcPr>
            <w:tcW w:w="1445" w:type="dxa"/>
            <w:tcBorders>
              <w:top w:val="single" w:sz="4" w:space="0" w:color="auto"/>
              <w:left w:val="single" w:sz="4" w:space="0" w:color="auto"/>
              <w:bottom w:val="single" w:sz="4" w:space="0" w:color="auto"/>
              <w:right w:val="single" w:sz="4" w:space="0" w:color="auto"/>
            </w:tcBorders>
          </w:tcPr>
          <w:p w14:paraId="5CAE199D" w14:textId="1EE92BDD" w:rsidR="00ED56C8" w:rsidRPr="008D5A5E" w:rsidRDefault="00ED56C8" w:rsidP="00ED56C8">
            <w:pPr>
              <w:spacing w:after="0"/>
              <w:jc w:val="center"/>
              <w:rPr>
                <w:rFonts w:cs="Calibri"/>
                <w:szCs w:val="22"/>
              </w:rPr>
            </w:pPr>
            <w:r w:rsidRPr="008D5A5E">
              <w:rPr>
                <w:rFonts w:cs="Calibri"/>
                <w:szCs w:val="22"/>
              </w:rPr>
              <w:t>LGIM North America Equity Index</w:t>
            </w:r>
            <w:r>
              <w:rPr>
                <w:rFonts w:cs="Calibri"/>
                <w:szCs w:val="22"/>
              </w:rPr>
              <w:t xml:space="preserve"> Fund</w:t>
            </w:r>
          </w:p>
        </w:tc>
        <w:tc>
          <w:tcPr>
            <w:tcW w:w="1444" w:type="dxa"/>
            <w:tcBorders>
              <w:top w:val="single" w:sz="4" w:space="0" w:color="auto"/>
              <w:left w:val="single" w:sz="4" w:space="0" w:color="auto"/>
              <w:bottom w:val="single" w:sz="4" w:space="0" w:color="auto"/>
              <w:right w:val="single" w:sz="4" w:space="0" w:color="auto"/>
            </w:tcBorders>
          </w:tcPr>
          <w:p w14:paraId="6E3C0D9D" w14:textId="545E3325" w:rsidR="00ED56C8" w:rsidRPr="008D5A5E" w:rsidRDefault="00ED56C8" w:rsidP="00ED56C8">
            <w:pPr>
              <w:spacing w:after="0"/>
              <w:jc w:val="center"/>
              <w:rPr>
                <w:rFonts w:cs="Calibri"/>
                <w:szCs w:val="22"/>
              </w:rPr>
            </w:pPr>
            <w:r w:rsidRPr="008D5A5E">
              <w:rPr>
                <w:rFonts w:cs="Calibri"/>
                <w:szCs w:val="22"/>
              </w:rPr>
              <w:t>LGIM Europe (ex UK) Equity Index</w:t>
            </w:r>
            <w:r>
              <w:rPr>
                <w:rFonts w:cs="Calibri"/>
                <w:szCs w:val="22"/>
              </w:rPr>
              <w:t xml:space="preserve"> Fund</w:t>
            </w:r>
          </w:p>
        </w:tc>
        <w:tc>
          <w:tcPr>
            <w:tcW w:w="1444" w:type="dxa"/>
            <w:tcBorders>
              <w:top w:val="single" w:sz="4" w:space="0" w:color="auto"/>
              <w:left w:val="single" w:sz="4" w:space="0" w:color="auto"/>
              <w:bottom w:val="single" w:sz="4" w:space="0" w:color="auto"/>
              <w:right w:val="single" w:sz="4" w:space="0" w:color="auto"/>
            </w:tcBorders>
          </w:tcPr>
          <w:p w14:paraId="10E32006" w14:textId="7711124B" w:rsidR="00ED56C8" w:rsidRPr="008D5A5E" w:rsidRDefault="00ED56C8" w:rsidP="00ED56C8">
            <w:pPr>
              <w:spacing w:after="0"/>
              <w:jc w:val="center"/>
              <w:rPr>
                <w:rFonts w:cs="Calibri"/>
                <w:szCs w:val="22"/>
              </w:rPr>
            </w:pPr>
            <w:r w:rsidRPr="008D5A5E">
              <w:rPr>
                <w:rFonts w:cs="Calibri"/>
                <w:szCs w:val="22"/>
              </w:rPr>
              <w:t>LGIM Asia Pacific (</w:t>
            </w:r>
            <w:proofErr w:type="spellStart"/>
            <w:r w:rsidRPr="008D5A5E">
              <w:rPr>
                <w:rFonts w:cs="Calibri"/>
                <w:szCs w:val="22"/>
              </w:rPr>
              <w:t>ex Japan</w:t>
            </w:r>
            <w:proofErr w:type="spellEnd"/>
            <w:r w:rsidRPr="008D5A5E">
              <w:rPr>
                <w:rFonts w:cs="Calibri"/>
                <w:szCs w:val="22"/>
              </w:rPr>
              <w:t>( Equity Index</w:t>
            </w:r>
            <w:r>
              <w:rPr>
                <w:rFonts w:cs="Calibri"/>
                <w:szCs w:val="22"/>
              </w:rPr>
              <w:t xml:space="preserve"> Fund</w:t>
            </w:r>
          </w:p>
        </w:tc>
        <w:tc>
          <w:tcPr>
            <w:tcW w:w="1444" w:type="dxa"/>
            <w:tcBorders>
              <w:top w:val="single" w:sz="4" w:space="0" w:color="auto"/>
              <w:left w:val="single" w:sz="4" w:space="0" w:color="auto"/>
              <w:bottom w:val="single" w:sz="4" w:space="0" w:color="auto"/>
              <w:right w:val="single" w:sz="4" w:space="0" w:color="auto"/>
            </w:tcBorders>
          </w:tcPr>
          <w:p w14:paraId="42EF08A7" w14:textId="2EB5EA76" w:rsidR="00ED56C8" w:rsidRPr="008D5A5E" w:rsidRDefault="00ED56C8" w:rsidP="00ED56C8">
            <w:pPr>
              <w:spacing w:after="0"/>
              <w:jc w:val="center"/>
              <w:rPr>
                <w:rFonts w:cs="Calibri"/>
                <w:szCs w:val="22"/>
              </w:rPr>
            </w:pPr>
            <w:bookmarkStart w:id="0" w:name="_Hlk77851351"/>
            <w:r w:rsidRPr="008D5A5E">
              <w:rPr>
                <w:rFonts w:cs="Calibri"/>
                <w:szCs w:val="22"/>
              </w:rPr>
              <w:t>Newton UK Income Fund</w:t>
            </w:r>
            <w:bookmarkEnd w:id="0"/>
          </w:p>
        </w:tc>
        <w:tc>
          <w:tcPr>
            <w:tcW w:w="1444" w:type="dxa"/>
            <w:tcBorders>
              <w:top w:val="single" w:sz="4" w:space="0" w:color="auto"/>
              <w:left w:val="single" w:sz="4" w:space="0" w:color="auto"/>
              <w:bottom w:val="single" w:sz="4" w:space="0" w:color="auto"/>
              <w:right w:val="single" w:sz="4" w:space="0" w:color="auto"/>
            </w:tcBorders>
          </w:tcPr>
          <w:p w14:paraId="6B399099" w14:textId="75D4B651" w:rsidR="00ED56C8" w:rsidRPr="008D5A5E" w:rsidRDefault="00ED56C8" w:rsidP="00ED56C8">
            <w:pPr>
              <w:spacing w:after="0"/>
              <w:jc w:val="center"/>
              <w:rPr>
                <w:rFonts w:cs="Calibri"/>
                <w:szCs w:val="22"/>
              </w:rPr>
            </w:pPr>
            <w:r w:rsidRPr="008D5A5E">
              <w:rPr>
                <w:rFonts w:cs="Calibri"/>
                <w:szCs w:val="22"/>
              </w:rPr>
              <w:t>Newton Multi Asset Global Balanced Fund</w:t>
            </w:r>
          </w:p>
        </w:tc>
        <w:tc>
          <w:tcPr>
            <w:tcW w:w="1444" w:type="dxa"/>
            <w:tcBorders>
              <w:top w:val="single" w:sz="4" w:space="0" w:color="auto"/>
              <w:left w:val="single" w:sz="4" w:space="0" w:color="auto"/>
              <w:bottom w:val="single" w:sz="4" w:space="0" w:color="auto"/>
              <w:right w:val="single" w:sz="4" w:space="0" w:color="auto"/>
            </w:tcBorders>
          </w:tcPr>
          <w:p w14:paraId="1A6D1B52" w14:textId="7C6337F6" w:rsidR="00ED56C8" w:rsidRPr="008D5A5E" w:rsidRDefault="00ED56C8" w:rsidP="00ED56C8">
            <w:pPr>
              <w:spacing w:after="0"/>
              <w:jc w:val="center"/>
              <w:rPr>
                <w:rFonts w:cs="Calibri"/>
                <w:szCs w:val="22"/>
              </w:rPr>
            </w:pPr>
            <w:r w:rsidRPr="008D5A5E">
              <w:rPr>
                <w:rFonts w:cs="Calibri"/>
                <w:szCs w:val="22"/>
              </w:rPr>
              <w:t>Newton Continental European Fund</w:t>
            </w:r>
          </w:p>
        </w:tc>
        <w:tc>
          <w:tcPr>
            <w:tcW w:w="1444" w:type="dxa"/>
            <w:tcBorders>
              <w:top w:val="single" w:sz="4" w:space="0" w:color="auto"/>
              <w:left w:val="single" w:sz="4" w:space="0" w:color="auto"/>
              <w:bottom w:val="single" w:sz="4" w:space="0" w:color="auto"/>
              <w:right w:val="single" w:sz="4" w:space="0" w:color="auto"/>
            </w:tcBorders>
          </w:tcPr>
          <w:p w14:paraId="66BDD541" w14:textId="0566BFFF" w:rsidR="00ED56C8" w:rsidRPr="008D5A5E" w:rsidRDefault="00ED56C8" w:rsidP="00ED56C8">
            <w:pPr>
              <w:spacing w:after="0"/>
              <w:jc w:val="center"/>
              <w:rPr>
                <w:rFonts w:cs="Calibri"/>
                <w:szCs w:val="22"/>
              </w:rPr>
            </w:pPr>
            <w:r w:rsidRPr="008D5A5E">
              <w:rPr>
                <w:rFonts w:cs="Calibri"/>
                <w:szCs w:val="22"/>
              </w:rPr>
              <w:t>Newton UK Equity Fund</w:t>
            </w:r>
          </w:p>
        </w:tc>
        <w:tc>
          <w:tcPr>
            <w:tcW w:w="1444" w:type="dxa"/>
            <w:tcBorders>
              <w:top w:val="single" w:sz="4" w:space="0" w:color="auto"/>
              <w:left w:val="single" w:sz="4" w:space="0" w:color="auto"/>
              <w:bottom w:val="single" w:sz="4" w:space="0" w:color="auto"/>
              <w:right w:val="single" w:sz="4" w:space="0" w:color="auto"/>
            </w:tcBorders>
          </w:tcPr>
          <w:p w14:paraId="1BAB0EDC" w14:textId="51E05534" w:rsidR="00ED56C8" w:rsidRPr="008D5A5E" w:rsidRDefault="00ED56C8" w:rsidP="00ED56C8">
            <w:pPr>
              <w:spacing w:after="0"/>
              <w:jc w:val="center"/>
              <w:rPr>
                <w:rFonts w:cs="Calibri"/>
                <w:szCs w:val="22"/>
              </w:rPr>
            </w:pPr>
            <w:r w:rsidRPr="008D5A5E">
              <w:rPr>
                <w:rFonts w:cs="Calibri"/>
                <w:szCs w:val="22"/>
              </w:rPr>
              <w:t>Newton Oriental Fund</w:t>
            </w:r>
          </w:p>
        </w:tc>
      </w:tr>
      <w:tr w:rsidR="00ED56C8" w:rsidRPr="00AC2A5C" w14:paraId="78ED4094" w14:textId="74827C68" w:rsidTr="00FF2C6D">
        <w:trPr>
          <w:cnfStyle w:val="000000100000" w:firstRow="0" w:lastRow="0" w:firstColumn="0" w:lastColumn="0" w:oddVBand="0" w:evenVBand="0" w:oddHBand="1" w:evenHBand="0" w:firstRowFirstColumn="0" w:firstRowLastColumn="0" w:lastRowFirstColumn="0" w:lastRowLastColumn="0"/>
          <w:trHeight w:val="526"/>
        </w:trPr>
        <w:tc>
          <w:tcPr>
            <w:tcW w:w="1825" w:type="dxa"/>
            <w:tcBorders>
              <w:top w:val="single" w:sz="4" w:space="0" w:color="auto"/>
            </w:tcBorders>
          </w:tcPr>
          <w:p w14:paraId="17F6DB09" w14:textId="77777777" w:rsidR="00ED56C8" w:rsidRPr="00AC2A5C" w:rsidRDefault="00ED56C8" w:rsidP="00ED56C8">
            <w:pPr>
              <w:spacing w:after="0"/>
              <w:rPr>
                <w:rFonts w:cs="Calibri"/>
                <w:sz w:val="20"/>
                <w:szCs w:val="20"/>
              </w:rPr>
            </w:pPr>
            <w:r w:rsidRPr="00AC2A5C">
              <w:rPr>
                <w:rFonts w:cs="Calibri"/>
                <w:sz w:val="20"/>
                <w:szCs w:val="20"/>
              </w:rPr>
              <w:t>Number of equity holdings</w:t>
            </w:r>
          </w:p>
        </w:tc>
        <w:tc>
          <w:tcPr>
            <w:tcW w:w="1318" w:type="dxa"/>
            <w:tcBorders>
              <w:top w:val="single" w:sz="4" w:space="0" w:color="auto"/>
            </w:tcBorders>
            <w:noWrap/>
          </w:tcPr>
          <w:p w14:paraId="743DAF13" w14:textId="04C397B3" w:rsidR="00ED56C8" w:rsidRPr="008D5A5E" w:rsidRDefault="00ED56C8" w:rsidP="00ED56C8">
            <w:pPr>
              <w:spacing w:after="0"/>
              <w:jc w:val="center"/>
              <w:rPr>
                <w:rFonts w:cs="Calibri"/>
                <w:sz w:val="20"/>
                <w:szCs w:val="20"/>
              </w:rPr>
            </w:pPr>
            <w:r w:rsidRPr="008D5A5E">
              <w:rPr>
                <w:rFonts w:cs="Calibri"/>
                <w:sz w:val="20"/>
                <w:szCs w:val="20"/>
              </w:rPr>
              <w:t>513</w:t>
            </w:r>
          </w:p>
        </w:tc>
        <w:tc>
          <w:tcPr>
            <w:tcW w:w="1445" w:type="dxa"/>
            <w:tcBorders>
              <w:top w:val="single" w:sz="4" w:space="0" w:color="auto"/>
            </w:tcBorders>
          </w:tcPr>
          <w:p w14:paraId="547DC502" w14:textId="58DEF71D" w:rsidR="00ED56C8" w:rsidRPr="008D5A5E" w:rsidRDefault="00ED56C8" w:rsidP="00ED56C8">
            <w:pPr>
              <w:spacing w:after="0"/>
              <w:jc w:val="center"/>
              <w:rPr>
                <w:rFonts w:cs="Calibri"/>
                <w:sz w:val="20"/>
                <w:szCs w:val="20"/>
              </w:rPr>
            </w:pPr>
            <w:r w:rsidRPr="008D5A5E">
              <w:rPr>
                <w:rFonts w:cs="Calibri"/>
                <w:sz w:val="20"/>
                <w:szCs w:val="20"/>
              </w:rPr>
              <w:t>240</w:t>
            </w:r>
          </w:p>
        </w:tc>
        <w:tc>
          <w:tcPr>
            <w:tcW w:w="1444" w:type="dxa"/>
            <w:tcBorders>
              <w:top w:val="single" w:sz="4" w:space="0" w:color="auto"/>
            </w:tcBorders>
          </w:tcPr>
          <w:p w14:paraId="7D725EB0" w14:textId="5068E29D" w:rsidR="00ED56C8" w:rsidRPr="008D5A5E" w:rsidRDefault="00ED56C8" w:rsidP="00ED56C8">
            <w:pPr>
              <w:spacing w:after="0"/>
              <w:jc w:val="center"/>
              <w:rPr>
                <w:rFonts w:cs="Calibri"/>
                <w:sz w:val="20"/>
                <w:szCs w:val="20"/>
              </w:rPr>
            </w:pPr>
            <w:r w:rsidRPr="008D5A5E">
              <w:rPr>
                <w:rFonts w:cs="Calibri"/>
                <w:sz w:val="20"/>
                <w:szCs w:val="20"/>
              </w:rPr>
              <w:t>458</w:t>
            </w:r>
          </w:p>
        </w:tc>
        <w:tc>
          <w:tcPr>
            <w:tcW w:w="1444" w:type="dxa"/>
            <w:tcBorders>
              <w:top w:val="single" w:sz="4" w:space="0" w:color="auto"/>
            </w:tcBorders>
          </w:tcPr>
          <w:p w14:paraId="27A790A2" w14:textId="598B6F6C" w:rsidR="00ED56C8" w:rsidRPr="008D5A5E" w:rsidRDefault="00ED56C8" w:rsidP="00ED56C8">
            <w:pPr>
              <w:spacing w:after="0"/>
              <w:jc w:val="center"/>
              <w:rPr>
                <w:rFonts w:cs="Calibri"/>
                <w:sz w:val="20"/>
                <w:szCs w:val="20"/>
              </w:rPr>
            </w:pPr>
            <w:r w:rsidRPr="008D5A5E">
              <w:rPr>
                <w:rFonts w:cs="Calibri"/>
                <w:sz w:val="20"/>
                <w:szCs w:val="20"/>
              </w:rPr>
              <w:t>618</w:t>
            </w:r>
          </w:p>
        </w:tc>
        <w:tc>
          <w:tcPr>
            <w:tcW w:w="1444" w:type="dxa"/>
            <w:tcBorders>
              <w:top w:val="single" w:sz="4" w:space="0" w:color="auto"/>
            </w:tcBorders>
          </w:tcPr>
          <w:p w14:paraId="3DC63BB4" w14:textId="4C427BFC" w:rsidR="00ED56C8" w:rsidRPr="008D5A5E" w:rsidRDefault="00ED56C8" w:rsidP="00ED56C8">
            <w:pPr>
              <w:spacing w:after="0"/>
              <w:jc w:val="center"/>
              <w:rPr>
                <w:rFonts w:cs="Calibri"/>
                <w:sz w:val="20"/>
                <w:szCs w:val="20"/>
              </w:rPr>
            </w:pPr>
            <w:r w:rsidRPr="008D5A5E">
              <w:rPr>
                <w:rFonts w:cs="Calibri"/>
                <w:sz w:val="20"/>
                <w:szCs w:val="20"/>
              </w:rPr>
              <w:t>43</w:t>
            </w:r>
          </w:p>
        </w:tc>
        <w:tc>
          <w:tcPr>
            <w:tcW w:w="1444" w:type="dxa"/>
            <w:tcBorders>
              <w:top w:val="single" w:sz="4" w:space="0" w:color="auto"/>
            </w:tcBorders>
          </w:tcPr>
          <w:p w14:paraId="3748F143" w14:textId="2631953E" w:rsidR="00ED56C8" w:rsidRPr="008D5A5E" w:rsidRDefault="00ED56C8" w:rsidP="00ED56C8">
            <w:pPr>
              <w:spacing w:after="0"/>
              <w:jc w:val="center"/>
              <w:rPr>
                <w:rFonts w:cs="Calibri"/>
                <w:sz w:val="20"/>
                <w:szCs w:val="20"/>
              </w:rPr>
            </w:pPr>
            <w:r w:rsidRPr="008D5A5E">
              <w:rPr>
                <w:rFonts w:cs="Calibri"/>
                <w:sz w:val="20"/>
                <w:szCs w:val="20"/>
              </w:rPr>
              <w:t>60</w:t>
            </w:r>
          </w:p>
        </w:tc>
        <w:tc>
          <w:tcPr>
            <w:tcW w:w="1444" w:type="dxa"/>
            <w:tcBorders>
              <w:top w:val="single" w:sz="4" w:space="0" w:color="auto"/>
            </w:tcBorders>
          </w:tcPr>
          <w:p w14:paraId="045C627F" w14:textId="52865E03" w:rsidR="00ED56C8" w:rsidRPr="008D5A5E" w:rsidRDefault="00374007" w:rsidP="00ED56C8">
            <w:pPr>
              <w:spacing w:after="0"/>
              <w:jc w:val="center"/>
              <w:rPr>
                <w:rFonts w:cs="Calibri"/>
                <w:sz w:val="20"/>
                <w:szCs w:val="20"/>
              </w:rPr>
            </w:pPr>
            <w:r>
              <w:rPr>
                <w:rFonts w:cs="Calibri"/>
                <w:sz w:val="20"/>
                <w:szCs w:val="20"/>
              </w:rPr>
              <w:t>48</w:t>
            </w:r>
          </w:p>
        </w:tc>
        <w:tc>
          <w:tcPr>
            <w:tcW w:w="1444" w:type="dxa"/>
            <w:tcBorders>
              <w:top w:val="single" w:sz="4" w:space="0" w:color="auto"/>
            </w:tcBorders>
          </w:tcPr>
          <w:p w14:paraId="673B5CBB" w14:textId="7AE63B10" w:rsidR="00ED56C8" w:rsidRPr="008D5A5E" w:rsidRDefault="00ED56C8" w:rsidP="00ED56C8">
            <w:pPr>
              <w:spacing w:after="0"/>
              <w:jc w:val="center"/>
              <w:rPr>
                <w:rFonts w:cs="Calibri"/>
                <w:sz w:val="20"/>
                <w:szCs w:val="20"/>
              </w:rPr>
            </w:pPr>
            <w:r w:rsidRPr="008D5A5E">
              <w:rPr>
                <w:rFonts w:cs="Calibri"/>
                <w:sz w:val="20"/>
                <w:szCs w:val="20"/>
              </w:rPr>
              <w:t>51</w:t>
            </w:r>
          </w:p>
        </w:tc>
        <w:tc>
          <w:tcPr>
            <w:tcW w:w="1444" w:type="dxa"/>
            <w:tcBorders>
              <w:top w:val="single" w:sz="4" w:space="0" w:color="auto"/>
            </w:tcBorders>
          </w:tcPr>
          <w:p w14:paraId="6B614D6B" w14:textId="214C547A" w:rsidR="00ED56C8" w:rsidRPr="008D5A5E" w:rsidRDefault="00374007" w:rsidP="00ED56C8">
            <w:pPr>
              <w:spacing w:after="0"/>
              <w:jc w:val="center"/>
              <w:rPr>
                <w:rFonts w:cs="Calibri"/>
                <w:sz w:val="20"/>
                <w:szCs w:val="20"/>
              </w:rPr>
            </w:pPr>
            <w:r>
              <w:rPr>
                <w:rFonts w:cs="Calibri"/>
                <w:sz w:val="20"/>
                <w:szCs w:val="20"/>
              </w:rPr>
              <w:t>41</w:t>
            </w:r>
          </w:p>
        </w:tc>
      </w:tr>
      <w:tr w:rsidR="00ED56C8" w:rsidRPr="00AC2A5C" w14:paraId="19FDF4F1" w14:textId="7C9810C7" w:rsidTr="00FF2C6D">
        <w:trPr>
          <w:cnfStyle w:val="000000010000" w:firstRow="0" w:lastRow="0" w:firstColumn="0" w:lastColumn="0" w:oddVBand="0" w:evenVBand="0" w:oddHBand="0" w:evenHBand="1" w:firstRowFirstColumn="0" w:firstRowLastColumn="0" w:lastRowFirstColumn="0" w:lastRowLastColumn="0"/>
          <w:trHeight w:val="526"/>
        </w:trPr>
        <w:tc>
          <w:tcPr>
            <w:tcW w:w="1825" w:type="dxa"/>
            <w:tcBorders>
              <w:top w:val="single" w:sz="4" w:space="0" w:color="auto"/>
            </w:tcBorders>
            <w:hideMark/>
          </w:tcPr>
          <w:p w14:paraId="40D365F3" w14:textId="77777777" w:rsidR="00ED56C8" w:rsidRPr="00AC2A5C" w:rsidRDefault="00ED56C8" w:rsidP="00ED56C8">
            <w:pPr>
              <w:spacing w:after="0"/>
              <w:rPr>
                <w:rFonts w:cs="Calibri"/>
                <w:sz w:val="20"/>
                <w:szCs w:val="20"/>
              </w:rPr>
            </w:pPr>
            <w:r w:rsidRPr="00AC2A5C">
              <w:rPr>
                <w:rFonts w:cs="Calibri"/>
                <w:sz w:val="20"/>
                <w:szCs w:val="20"/>
              </w:rPr>
              <w:t>Meetings eligible to vote at</w:t>
            </w:r>
          </w:p>
        </w:tc>
        <w:tc>
          <w:tcPr>
            <w:tcW w:w="1318" w:type="dxa"/>
            <w:tcBorders>
              <w:top w:val="single" w:sz="4" w:space="0" w:color="auto"/>
            </w:tcBorders>
            <w:noWrap/>
          </w:tcPr>
          <w:p w14:paraId="08FB029B" w14:textId="64890A26" w:rsidR="00ED56C8" w:rsidRPr="008D5A5E" w:rsidRDefault="00ED56C8" w:rsidP="00ED56C8">
            <w:pPr>
              <w:spacing w:after="0"/>
              <w:jc w:val="center"/>
              <w:rPr>
                <w:rFonts w:cs="Calibri"/>
                <w:sz w:val="20"/>
                <w:szCs w:val="20"/>
              </w:rPr>
            </w:pPr>
            <w:r w:rsidRPr="008D5A5E">
              <w:rPr>
                <w:rFonts w:cs="Calibri"/>
                <w:sz w:val="20"/>
                <w:szCs w:val="20"/>
              </w:rPr>
              <w:t>547</w:t>
            </w:r>
          </w:p>
        </w:tc>
        <w:tc>
          <w:tcPr>
            <w:tcW w:w="1445" w:type="dxa"/>
            <w:tcBorders>
              <w:top w:val="single" w:sz="4" w:space="0" w:color="auto"/>
            </w:tcBorders>
          </w:tcPr>
          <w:p w14:paraId="0FEEB9A4" w14:textId="2E048893" w:rsidR="00ED56C8" w:rsidRPr="008D5A5E" w:rsidRDefault="00ED56C8" w:rsidP="00ED56C8">
            <w:pPr>
              <w:spacing w:after="0"/>
              <w:jc w:val="center"/>
              <w:rPr>
                <w:rFonts w:cs="Calibri"/>
                <w:sz w:val="20"/>
                <w:szCs w:val="20"/>
              </w:rPr>
            </w:pPr>
            <w:r w:rsidRPr="008D5A5E">
              <w:rPr>
                <w:rFonts w:cs="Calibri"/>
                <w:sz w:val="20"/>
                <w:szCs w:val="20"/>
              </w:rPr>
              <w:t>804</w:t>
            </w:r>
          </w:p>
        </w:tc>
        <w:tc>
          <w:tcPr>
            <w:tcW w:w="1444" w:type="dxa"/>
            <w:tcBorders>
              <w:top w:val="single" w:sz="4" w:space="0" w:color="auto"/>
            </w:tcBorders>
          </w:tcPr>
          <w:p w14:paraId="209FBA4B" w14:textId="05B15090" w:rsidR="00ED56C8" w:rsidRPr="008D5A5E" w:rsidRDefault="00ED56C8" w:rsidP="00ED56C8">
            <w:pPr>
              <w:spacing w:after="0"/>
              <w:jc w:val="center"/>
              <w:rPr>
                <w:rFonts w:cs="Calibri"/>
                <w:sz w:val="20"/>
                <w:szCs w:val="20"/>
              </w:rPr>
            </w:pPr>
            <w:r w:rsidRPr="008D5A5E">
              <w:rPr>
                <w:rFonts w:cs="Calibri"/>
                <w:sz w:val="20"/>
                <w:szCs w:val="20"/>
              </w:rPr>
              <w:t>635</w:t>
            </w:r>
          </w:p>
        </w:tc>
        <w:tc>
          <w:tcPr>
            <w:tcW w:w="1444" w:type="dxa"/>
            <w:tcBorders>
              <w:top w:val="single" w:sz="4" w:space="0" w:color="auto"/>
            </w:tcBorders>
          </w:tcPr>
          <w:p w14:paraId="2ABA9BC0" w14:textId="41527BDF" w:rsidR="00ED56C8" w:rsidRPr="008D5A5E" w:rsidRDefault="00ED56C8" w:rsidP="00ED56C8">
            <w:pPr>
              <w:spacing w:after="0"/>
              <w:jc w:val="center"/>
              <w:rPr>
                <w:rFonts w:cs="Calibri"/>
                <w:sz w:val="20"/>
                <w:szCs w:val="20"/>
              </w:rPr>
            </w:pPr>
            <w:r w:rsidRPr="008D5A5E">
              <w:rPr>
                <w:rFonts w:cs="Calibri"/>
                <w:sz w:val="20"/>
                <w:szCs w:val="20"/>
              </w:rPr>
              <w:t>680</w:t>
            </w:r>
          </w:p>
        </w:tc>
        <w:tc>
          <w:tcPr>
            <w:tcW w:w="1444" w:type="dxa"/>
            <w:tcBorders>
              <w:top w:val="single" w:sz="4" w:space="0" w:color="auto"/>
            </w:tcBorders>
          </w:tcPr>
          <w:p w14:paraId="19ACEC9D" w14:textId="3C4C66ED" w:rsidR="00ED56C8" w:rsidRPr="008D5A5E" w:rsidRDefault="00ED56C8" w:rsidP="00ED56C8">
            <w:pPr>
              <w:spacing w:after="0"/>
              <w:jc w:val="center"/>
              <w:rPr>
                <w:rFonts w:cs="Calibri"/>
                <w:sz w:val="20"/>
                <w:szCs w:val="20"/>
              </w:rPr>
            </w:pPr>
            <w:r w:rsidRPr="008D5A5E">
              <w:rPr>
                <w:rFonts w:cs="Calibri"/>
                <w:sz w:val="20"/>
                <w:szCs w:val="20"/>
              </w:rPr>
              <w:t>48</w:t>
            </w:r>
          </w:p>
        </w:tc>
        <w:tc>
          <w:tcPr>
            <w:tcW w:w="1444" w:type="dxa"/>
            <w:tcBorders>
              <w:top w:val="single" w:sz="4" w:space="0" w:color="auto"/>
            </w:tcBorders>
          </w:tcPr>
          <w:p w14:paraId="5AF152EE" w14:textId="347EDED3" w:rsidR="00ED56C8" w:rsidRPr="008D5A5E" w:rsidRDefault="00ED56C8" w:rsidP="00ED56C8">
            <w:pPr>
              <w:spacing w:after="0"/>
              <w:jc w:val="center"/>
              <w:rPr>
                <w:rFonts w:cs="Calibri"/>
                <w:sz w:val="20"/>
                <w:szCs w:val="20"/>
              </w:rPr>
            </w:pPr>
            <w:r w:rsidRPr="008D5A5E">
              <w:rPr>
                <w:rFonts w:cs="Calibri"/>
                <w:sz w:val="20"/>
                <w:szCs w:val="20"/>
              </w:rPr>
              <w:t>64</w:t>
            </w:r>
          </w:p>
        </w:tc>
        <w:tc>
          <w:tcPr>
            <w:tcW w:w="1444" w:type="dxa"/>
            <w:tcBorders>
              <w:top w:val="single" w:sz="4" w:space="0" w:color="auto"/>
            </w:tcBorders>
          </w:tcPr>
          <w:p w14:paraId="77074AED" w14:textId="0C1E4483" w:rsidR="00ED56C8" w:rsidRPr="008D5A5E" w:rsidRDefault="00374007" w:rsidP="00ED56C8">
            <w:pPr>
              <w:spacing w:after="0"/>
              <w:jc w:val="center"/>
              <w:rPr>
                <w:rFonts w:cs="Calibri"/>
                <w:sz w:val="20"/>
                <w:szCs w:val="20"/>
              </w:rPr>
            </w:pPr>
            <w:r>
              <w:rPr>
                <w:rFonts w:cs="Calibri"/>
                <w:sz w:val="20"/>
                <w:szCs w:val="20"/>
              </w:rPr>
              <w:t>48</w:t>
            </w:r>
          </w:p>
        </w:tc>
        <w:tc>
          <w:tcPr>
            <w:tcW w:w="1444" w:type="dxa"/>
            <w:tcBorders>
              <w:top w:val="single" w:sz="4" w:space="0" w:color="auto"/>
            </w:tcBorders>
          </w:tcPr>
          <w:p w14:paraId="6DD25776" w14:textId="1588B13F" w:rsidR="00ED56C8" w:rsidRPr="008D5A5E" w:rsidRDefault="00ED56C8" w:rsidP="00ED56C8">
            <w:pPr>
              <w:spacing w:after="0"/>
              <w:jc w:val="center"/>
              <w:rPr>
                <w:rFonts w:cs="Calibri"/>
                <w:sz w:val="20"/>
                <w:szCs w:val="20"/>
              </w:rPr>
            </w:pPr>
            <w:r w:rsidRPr="008D5A5E">
              <w:rPr>
                <w:rFonts w:cs="Calibri"/>
                <w:sz w:val="20"/>
                <w:szCs w:val="20"/>
              </w:rPr>
              <w:t>59</w:t>
            </w:r>
          </w:p>
        </w:tc>
        <w:tc>
          <w:tcPr>
            <w:tcW w:w="1444" w:type="dxa"/>
            <w:tcBorders>
              <w:top w:val="single" w:sz="4" w:space="0" w:color="auto"/>
            </w:tcBorders>
          </w:tcPr>
          <w:p w14:paraId="39724354" w14:textId="3D329DA8" w:rsidR="00ED56C8" w:rsidRPr="008D5A5E" w:rsidRDefault="00374007" w:rsidP="00ED56C8">
            <w:pPr>
              <w:spacing w:after="0"/>
              <w:jc w:val="center"/>
              <w:rPr>
                <w:rFonts w:cs="Calibri"/>
                <w:sz w:val="20"/>
                <w:szCs w:val="20"/>
              </w:rPr>
            </w:pPr>
            <w:r>
              <w:rPr>
                <w:rFonts w:cs="Calibri"/>
                <w:sz w:val="20"/>
                <w:szCs w:val="20"/>
              </w:rPr>
              <w:t>46</w:t>
            </w:r>
          </w:p>
        </w:tc>
      </w:tr>
      <w:tr w:rsidR="00ED56C8" w:rsidRPr="00AC2A5C" w14:paraId="6F0EA3C4" w14:textId="61828134" w:rsidTr="00FF2C6D">
        <w:trPr>
          <w:cnfStyle w:val="000000100000" w:firstRow="0" w:lastRow="0" w:firstColumn="0" w:lastColumn="0" w:oddVBand="0" w:evenVBand="0" w:oddHBand="1" w:evenHBand="0" w:firstRowFirstColumn="0" w:firstRowLastColumn="0" w:lastRowFirstColumn="0" w:lastRowLastColumn="0"/>
          <w:trHeight w:val="526"/>
        </w:trPr>
        <w:tc>
          <w:tcPr>
            <w:tcW w:w="1825" w:type="dxa"/>
            <w:hideMark/>
          </w:tcPr>
          <w:p w14:paraId="3EAA73FA" w14:textId="77777777" w:rsidR="00ED56C8" w:rsidRPr="00AC2A5C" w:rsidRDefault="00ED56C8" w:rsidP="00ED56C8">
            <w:pPr>
              <w:spacing w:after="0"/>
              <w:rPr>
                <w:rFonts w:cs="Calibri"/>
                <w:sz w:val="20"/>
                <w:szCs w:val="20"/>
              </w:rPr>
            </w:pPr>
            <w:r w:rsidRPr="00AC2A5C">
              <w:rPr>
                <w:rFonts w:cs="Calibri"/>
                <w:sz w:val="20"/>
                <w:szCs w:val="20"/>
              </w:rPr>
              <w:t>Resolutions eligible to vote on</w:t>
            </w:r>
          </w:p>
        </w:tc>
        <w:tc>
          <w:tcPr>
            <w:tcW w:w="1318" w:type="dxa"/>
            <w:noWrap/>
          </w:tcPr>
          <w:p w14:paraId="2C302107" w14:textId="064E9451" w:rsidR="00ED56C8" w:rsidRPr="008D5A5E" w:rsidRDefault="00ED56C8" w:rsidP="00ED56C8">
            <w:pPr>
              <w:spacing w:after="0"/>
              <w:jc w:val="center"/>
              <w:rPr>
                <w:rFonts w:cs="Calibri"/>
                <w:sz w:val="20"/>
                <w:szCs w:val="20"/>
              </w:rPr>
            </w:pPr>
            <w:r w:rsidRPr="008D5A5E">
              <w:rPr>
                <w:rFonts w:cs="Calibri"/>
                <w:sz w:val="20"/>
                <w:szCs w:val="20"/>
              </w:rPr>
              <w:t>6,538</w:t>
            </w:r>
          </w:p>
        </w:tc>
        <w:tc>
          <w:tcPr>
            <w:tcW w:w="1445" w:type="dxa"/>
          </w:tcPr>
          <w:p w14:paraId="4B9D4EED" w14:textId="3024102A" w:rsidR="00ED56C8" w:rsidRPr="008D5A5E" w:rsidRDefault="00ED56C8" w:rsidP="00ED56C8">
            <w:pPr>
              <w:spacing w:after="0"/>
              <w:jc w:val="center"/>
              <w:rPr>
                <w:rFonts w:cs="Calibri"/>
                <w:sz w:val="20"/>
                <w:szCs w:val="20"/>
              </w:rPr>
            </w:pPr>
            <w:r w:rsidRPr="008D5A5E">
              <w:rPr>
                <w:rFonts w:cs="Calibri"/>
                <w:sz w:val="20"/>
                <w:szCs w:val="20"/>
              </w:rPr>
              <w:t>9,634</w:t>
            </w:r>
          </w:p>
        </w:tc>
        <w:tc>
          <w:tcPr>
            <w:tcW w:w="1444" w:type="dxa"/>
          </w:tcPr>
          <w:p w14:paraId="4D6FCFE6" w14:textId="45A4CAC9" w:rsidR="00ED56C8" w:rsidRPr="008D5A5E" w:rsidRDefault="00ED56C8" w:rsidP="00ED56C8">
            <w:pPr>
              <w:spacing w:after="0"/>
              <w:jc w:val="center"/>
              <w:rPr>
                <w:rFonts w:cs="Calibri"/>
                <w:sz w:val="20"/>
                <w:szCs w:val="20"/>
              </w:rPr>
            </w:pPr>
            <w:r w:rsidRPr="008D5A5E">
              <w:rPr>
                <w:rFonts w:cs="Calibri"/>
                <w:sz w:val="20"/>
                <w:szCs w:val="20"/>
              </w:rPr>
              <w:t>10,402</w:t>
            </w:r>
          </w:p>
        </w:tc>
        <w:tc>
          <w:tcPr>
            <w:tcW w:w="1444" w:type="dxa"/>
          </w:tcPr>
          <w:p w14:paraId="558799E6" w14:textId="5CB8FD81" w:rsidR="00ED56C8" w:rsidRPr="008D5A5E" w:rsidRDefault="00ED56C8" w:rsidP="00ED56C8">
            <w:pPr>
              <w:spacing w:after="0"/>
              <w:jc w:val="center"/>
              <w:rPr>
                <w:rFonts w:cs="Calibri"/>
                <w:sz w:val="20"/>
                <w:szCs w:val="20"/>
              </w:rPr>
            </w:pPr>
            <w:r w:rsidRPr="008D5A5E">
              <w:rPr>
                <w:rFonts w:cs="Calibri"/>
                <w:sz w:val="20"/>
                <w:szCs w:val="20"/>
              </w:rPr>
              <w:t>4,944</w:t>
            </w:r>
          </w:p>
        </w:tc>
        <w:tc>
          <w:tcPr>
            <w:tcW w:w="1444" w:type="dxa"/>
          </w:tcPr>
          <w:p w14:paraId="6B45C7CB" w14:textId="1D344471" w:rsidR="00ED56C8" w:rsidRPr="008D5A5E" w:rsidRDefault="00ED56C8" w:rsidP="00ED56C8">
            <w:pPr>
              <w:spacing w:after="0"/>
              <w:jc w:val="center"/>
              <w:rPr>
                <w:rFonts w:cs="Calibri"/>
                <w:sz w:val="20"/>
                <w:szCs w:val="20"/>
              </w:rPr>
            </w:pPr>
            <w:r w:rsidRPr="008D5A5E">
              <w:rPr>
                <w:rFonts w:cs="Calibri"/>
                <w:sz w:val="20"/>
                <w:szCs w:val="20"/>
              </w:rPr>
              <w:t>920</w:t>
            </w:r>
          </w:p>
        </w:tc>
        <w:tc>
          <w:tcPr>
            <w:tcW w:w="1444" w:type="dxa"/>
          </w:tcPr>
          <w:p w14:paraId="29EFA4B8" w14:textId="1C13B5C2" w:rsidR="00ED56C8" w:rsidRPr="008D5A5E" w:rsidRDefault="00ED56C8" w:rsidP="00ED56C8">
            <w:pPr>
              <w:spacing w:after="0"/>
              <w:jc w:val="center"/>
              <w:rPr>
                <w:rFonts w:cs="Calibri"/>
                <w:sz w:val="20"/>
                <w:szCs w:val="20"/>
              </w:rPr>
            </w:pPr>
            <w:r w:rsidRPr="008D5A5E">
              <w:rPr>
                <w:rFonts w:cs="Calibri"/>
                <w:sz w:val="20"/>
                <w:szCs w:val="20"/>
              </w:rPr>
              <w:t>1,032</w:t>
            </w:r>
          </w:p>
        </w:tc>
        <w:tc>
          <w:tcPr>
            <w:tcW w:w="1444" w:type="dxa"/>
          </w:tcPr>
          <w:p w14:paraId="698EF597" w14:textId="27ABA0F2" w:rsidR="00ED56C8" w:rsidRPr="008D5A5E" w:rsidRDefault="00374007" w:rsidP="00ED56C8">
            <w:pPr>
              <w:spacing w:after="0"/>
              <w:jc w:val="center"/>
              <w:rPr>
                <w:rFonts w:cs="Calibri"/>
                <w:sz w:val="20"/>
                <w:szCs w:val="20"/>
              </w:rPr>
            </w:pPr>
            <w:r>
              <w:rPr>
                <w:rFonts w:cs="Calibri"/>
                <w:sz w:val="20"/>
                <w:szCs w:val="20"/>
              </w:rPr>
              <w:t>941</w:t>
            </w:r>
          </w:p>
        </w:tc>
        <w:tc>
          <w:tcPr>
            <w:tcW w:w="1444" w:type="dxa"/>
          </w:tcPr>
          <w:p w14:paraId="2C709E63" w14:textId="515C9D4D" w:rsidR="00ED56C8" w:rsidRPr="008D5A5E" w:rsidRDefault="00ED56C8" w:rsidP="00ED56C8">
            <w:pPr>
              <w:spacing w:after="0"/>
              <w:jc w:val="center"/>
              <w:rPr>
                <w:rFonts w:cs="Calibri"/>
                <w:sz w:val="20"/>
                <w:szCs w:val="20"/>
              </w:rPr>
            </w:pPr>
            <w:r w:rsidRPr="008D5A5E">
              <w:rPr>
                <w:rFonts w:cs="Calibri"/>
                <w:sz w:val="20"/>
                <w:szCs w:val="20"/>
              </w:rPr>
              <w:t>1,131</w:t>
            </w:r>
          </w:p>
        </w:tc>
        <w:tc>
          <w:tcPr>
            <w:tcW w:w="1444" w:type="dxa"/>
          </w:tcPr>
          <w:p w14:paraId="77791174" w14:textId="70943F95" w:rsidR="00ED56C8" w:rsidRPr="008D5A5E" w:rsidRDefault="00374007" w:rsidP="00ED56C8">
            <w:pPr>
              <w:spacing w:after="0"/>
              <w:jc w:val="center"/>
              <w:rPr>
                <w:rFonts w:cs="Calibri"/>
                <w:sz w:val="20"/>
                <w:szCs w:val="20"/>
              </w:rPr>
            </w:pPr>
            <w:r>
              <w:rPr>
                <w:rFonts w:cs="Calibri"/>
                <w:sz w:val="20"/>
                <w:szCs w:val="20"/>
              </w:rPr>
              <w:t>335</w:t>
            </w:r>
          </w:p>
        </w:tc>
      </w:tr>
      <w:tr w:rsidR="00ED56C8" w:rsidRPr="00AC2A5C" w14:paraId="18E84317" w14:textId="0E6C9E92" w:rsidTr="00FF2C6D">
        <w:trPr>
          <w:cnfStyle w:val="000000010000" w:firstRow="0" w:lastRow="0" w:firstColumn="0" w:lastColumn="0" w:oddVBand="0" w:evenVBand="0" w:oddHBand="0" w:evenHBand="1" w:firstRowFirstColumn="0" w:firstRowLastColumn="0" w:lastRowFirstColumn="0" w:lastRowLastColumn="0"/>
          <w:trHeight w:val="526"/>
        </w:trPr>
        <w:tc>
          <w:tcPr>
            <w:tcW w:w="1825" w:type="dxa"/>
            <w:hideMark/>
          </w:tcPr>
          <w:p w14:paraId="1FAD7B22" w14:textId="77777777" w:rsidR="00ED56C8" w:rsidRPr="00AC2A5C" w:rsidRDefault="00ED56C8" w:rsidP="00ED56C8">
            <w:pPr>
              <w:spacing w:after="0"/>
              <w:rPr>
                <w:rFonts w:cs="Calibri"/>
                <w:sz w:val="20"/>
                <w:szCs w:val="20"/>
              </w:rPr>
            </w:pPr>
            <w:r w:rsidRPr="00AC2A5C">
              <w:rPr>
                <w:rFonts w:cs="Calibri"/>
                <w:sz w:val="20"/>
                <w:szCs w:val="20"/>
              </w:rPr>
              <w:t xml:space="preserve">Proportion of eligible resolutions voted on </w:t>
            </w:r>
          </w:p>
        </w:tc>
        <w:tc>
          <w:tcPr>
            <w:tcW w:w="1318" w:type="dxa"/>
            <w:noWrap/>
          </w:tcPr>
          <w:p w14:paraId="5D59949A" w14:textId="709428F7" w:rsidR="00ED56C8" w:rsidRPr="008D5A5E" w:rsidRDefault="00ED56C8" w:rsidP="00ED56C8">
            <w:pPr>
              <w:spacing w:after="0"/>
              <w:jc w:val="center"/>
              <w:rPr>
                <w:rFonts w:cs="Calibri"/>
                <w:sz w:val="20"/>
                <w:szCs w:val="20"/>
              </w:rPr>
            </w:pPr>
            <w:r w:rsidRPr="008D5A5E">
              <w:rPr>
                <w:rFonts w:cs="Calibri"/>
                <w:sz w:val="20"/>
                <w:szCs w:val="20"/>
              </w:rPr>
              <w:t>100.0%</w:t>
            </w:r>
          </w:p>
        </w:tc>
        <w:tc>
          <w:tcPr>
            <w:tcW w:w="1445" w:type="dxa"/>
          </w:tcPr>
          <w:p w14:paraId="5C191653" w14:textId="428B01A0" w:rsidR="00ED56C8" w:rsidRPr="008D5A5E" w:rsidRDefault="00ED56C8" w:rsidP="00ED56C8">
            <w:pPr>
              <w:spacing w:after="0"/>
              <w:jc w:val="center"/>
              <w:rPr>
                <w:rFonts w:cs="Calibri"/>
                <w:sz w:val="20"/>
                <w:szCs w:val="20"/>
              </w:rPr>
            </w:pPr>
            <w:r w:rsidRPr="008D5A5E">
              <w:rPr>
                <w:rFonts w:cs="Calibri"/>
                <w:sz w:val="20"/>
                <w:szCs w:val="20"/>
              </w:rPr>
              <w:t>100.0%</w:t>
            </w:r>
          </w:p>
        </w:tc>
        <w:tc>
          <w:tcPr>
            <w:tcW w:w="1444" w:type="dxa"/>
          </w:tcPr>
          <w:p w14:paraId="50A6BC33" w14:textId="5ABBD998" w:rsidR="00ED56C8" w:rsidRPr="008D5A5E" w:rsidRDefault="00ED56C8" w:rsidP="00ED56C8">
            <w:pPr>
              <w:spacing w:after="0"/>
              <w:jc w:val="center"/>
              <w:rPr>
                <w:rFonts w:cs="Calibri"/>
                <w:sz w:val="20"/>
                <w:szCs w:val="20"/>
              </w:rPr>
            </w:pPr>
            <w:r w:rsidRPr="008D5A5E">
              <w:rPr>
                <w:rFonts w:cs="Calibri"/>
                <w:sz w:val="20"/>
                <w:szCs w:val="20"/>
              </w:rPr>
              <w:t>99.9%</w:t>
            </w:r>
          </w:p>
        </w:tc>
        <w:tc>
          <w:tcPr>
            <w:tcW w:w="1444" w:type="dxa"/>
          </w:tcPr>
          <w:p w14:paraId="278ECBB8" w14:textId="4BCF93AE" w:rsidR="00ED56C8" w:rsidRPr="008D5A5E" w:rsidRDefault="00ED56C8" w:rsidP="00ED56C8">
            <w:pPr>
              <w:spacing w:after="0"/>
              <w:jc w:val="center"/>
              <w:rPr>
                <w:rFonts w:cs="Calibri"/>
                <w:sz w:val="20"/>
                <w:szCs w:val="20"/>
              </w:rPr>
            </w:pPr>
            <w:r w:rsidRPr="008D5A5E">
              <w:rPr>
                <w:rFonts w:cs="Calibri"/>
                <w:sz w:val="20"/>
                <w:szCs w:val="20"/>
              </w:rPr>
              <w:t>100.0%</w:t>
            </w:r>
          </w:p>
        </w:tc>
        <w:tc>
          <w:tcPr>
            <w:tcW w:w="1444" w:type="dxa"/>
          </w:tcPr>
          <w:p w14:paraId="636E48B5" w14:textId="1C731803" w:rsidR="00ED56C8" w:rsidRPr="008D5A5E" w:rsidRDefault="00ED56C8" w:rsidP="00ED56C8">
            <w:pPr>
              <w:spacing w:after="0"/>
              <w:jc w:val="center"/>
              <w:rPr>
                <w:rFonts w:cs="Calibri"/>
                <w:sz w:val="20"/>
                <w:szCs w:val="20"/>
              </w:rPr>
            </w:pPr>
            <w:r w:rsidRPr="008D5A5E">
              <w:rPr>
                <w:rFonts w:cs="Calibri"/>
                <w:sz w:val="20"/>
                <w:szCs w:val="20"/>
              </w:rPr>
              <w:t>100.0%</w:t>
            </w:r>
          </w:p>
        </w:tc>
        <w:tc>
          <w:tcPr>
            <w:tcW w:w="1444" w:type="dxa"/>
          </w:tcPr>
          <w:p w14:paraId="57BDC3F5" w14:textId="777C8C2B" w:rsidR="00ED56C8" w:rsidRPr="008D5A5E" w:rsidRDefault="00ED56C8" w:rsidP="00ED56C8">
            <w:pPr>
              <w:spacing w:after="0"/>
              <w:jc w:val="center"/>
              <w:rPr>
                <w:rFonts w:cs="Calibri"/>
                <w:sz w:val="20"/>
                <w:szCs w:val="20"/>
              </w:rPr>
            </w:pPr>
            <w:r w:rsidRPr="008D5A5E">
              <w:rPr>
                <w:rFonts w:cs="Calibri"/>
                <w:sz w:val="20"/>
                <w:szCs w:val="20"/>
              </w:rPr>
              <w:t>98.7%</w:t>
            </w:r>
          </w:p>
        </w:tc>
        <w:tc>
          <w:tcPr>
            <w:tcW w:w="1444" w:type="dxa"/>
          </w:tcPr>
          <w:p w14:paraId="26136CF1" w14:textId="4E813F1A" w:rsidR="00ED56C8" w:rsidRPr="008D5A5E" w:rsidRDefault="00374007" w:rsidP="00ED56C8">
            <w:pPr>
              <w:spacing w:after="0"/>
              <w:jc w:val="center"/>
              <w:rPr>
                <w:rFonts w:cs="Calibri"/>
                <w:sz w:val="20"/>
                <w:szCs w:val="20"/>
              </w:rPr>
            </w:pPr>
            <w:r>
              <w:rPr>
                <w:rFonts w:cs="Calibri"/>
                <w:sz w:val="20"/>
                <w:szCs w:val="20"/>
              </w:rPr>
              <w:t>94.0%</w:t>
            </w:r>
          </w:p>
        </w:tc>
        <w:tc>
          <w:tcPr>
            <w:tcW w:w="1444" w:type="dxa"/>
          </w:tcPr>
          <w:p w14:paraId="52471258" w14:textId="0CF4804C" w:rsidR="00ED56C8" w:rsidRPr="008D5A5E" w:rsidRDefault="00ED56C8" w:rsidP="00ED56C8">
            <w:pPr>
              <w:spacing w:after="0"/>
              <w:jc w:val="center"/>
              <w:rPr>
                <w:rFonts w:cs="Calibri"/>
                <w:sz w:val="20"/>
                <w:szCs w:val="20"/>
              </w:rPr>
            </w:pPr>
            <w:r w:rsidRPr="008D5A5E">
              <w:rPr>
                <w:rFonts w:cs="Calibri"/>
                <w:sz w:val="20"/>
                <w:szCs w:val="20"/>
              </w:rPr>
              <w:t>100.0%</w:t>
            </w:r>
          </w:p>
        </w:tc>
        <w:tc>
          <w:tcPr>
            <w:tcW w:w="1444" w:type="dxa"/>
          </w:tcPr>
          <w:p w14:paraId="0B97AE09" w14:textId="1EF8F8FE" w:rsidR="00ED56C8" w:rsidRPr="008D5A5E" w:rsidRDefault="00374007" w:rsidP="00ED56C8">
            <w:pPr>
              <w:spacing w:after="0"/>
              <w:jc w:val="center"/>
              <w:rPr>
                <w:rFonts w:cs="Calibri"/>
                <w:sz w:val="20"/>
                <w:szCs w:val="20"/>
              </w:rPr>
            </w:pPr>
            <w:r>
              <w:rPr>
                <w:rFonts w:cs="Calibri"/>
                <w:sz w:val="20"/>
                <w:szCs w:val="20"/>
              </w:rPr>
              <w:t>100.0%</w:t>
            </w:r>
          </w:p>
        </w:tc>
      </w:tr>
      <w:tr w:rsidR="00374007" w:rsidRPr="00AC2A5C" w14:paraId="3BB7C781" w14:textId="1C471915" w:rsidTr="00FF2C6D">
        <w:trPr>
          <w:cnfStyle w:val="000000100000" w:firstRow="0" w:lastRow="0" w:firstColumn="0" w:lastColumn="0" w:oddVBand="0" w:evenVBand="0" w:oddHBand="1" w:evenHBand="0" w:firstRowFirstColumn="0" w:firstRowLastColumn="0" w:lastRowFirstColumn="0" w:lastRowLastColumn="0"/>
          <w:trHeight w:val="526"/>
        </w:trPr>
        <w:tc>
          <w:tcPr>
            <w:tcW w:w="1825" w:type="dxa"/>
            <w:hideMark/>
          </w:tcPr>
          <w:p w14:paraId="21627C16" w14:textId="77777777" w:rsidR="00374007" w:rsidRPr="00AC2A5C" w:rsidRDefault="00374007" w:rsidP="00374007">
            <w:pPr>
              <w:spacing w:after="0"/>
              <w:rPr>
                <w:rFonts w:cs="Calibri"/>
                <w:sz w:val="20"/>
                <w:szCs w:val="20"/>
              </w:rPr>
            </w:pPr>
            <w:r w:rsidRPr="00AC2A5C">
              <w:rPr>
                <w:rFonts w:cs="Calibri"/>
                <w:sz w:val="20"/>
                <w:szCs w:val="20"/>
              </w:rPr>
              <w:t>Votes with management</w:t>
            </w:r>
          </w:p>
        </w:tc>
        <w:tc>
          <w:tcPr>
            <w:tcW w:w="1318" w:type="dxa"/>
            <w:noWrap/>
          </w:tcPr>
          <w:p w14:paraId="5A3F0A58" w14:textId="586372B2" w:rsidR="00374007" w:rsidRPr="008D5A5E" w:rsidRDefault="00374007" w:rsidP="00374007">
            <w:pPr>
              <w:spacing w:after="0"/>
              <w:jc w:val="center"/>
              <w:rPr>
                <w:rFonts w:cs="Calibri"/>
                <w:sz w:val="20"/>
                <w:szCs w:val="20"/>
              </w:rPr>
            </w:pPr>
            <w:r w:rsidRPr="008D5A5E">
              <w:rPr>
                <w:rFonts w:cs="Calibri"/>
                <w:sz w:val="20"/>
                <w:szCs w:val="20"/>
              </w:rPr>
              <w:t>86.7%</w:t>
            </w:r>
          </w:p>
        </w:tc>
        <w:tc>
          <w:tcPr>
            <w:tcW w:w="1445" w:type="dxa"/>
          </w:tcPr>
          <w:p w14:paraId="75399525" w14:textId="68B15F92" w:rsidR="00374007" w:rsidRPr="008D5A5E" w:rsidRDefault="00374007" w:rsidP="00374007">
            <w:pPr>
              <w:spacing w:after="0"/>
              <w:jc w:val="center"/>
              <w:rPr>
                <w:rFonts w:cs="Calibri"/>
                <w:sz w:val="20"/>
                <w:szCs w:val="20"/>
              </w:rPr>
            </w:pPr>
            <w:r w:rsidRPr="008D5A5E">
              <w:rPr>
                <w:rFonts w:cs="Calibri"/>
                <w:sz w:val="20"/>
                <w:szCs w:val="20"/>
              </w:rPr>
              <w:t>72.3%</w:t>
            </w:r>
          </w:p>
        </w:tc>
        <w:tc>
          <w:tcPr>
            <w:tcW w:w="1444" w:type="dxa"/>
          </w:tcPr>
          <w:p w14:paraId="3F7CAE35" w14:textId="13BB209B" w:rsidR="00374007" w:rsidRPr="008D5A5E" w:rsidRDefault="00374007" w:rsidP="00374007">
            <w:pPr>
              <w:spacing w:after="0"/>
              <w:jc w:val="center"/>
              <w:rPr>
                <w:rFonts w:cs="Calibri"/>
                <w:sz w:val="20"/>
                <w:szCs w:val="20"/>
              </w:rPr>
            </w:pPr>
            <w:r w:rsidRPr="008D5A5E">
              <w:rPr>
                <w:rFonts w:cs="Calibri"/>
                <w:sz w:val="20"/>
                <w:szCs w:val="20"/>
              </w:rPr>
              <w:t>84.2%</w:t>
            </w:r>
          </w:p>
        </w:tc>
        <w:tc>
          <w:tcPr>
            <w:tcW w:w="1444" w:type="dxa"/>
          </w:tcPr>
          <w:p w14:paraId="2D33F1BC" w14:textId="35053460" w:rsidR="00374007" w:rsidRPr="008D5A5E" w:rsidRDefault="00374007" w:rsidP="00374007">
            <w:pPr>
              <w:spacing w:after="0"/>
              <w:jc w:val="center"/>
              <w:rPr>
                <w:rFonts w:cs="Calibri"/>
                <w:sz w:val="20"/>
                <w:szCs w:val="20"/>
              </w:rPr>
            </w:pPr>
            <w:r w:rsidRPr="008D5A5E">
              <w:rPr>
                <w:rFonts w:cs="Calibri"/>
                <w:sz w:val="20"/>
                <w:szCs w:val="20"/>
              </w:rPr>
              <w:t>77.4%</w:t>
            </w:r>
          </w:p>
        </w:tc>
        <w:tc>
          <w:tcPr>
            <w:tcW w:w="1444" w:type="dxa"/>
          </w:tcPr>
          <w:p w14:paraId="32FD5522" w14:textId="380E1944" w:rsidR="00374007" w:rsidRPr="008D5A5E" w:rsidRDefault="00374007" w:rsidP="00374007">
            <w:pPr>
              <w:spacing w:after="0"/>
              <w:jc w:val="center"/>
              <w:rPr>
                <w:rFonts w:cs="Calibri"/>
                <w:sz w:val="20"/>
                <w:szCs w:val="20"/>
              </w:rPr>
            </w:pPr>
            <w:r w:rsidRPr="008D5A5E">
              <w:rPr>
                <w:rFonts w:cs="Calibri"/>
                <w:sz w:val="20"/>
                <w:szCs w:val="20"/>
              </w:rPr>
              <w:t>96.6%</w:t>
            </w:r>
          </w:p>
        </w:tc>
        <w:tc>
          <w:tcPr>
            <w:tcW w:w="1444" w:type="dxa"/>
          </w:tcPr>
          <w:p w14:paraId="6EAD3321" w14:textId="331DB947" w:rsidR="00374007" w:rsidRPr="008D5A5E" w:rsidRDefault="00374007" w:rsidP="00374007">
            <w:pPr>
              <w:spacing w:after="0"/>
              <w:jc w:val="center"/>
              <w:rPr>
                <w:rFonts w:cs="Calibri"/>
                <w:sz w:val="20"/>
                <w:szCs w:val="20"/>
              </w:rPr>
            </w:pPr>
            <w:r w:rsidRPr="008D5A5E">
              <w:rPr>
                <w:rFonts w:cs="Calibri"/>
                <w:sz w:val="20"/>
                <w:szCs w:val="20"/>
              </w:rPr>
              <w:t>86.5%</w:t>
            </w:r>
          </w:p>
        </w:tc>
        <w:tc>
          <w:tcPr>
            <w:tcW w:w="1444" w:type="dxa"/>
          </w:tcPr>
          <w:p w14:paraId="058F7D9E" w14:textId="35C33419" w:rsidR="00374007" w:rsidRPr="008D5A5E" w:rsidRDefault="00374007" w:rsidP="00374007">
            <w:pPr>
              <w:spacing w:after="0"/>
              <w:jc w:val="center"/>
              <w:rPr>
                <w:rFonts w:cs="Calibri"/>
                <w:sz w:val="20"/>
                <w:szCs w:val="20"/>
              </w:rPr>
            </w:pPr>
            <w:r>
              <w:rPr>
                <w:rFonts w:cs="Calibri"/>
                <w:sz w:val="20"/>
                <w:szCs w:val="20"/>
              </w:rPr>
              <w:t>88.1%</w:t>
            </w:r>
          </w:p>
        </w:tc>
        <w:tc>
          <w:tcPr>
            <w:tcW w:w="1444" w:type="dxa"/>
          </w:tcPr>
          <w:p w14:paraId="6CD2B6FD" w14:textId="07EC2C33" w:rsidR="00374007" w:rsidRPr="008D5A5E" w:rsidRDefault="00374007" w:rsidP="00374007">
            <w:pPr>
              <w:spacing w:after="0"/>
              <w:jc w:val="center"/>
              <w:rPr>
                <w:rFonts w:cs="Calibri"/>
                <w:sz w:val="20"/>
                <w:szCs w:val="20"/>
              </w:rPr>
            </w:pPr>
            <w:r w:rsidRPr="008D5A5E">
              <w:rPr>
                <w:rFonts w:cs="Calibri"/>
                <w:sz w:val="20"/>
                <w:szCs w:val="20"/>
              </w:rPr>
              <w:t>96.8%</w:t>
            </w:r>
          </w:p>
        </w:tc>
        <w:tc>
          <w:tcPr>
            <w:tcW w:w="1444" w:type="dxa"/>
          </w:tcPr>
          <w:p w14:paraId="6AC308A2" w14:textId="21360367" w:rsidR="00374007" w:rsidRPr="008D5A5E" w:rsidRDefault="00374007" w:rsidP="00374007">
            <w:pPr>
              <w:spacing w:after="0"/>
              <w:jc w:val="center"/>
              <w:rPr>
                <w:rFonts w:cs="Calibri"/>
                <w:sz w:val="20"/>
                <w:szCs w:val="20"/>
              </w:rPr>
            </w:pPr>
            <w:r>
              <w:rPr>
                <w:rFonts w:cs="Calibri"/>
                <w:sz w:val="20"/>
                <w:szCs w:val="20"/>
              </w:rPr>
              <w:t>86.6</w:t>
            </w:r>
            <w:r w:rsidR="00144F75">
              <w:rPr>
                <w:rFonts w:cs="Calibri"/>
                <w:sz w:val="20"/>
                <w:szCs w:val="20"/>
              </w:rPr>
              <w:t>%</w:t>
            </w:r>
          </w:p>
        </w:tc>
      </w:tr>
      <w:tr w:rsidR="00374007" w:rsidRPr="00AC2A5C" w14:paraId="1C69A950" w14:textId="649342B6" w:rsidTr="00FF2C6D">
        <w:trPr>
          <w:cnfStyle w:val="000000010000" w:firstRow="0" w:lastRow="0" w:firstColumn="0" w:lastColumn="0" w:oddVBand="0" w:evenVBand="0" w:oddHBand="0" w:evenHBand="1" w:firstRowFirstColumn="0" w:firstRowLastColumn="0" w:lastRowFirstColumn="0" w:lastRowLastColumn="0"/>
          <w:trHeight w:val="526"/>
        </w:trPr>
        <w:tc>
          <w:tcPr>
            <w:tcW w:w="1825" w:type="dxa"/>
            <w:hideMark/>
          </w:tcPr>
          <w:p w14:paraId="146D64A7" w14:textId="77777777" w:rsidR="00374007" w:rsidRPr="00AC2A5C" w:rsidRDefault="00374007" w:rsidP="00374007">
            <w:pPr>
              <w:spacing w:after="0"/>
              <w:rPr>
                <w:rFonts w:cs="Calibri"/>
                <w:sz w:val="20"/>
                <w:szCs w:val="20"/>
              </w:rPr>
            </w:pPr>
            <w:r w:rsidRPr="00AC2A5C">
              <w:rPr>
                <w:rFonts w:cs="Calibri"/>
                <w:sz w:val="20"/>
                <w:szCs w:val="20"/>
              </w:rPr>
              <w:t>Votes against management</w:t>
            </w:r>
          </w:p>
        </w:tc>
        <w:tc>
          <w:tcPr>
            <w:tcW w:w="1318" w:type="dxa"/>
            <w:noWrap/>
          </w:tcPr>
          <w:p w14:paraId="43BB0467" w14:textId="28FBBB44" w:rsidR="00374007" w:rsidRPr="008D5A5E" w:rsidRDefault="00374007" w:rsidP="00374007">
            <w:pPr>
              <w:spacing w:after="0"/>
              <w:jc w:val="center"/>
              <w:rPr>
                <w:rFonts w:cs="Calibri"/>
                <w:sz w:val="20"/>
                <w:szCs w:val="20"/>
              </w:rPr>
            </w:pPr>
            <w:r w:rsidRPr="008D5A5E">
              <w:rPr>
                <w:rFonts w:cs="Calibri"/>
                <w:sz w:val="20"/>
                <w:szCs w:val="20"/>
              </w:rPr>
              <w:t>13.3%</w:t>
            </w:r>
          </w:p>
        </w:tc>
        <w:tc>
          <w:tcPr>
            <w:tcW w:w="1445" w:type="dxa"/>
          </w:tcPr>
          <w:p w14:paraId="6B02B8F1" w14:textId="72F6EA4D" w:rsidR="00374007" w:rsidRPr="008D5A5E" w:rsidRDefault="00374007" w:rsidP="00374007">
            <w:pPr>
              <w:spacing w:after="0"/>
              <w:jc w:val="center"/>
              <w:rPr>
                <w:rFonts w:cs="Calibri"/>
                <w:sz w:val="20"/>
                <w:szCs w:val="20"/>
              </w:rPr>
            </w:pPr>
            <w:r w:rsidRPr="008D5A5E">
              <w:rPr>
                <w:rFonts w:cs="Calibri"/>
                <w:sz w:val="20"/>
                <w:szCs w:val="20"/>
              </w:rPr>
              <w:t>27.7%</w:t>
            </w:r>
          </w:p>
        </w:tc>
        <w:tc>
          <w:tcPr>
            <w:tcW w:w="1444" w:type="dxa"/>
          </w:tcPr>
          <w:p w14:paraId="78A4C3EC" w14:textId="1487B75D" w:rsidR="00374007" w:rsidRPr="008D5A5E" w:rsidRDefault="00374007" w:rsidP="00374007">
            <w:pPr>
              <w:spacing w:after="0"/>
              <w:jc w:val="center"/>
              <w:rPr>
                <w:rFonts w:cs="Calibri"/>
                <w:sz w:val="20"/>
                <w:szCs w:val="20"/>
              </w:rPr>
            </w:pPr>
            <w:r w:rsidRPr="008D5A5E">
              <w:rPr>
                <w:rFonts w:cs="Calibri"/>
                <w:sz w:val="20"/>
                <w:szCs w:val="20"/>
              </w:rPr>
              <w:t>15.5%</w:t>
            </w:r>
          </w:p>
        </w:tc>
        <w:tc>
          <w:tcPr>
            <w:tcW w:w="1444" w:type="dxa"/>
          </w:tcPr>
          <w:p w14:paraId="63FD3323" w14:textId="4876640B" w:rsidR="00374007" w:rsidRPr="008D5A5E" w:rsidRDefault="00374007" w:rsidP="00374007">
            <w:pPr>
              <w:spacing w:after="0"/>
              <w:jc w:val="center"/>
              <w:rPr>
                <w:rFonts w:cs="Calibri"/>
                <w:sz w:val="20"/>
                <w:szCs w:val="20"/>
              </w:rPr>
            </w:pPr>
            <w:r w:rsidRPr="008D5A5E">
              <w:rPr>
                <w:rFonts w:cs="Calibri"/>
                <w:sz w:val="20"/>
                <w:szCs w:val="20"/>
              </w:rPr>
              <w:t>22.6%</w:t>
            </w:r>
          </w:p>
        </w:tc>
        <w:tc>
          <w:tcPr>
            <w:tcW w:w="1444" w:type="dxa"/>
          </w:tcPr>
          <w:p w14:paraId="20313FCF" w14:textId="39E11362" w:rsidR="00374007" w:rsidRPr="008D5A5E" w:rsidRDefault="00374007" w:rsidP="00374007">
            <w:pPr>
              <w:spacing w:after="0"/>
              <w:jc w:val="center"/>
              <w:rPr>
                <w:rFonts w:cs="Calibri"/>
                <w:sz w:val="20"/>
                <w:szCs w:val="20"/>
              </w:rPr>
            </w:pPr>
            <w:r w:rsidRPr="008D5A5E">
              <w:rPr>
                <w:rFonts w:cs="Calibri"/>
                <w:sz w:val="20"/>
                <w:szCs w:val="20"/>
              </w:rPr>
              <w:t>3.4%</w:t>
            </w:r>
          </w:p>
        </w:tc>
        <w:tc>
          <w:tcPr>
            <w:tcW w:w="1444" w:type="dxa"/>
          </w:tcPr>
          <w:p w14:paraId="4888F99F" w14:textId="5E561883" w:rsidR="00374007" w:rsidRPr="008D5A5E" w:rsidRDefault="00374007" w:rsidP="00374007">
            <w:pPr>
              <w:spacing w:after="0"/>
              <w:jc w:val="center"/>
              <w:rPr>
                <w:rFonts w:cs="Calibri"/>
                <w:sz w:val="20"/>
                <w:szCs w:val="20"/>
              </w:rPr>
            </w:pPr>
            <w:r w:rsidRPr="008D5A5E">
              <w:rPr>
                <w:rFonts w:cs="Calibri"/>
                <w:sz w:val="20"/>
                <w:szCs w:val="20"/>
              </w:rPr>
              <w:t>13.5%</w:t>
            </w:r>
          </w:p>
        </w:tc>
        <w:tc>
          <w:tcPr>
            <w:tcW w:w="1444" w:type="dxa"/>
          </w:tcPr>
          <w:p w14:paraId="49DD115E" w14:textId="36A2B0CB" w:rsidR="00374007" w:rsidRPr="008D5A5E" w:rsidRDefault="00374007" w:rsidP="00374007">
            <w:pPr>
              <w:spacing w:after="0"/>
              <w:jc w:val="center"/>
              <w:rPr>
                <w:rFonts w:cs="Calibri"/>
                <w:sz w:val="20"/>
                <w:szCs w:val="20"/>
              </w:rPr>
            </w:pPr>
            <w:r>
              <w:rPr>
                <w:rFonts w:cs="Calibri"/>
                <w:sz w:val="20"/>
                <w:szCs w:val="20"/>
              </w:rPr>
              <w:t>11.9%</w:t>
            </w:r>
          </w:p>
        </w:tc>
        <w:tc>
          <w:tcPr>
            <w:tcW w:w="1444" w:type="dxa"/>
          </w:tcPr>
          <w:p w14:paraId="40F01D5D" w14:textId="56666C17" w:rsidR="00374007" w:rsidRPr="008D5A5E" w:rsidRDefault="00374007" w:rsidP="00374007">
            <w:pPr>
              <w:spacing w:after="0"/>
              <w:jc w:val="center"/>
              <w:rPr>
                <w:rFonts w:cs="Calibri"/>
                <w:sz w:val="20"/>
                <w:szCs w:val="20"/>
              </w:rPr>
            </w:pPr>
            <w:r w:rsidRPr="008D5A5E">
              <w:rPr>
                <w:rFonts w:cs="Calibri"/>
                <w:sz w:val="20"/>
                <w:szCs w:val="20"/>
              </w:rPr>
              <w:t>3.2%</w:t>
            </w:r>
          </w:p>
        </w:tc>
        <w:tc>
          <w:tcPr>
            <w:tcW w:w="1444" w:type="dxa"/>
          </w:tcPr>
          <w:p w14:paraId="56A346EF" w14:textId="0F51B41C" w:rsidR="00374007" w:rsidRPr="008D5A5E" w:rsidRDefault="00374007" w:rsidP="00374007">
            <w:pPr>
              <w:spacing w:after="0"/>
              <w:jc w:val="center"/>
              <w:rPr>
                <w:rFonts w:cs="Calibri"/>
                <w:sz w:val="20"/>
                <w:szCs w:val="20"/>
              </w:rPr>
            </w:pPr>
            <w:r>
              <w:rPr>
                <w:rFonts w:cs="Calibri"/>
                <w:sz w:val="20"/>
                <w:szCs w:val="20"/>
              </w:rPr>
              <w:t>13.4%</w:t>
            </w:r>
          </w:p>
        </w:tc>
      </w:tr>
      <w:tr w:rsidR="00374007" w:rsidRPr="00AC2A5C" w14:paraId="2E4945AE" w14:textId="5A4729F1" w:rsidTr="00FF2C6D">
        <w:trPr>
          <w:cnfStyle w:val="000000100000" w:firstRow="0" w:lastRow="0" w:firstColumn="0" w:lastColumn="0" w:oddVBand="0" w:evenVBand="0" w:oddHBand="1" w:evenHBand="0" w:firstRowFirstColumn="0" w:firstRowLastColumn="0" w:lastRowFirstColumn="0" w:lastRowLastColumn="0"/>
          <w:trHeight w:val="526"/>
        </w:trPr>
        <w:tc>
          <w:tcPr>
            <w:tcW w:w="1825" w:type="dxa"/>
            <w:hideMark/>
          </w:tcPr>
          <w:p w14:paraId="1C9135FC" w14:textId="77777777" w:rsidR="00374007" w:rsidRPr="00AC2A5C" w:rsidRDefault="00374007" w:rsidP="00374007">
            <w:pPr>
              <w:spacing w:after="0"/>
              <w:rPr>
                <w:rFonts w:cs="Calibri"/>
                <w:sz w:val="20"/>
                <w:szCs w:val="20"/>
              </w:rPr>
            </w:pPr>
            <w:r w:rsidRPr="00AC2A5C">
              <w:rPr>
                <w:rFonts w:cs="Calibri"/>
                <w:sz w:val="20"/>
                <w:szCs w:val="20"/>
              </w:rPr>
              <w:t>Votes abstained from</w:t>
            </w:r>
          </w:p>
        </w:tc>
        <w:tc>
          <w:tcPr>
            <w:tcW w:w="1318" w:type="dxa"/>
            <w:noWrap/>
          </w:tcPr>
          <w:p w14:paraId="09D0C8CF" w14:textId="1EC723D0" w:rsidR="00374007" w:rsidRPr="008D5A5E" w:rsidRDefault="00374007" w:rsidP="00374007">
            <w:pPr>
              <w:spacing w:after="0"/>
              <w:jc w:val="center"/>
              <w:rPr>
                <w:rFonts w:cs="Calibri"/>
                <w:sz w:val="20"/>
                <w:szCs w:val="20"/>
              </w:rPr>
            </w:pPr>
            <w:r w:rsidRPr="008D5A5E">
              <w:rPr>
                <w:rFonts w:cs="Calibri"/>
                <w:sz w:val="20"/>
                <w:szCs w:val="20"/>
              </w:rPr>
              <w:t>0.0%</w:t>
            </w:r>
          </w:p>
        </w:tc>
        <w:tc>
          <w:tcPr>
            <w:tcW w:w="1445" w:type="dxa"/>
          </w:tcPr>
          <w:p w14:paraId="14D9A3D5" w14:textId="5D86B447" w:rsidR="00374007" w:rsidRPr="008D5A5E" w:rsidRDefault="00374007" w:rsidP="00374007">
            <w:pPr>
              <w:spacing w:after="0"/>
              <w:jc w:val="center"/>
              <w:rPr>
                <w:rFonts w:cs="Calibri"/>
                <w:sz w:val="20"/>
                <w:szCs w:val="20"/>
              </w:rPr>
            </w:pPr>
            <w:r w:rsidRPr="008D5A5E">
              <w:rPr>
                <w:rFonts w:cs="Calibri"/>
                <w:sz w:val="20"/>
                <w:szCs w:val="20"/>
              </w:rPr>
              <w:t>0.0%</w:t>
            </w:r>
          </w:p>
        </w:tc>
        <w:tc>
          <w:tcPr>
            <w:tcW w:w="1444" w:type="dxa"/>
          </w:tcPr>
          <w:p w14:paraId="29B472E2" w14:textId="4E51FD90" w:rsidR="00374007" w:rsidRPr="008D5A5E" w:rsidRDefault="00374007" w:rsidP="00374007">
            <w:pPr>
              <w:spacing w:after="0"/>
              <w:jc w:val="center"/>
              <w:rPr>
                <w:rFonts w:cs="Calibri"/>
                <w:sz w:val="20"/>
                <w:szCs w:val="20"/>
              </w:rPr>
            </w:pPr>
            <w:r w:rsidRPr="008D5A5E">
              <w:rPr>
                <w:rFonts w:cs="Calibri"/>
                <w:sz w:val="20"/>
                <w:szCs w:val="20"/>
              </w:rPr>
              <w:t>0.4%</w:t>
            </w:r>
          </w:p>
        </w:tc>
        <w:tc>
          <w:tcPr>
            <w:tcW w:w="1444" w:type="dxa"/>
          </w:tcPr>
          <w:p w14:paraId="0AA81F19" w14:textId="4C87348C" w:rsidR="00374007" w:rsidRPr="008D5A5E" w:rsidRDefault="00374007" w:rsidP="00374007">
            <w:pPr>
              <w:spacing w:after="0"/>
              <w:jc w:val="center"/>
              <w:rPr>
                <w:rFonts w:cs="Calibri"/>
                <w:sz w:val="20"/>
                <w:szCs w:val="20"/>
              </w:rPr>
            </w:pPr>
            <w:r w:rsidRPr="008D5A5E">
              <w:rPr>
                <w:rFonts w:cs="Calibri"/>
                <w:sz w:val="20"/>
                <w:szCs w:val="20"/>
              </w:rPr>
              <w:t>0.0%</w:t>
            </w:r>
          </w:p>
        </w:tc>
        <w:tc>
          <w:tcPr>
            <w:tcW w:w="1444" w:type="dxa"/>
          </w:tcPr>
          <w:p w14:paraId="7E41683F" w14:textId="301B878F" w:rsidR="00374007" w:rsidRPr="008D5A5E" w:rsidRDefault="00374007" w:rsidP="00374007">
            <w:pPr>
              <w:spacing w:after="0"/>
              <w:jc w:val="center"/>
              <w:rPr>
                <w:rFonts w:cs="Calibri"/>
                <w:sz w:val="20"/>
                <w:szCs w:val="20"/>
              </w:rPr>
            </w:pPr>
            <w:r w:rsidRPr="008D5A5E">
              <w:rPr>
                <w:rFonts w:cs="Calibri"/>
                <w:sz w:val="20"/>
                <w:szCs w:val="20"/>
              </w:rPr>
              <w:t>0.0%</w:t>
            </w:r>
          </w:p>
        </w:tc>
        <w:tc>
          <w:tcPr>
            <w:tcW w:w="1444" w:type="dxa"/>
          </w:tcPr>
          <w:p w14:paraId="0288058F" w14:textId="63E77267" w:rsidR="00374007" w:rsidRPr="008D5A5E" w:rsidRDefault="00374007" w:rsidP="00374007">
            <w:pPr>
              <w:spacing w:after="0"/>
              <w:jc w:val="center"/>
              <w:rPr>
                <w:rFonts w:cs="Calibri"/>
                <w:sz w:val="20"/>
                <w:szCs w:val="20"/>
              </w:rPr>
            </w:pPr>
            <w:r w:rsidRPr="008D5A5E">
              <w:rPr>
                <w:rFonts w:cs="Calibri"/>
                <w:sz w:val="20"/>
                <w:szCs w:val="20"/>
              </w:rPr>
              <w:t>0.0%</w:t>
            </w:r>
          </w:p>
        </w:tc>
        <w:tc>
          <w:tcPr>
            <w:tcW w:w="1444" w:type="dxa"/>
          </w:tcPr>
          <w:p w14:paraId="3749F918" w14:textId="6CB8C53E" w:rsidR="00374007" w:rsidRPr="008D5A5E" w:rsidRDefault="00374007" w:rsidP="00374007">
            <w:pPr>
              <w:spacing w:after="0"/>
              <w:jc w:val="center"/>
              <w:rPr>
                <w:rFonts w:cs="Calibri"/>
                <w:sz w:val="20"/>
                <w:szCs w:val="20"/>
              </w:rPr>
            </w:pPr>
            <w:r>
              <w:rPr>
                <w:rFonts w:cs="Calibri"/>
                <w:sz w:val="20"/>
                <w:szCs w:val="20"/>
              </w:rPr>
              <w:t>0.0%</w:t>
            </w:r>
          </w:p>
        </w:tc>
        <w:tc>
          <w:tcPr>
            <w:tcW w:w="1444" w:type="dxa"/>
          </w:tcPr>
          <w:p w14:paraId="2BE5E5C3" w14:textId="07D31D19" w:rsidR="00374007" w:rsidRPr="008D5A5E" w:rsidRDefault="00374007" w:rsidP="00374007">
            <w:pPr>
              <w:spacing w:after="0"/>
              <w:jc w:val="center"/>
              <w:rPr>
                <w:rFonts w:cs="Calibri"/>
                <w:sz w:val="20"/>
                <w:szCs w:val="20"/>
              </w:rPr>
            </w:pPr>
            <w:r w:rsidRPr="008D5A5E">
              <w:rPr>
                <w:rFonts w:cs="Calibri"/>
                <w:sz w:val="20"/>
                <w:szCs w:val="20"/>
              </w:rPr>
              <w:t>0.0%</w:t>
            </w:r>
          </w:p>
        </w:tc>
        <w:tc>
          <w:tcPr>
            <w:tcW w:w="1444" w:type="dxa"/>
          </w:tcPr>
          <w:p w14:paraId="2DAC44BB" w14:textId="4C774022" w:rsidR="00374007" w:rsidRPr="008D5A5E" w:rsidRDefault="00374007" w:rsidP="00374007">
            <w:pPr>
              <w:spacing w:after="0"/>
              <w:jc w:val="center"/>
              <w:rPr>
                <w:rFonts w:cs="Calibri"/>
                <w:sz w:val="20"/>
                <w:szCs w:val="20"/>
              </w:rPr>
            </w:pPr>
            <w:r>
              <w:rPr>
                <w:rFonts w:cs="Calibri"/>
                <w:sz w:val="20"/>
                <w:szCs w:val="20"/>
              </w:rPr>
              <w:t>0.0%</w:t>
            </w:r>
          </w:p>
        </w:tc>
      </w:tr>
      <w:tr w:rsidR="00374007" w:rsidRPr="00AC2A5C" w14:paraId="366E3087" w14:textId="2E3BB9C0" w:rsidTr="00FF2C6D">
        <w:trPr>
          <w:cnfStyle w:val="000000010000" w:firstRow="0" w:lastRow="0" w:firstColumn="0" w:lastColumn="0" w:oddVBand="0" w:evenVBand="0" w:oddHBand="0" w:evenHBand="1" w:firstRowFirstColumn="0" w:firstRowLastColumn="0" w:lastRowFirstColumn="0" w:lastRowLastColumn="0"/>
          <w:trHeight w:val="683"/>
        </w:trPr>
        <w:tc>
          <w:tcPr>
            <w:tcW w:w="1825" w:type="dxa"/>
            <w:hideMark/>
          </w:tcPr>
          <w:p w14:paraId="4C02E360" w14:textId="77777777" w:rsidR="00374007" w:rsidRPr="00AC2A5C" w:rsidRDefault="00374007" w:rsidP="00374007">
            <w:pPr>
              <w:spacing w:after="0"/>
              <w:rPr>
                <w:rFonts w:cs="Calibri"/>
                <w:sz w:val="20"/>
                <w:szCs w:val="20"/>
              </w:rPr>
            </w:pPr>
            <w:r w:rsidRPr="00AC2A5C">
              <w:rPr>
                <w:rFonts w:cs="Calibri"/>
                <w:sz w:val="20"/>
                <w:szCs w:val="20"/>
              </w:rPr>
              <w:t>Meetings where at least one vote was against management</w:t>
            </w:r>
          </w:p>
        </w:tc>
        <w:tc>
          <w:tcPr>
            <w:tcW w:w="1318" w:type="dxa"/>
            <w:noWrap/>
          </w:tcPr>
          <w:p w14:paraId="25D9B870" w14:textId="4CD66407" w:rsidR="00374007" w:rsidRPr="008D5A5E" w:rsidRDefault="00374007" w:rsidP="00374007">
            <w:pPr>
              <w:spacing w:after="0"/>
              <w:jc w:val="center"/>
              <w:rPr>
                <w:rFonts w:cs="Calibri"/>
                <w:sz w:val="20"/>
                <w:szCs w:val="20"/>
              </w:rPr>
            </w:pPr>
            <w:r w:rsidRPr="008D5A5E">
              <w:rPr>
                <w:rFonts w:cs="Calibri"/>
                <w:sz w:val="20"/>
                <w:szCs w:val="20"/>
              </w:rPr>
              <w:t>5.6%</w:t>
            </w:r>
          </w:p>
        </w:tc>
        <w:tc>
          <w:tcPr>
            <w:tcW w:w="1445" w:type="dxa"/>
          </w:tcPr>
          <w:p w14:paraId="44149876" w14:textId="0DD06D56" w:rsidR="00374007" w:rsidRPr="008D5A5E" w:rsidRDefault="00374007" w:rsidP="00374007">
            <w:pPr>
              <w:spacing w:after="0"/>
              <w:jc w:val="center"/>
              <w:rPr>
                <w:rFonts w:cs="Calibri"/>
                <w:sz w:val="20"/>
                <w:szCs w:val="20"/>
              </w:rPr>
            </w:pPr>
            <w:r w:rsidRPr="008D5A5E">
              <w:rPr>
                <w:rFonts w:cs="Calibri"/>
                <w:sz w:val="20"/>
                <w:szCs w:val="20"/>
              </w:rPr>
              <w:t>7.7%</w:t>
            </w:r>
          </w:p>
        </w:tc>
        <w:tc>
          <w:tcPr>
            <w:tcW w:w="1444" w:type="dxa"/>
          </w:tcPr>
          <w:p w14:paraId="2C855D02" w14:textId="2C657AD4" w:rsidR="00374007" w:rsidRPr="008D5A5E" w:rsidRDefault="00374007" w:rsidP="00374007">
            <w:pPr>
              <w:spacing w:after="0"/>
              <w:jc w:val="center"/>
              <w:rPr>
                <w:rFonts w:cs="Calibri"/>
                <w:sz w:val="20"/>
                <w:szCs w:val="20"/>
              </w:rPr>
            </w:pPr>
            <w:r w:rsidRPr="008D5A5E">
              <w:rPr>
                <w:rFonts w:cs="Calibri"/>
                <w:sz w:val="20"/>
                <w:szCs w:val="20"/>
              </w:rPr>
              <w:t>4.5%</w:t>
            </w:r>
          </w:p>
        </w:tc>
        <w:tc>
          <w:tcPr>
            <w:tcW w:w="1444" w:type="dxa"/>
          </w:tcPr>
          <w:p w14:paraId="134DD1AC" w14:textId="7D5F2820" w:rsidR="00374007" w:rsidRPr="008D5A5E" w:rsidRDefault="00374007" w:rsidP="00374007">
            <w:pPr>
              <w:spacing w:after="0"/>
              <w:jc w:val="center"/>
              <w:rPr>
                <w:rFonts w:cs="Calibri"/>
                <w:sz w:val="20"/>
                <w:szCs w:val="20"/>
              </w:rPr>
            </w:pPr>
            <w:r w:rsidRPr="008D5A5E">
              <w:rPr>
                <w:rFonts w:cs="Calibri"/>
                <w:sz w:val="20"/>
                <w:szCs w:val="20"/>
              </w:rPr>
              <w:t>8.4%</w:t>
            </w:r>
          </w:p>
        </w:tc>
        <w:tc>
          <w:tcPr>
            <w:tcW w:w="1444" w:type="dxa"/>
          </w:tcPr>
          <w:p w14:paraId="3A53A859" w14:textId="6D633F8E" w:rsidR="00374007" w:rsidRPr="008D5A5E" w:rsidRDefault="00374007" w:rsidP="00374007">
            <w:pPr>
              <w:spacing w:after="0"/>
              <w:jc w:val="center"/>
              <w:rPr>
                <w:rFonts w:cs="Calibri"/>
                <w:sz w:val="20"/>
                <w:szCs w:val="20"/>
              </w:rPr>
            </w:pPr>
            <w:r w:rsidRPr="008D5A5E">
              <w:rPr>
                <w:rFonts w:cs="Calibri"/>
                <w:sz w:val="20"/>
                <w:szCs w:val="20"/>
              </w:rPr>
              <w:t>25.0%</w:t>
            </w:r>
          </w:p>
        </w:tc>
        <w:tc>
          <w:tcPr>
            <w:tcW w:w="1444" w:type="dxa"/>
          </w:tcPr>
          <w:p w14:paraId="4CB8F0F6" w14:textId="03EABD5E" w:rsidR="00374007" w:rsidRPr="008D5A5E" w:rsidRDefault="00374007" w:rsidP="00374007">
            <w:pPr>
              <w:spacing w:after="0"/>
              <w:jc w:val="center"/>
              <w:rPr>
                <w:rFonts w:cs="Calibri"/>
                <w:sz w:val="20"/>
                <w:szCs w:val="20"/>
              </w:rPr>
            </w:pPr>
            <w:r w:rsidRPr="008D5A5E">
              <w:rPr>
                <w:rFonts w:cs="Calibri"/>
                <w:sz w:val="20"/>
                <w:szCs w:val="20"/>
              </w:rPr>
              <w:t>41.0%</w:t>
            </w:r>
          </w:p>
        </w:tc>
        <w:tc>
          <w:tcPr>
            <w:tcW w:w="1444" w:type="dxa"/>
          </w:tcPr>
          <w:p w14:paraId="6E00E0D6" w14:textId="216179D8" w:rsidR="00374007" w:rsidRPr="008D5A5E" w:rsidRDefault="00374007" w:rsidP="00374007">
            <w:pPr>
              <w:spacing w:after="0"/>
              <w:jc w:val="center"/>
              <w:rPr>
                <w:rFonts w:cs="Calibri"/>
                <w:sz w:val="20"/>
                <w:szCs w:val="20"/>
              </w:rPr>
            </w:pPr>
            <w:r>
              <w:rPr>
                <w:rFonts w:cs="Calibri"/>
                <w:sz w:val="20"/>
                <w:szCs w:val="20"/>
              </w:rPr>
              <w:t>48.0%</w:t>
            </w:r>
          </w:p>
        </w:tc>
        <w:tc>
          <w:tcPr>
            <w:tcW w:w="1444" w:type="dxa"/>
          </w:tcPr>
          <w:p w14:paraId="32BE58EB" w14:textId="52E62647" w:rsidR="00374007" w:rsidRPr="008D5A5E" w:rsidRDefault="00374007" w:rsidP="00374007">
            <w:pPr>
              <w:spacing w:after="0"/>
              <w:jc w:val="center"/>
              <w:rPr>
                <w:rFonts w:cs="Calibri"/>
                <w:sz w:val="20"/>
                <w:szCs w:val="20"/>
              </w:rPr>
            </w:pPr>
            <w:r w:rsidRPr="008D5A5E">
              <w:rPr>
                <w:rFonts w:cs="Calibri"/>
                <w:sz w:val="20"/>
                <w:szCs w:val="20"/>
              </w:rPr>
              <w:t>19.0%</w:t>
            </w:r>
          </w:p>
        </w:tc>
        <w:tc>
          <w:tcPr>
            <w:tcW w:w="1444" w:type="dxa"/>
          </w:tcPr>
          <w:p w14:paraId="4B660DDB" w14:textId="15E42767" w:rsidR="00374007" w:rsidRPr="008D5A5E" w:rsidRDefault="00374007" w:rsidP="00374007">
            <w:pPr>
              <w:spacing w:after="0"/>
              <w:jc w:val="center"/>
              <w:rPr>
                <w:rFonts w:cs="Calibri"/>
                <w:sz w:val="20"/>
                <w:szCs w:val="20"/>
              </w:rPr>
            </w:pPr>
            <w:r>
              <w:rPr>
                <w:rFonts w:cs="Calibri"/>
                <w:sz w:val="20"/>
                <w:szCs w:val="20"/>
              </w:rPr>
              <w:t>41.0%</w:t>
            </w:r>
          </w:p>
        </w:tc>
      </w:tr>
      <w:tr w:rsidR="00ED56C8" w:rsidRPr="00AC2A5C" w14:paraId="0E118540" w14:textId="630950B7" w:rsidTr="00FF2C6D">
        <w:trPr>
          <w:cnfStyle w:val="000000100000" w:firstRow="0" w:lastRow="0" w:firstColumn="0" w:lastColumn="0" w:oddVBand="0" w:evenVBand="0" w:oddHBand="1" w:evenHBand="0" w:firstRowFirstColumn="0" w:firstRowLastColumn="0" w:lastRowFirstColumn="0" w:lastRowLastColumn="0"/>
          <w:trHeight w:val="729"/>
        </w:trPr>
        <w:tc>
          <w:tcPr>
            <w:tcW w:w="1825" w:type="dxa"/>
            <w:hideMark/>
          </w:tcPr>
          <w:p w14:paraId="3C488ED9" w14:textId="77777777" w:rsidR="00ED56C8" w:rsidRPr="00AC2A5C" w:rsidRDefault="00ED56C8" w:rsidP="00ED56C8">
            <w:pPr>
              <w:spacing w:after="0"/>
              <w:rPr>
                <w:rFonts w:cs="Calibri"/>
                <w:sz w:val="20"/>
                <w:szCs w:val="20"/>
              </w:rPr>
            </w:pPr>
            <w:r w:rsidRPr="00AC2A5C">
              <w:rPr>
                <w:rFonts w:cs="Calibri"/>
                <w:sz w:val="20"/>
                <w:szCs w:val="20"/>
              </w:rPr>
              <w:t>Votes contrary to the recommendation of the proxy adviser</w:t>
            </w:r>
          </w:p>
        </w:tc>
        <w:tc>
          <w:tcPr>
            <w:tcW w:w="1318" w:type="dxa"/>
            <w:noWrap/>
          </w:tcPr>
          <w:p w14:paraId="469CF293" w14:textId="73979321" w:rsidR="00ED56C8" w:rsidRPr="008D5A5E" w:rsidRDefault="00ED56C8" w:rsidP="00ED56C8">
            <w:pPr>
              <w:spacing w:after="0"/>
              <w:jc w:val="center"/>
              <w:rPr>
                <w:rFonts w:cs="Calibri"/>
                <w:sz w:val="20"/>
                <w:szCs w:val="20"/>
              </w:rPr>
            </w:pPr>
            <w:r w:rsidRPr="008D5A5E">
              <w:rPr>
                <w:rFonts w:cs="Calibri"/>
                <w:sz w:val="20"/>
                <w:szCs w:val="20"/>
              </w:rPr>
              <w:t>0.2%</w:t>
            </w:r>
          </w:p>
        </w:tc>
        <w:tc>
          <w:tcPr>
            <w:tcW w:w="1445" w:type="dxa"/>
          </w:tcPr>
          <w:p w14:paraId="0F0EE334" w14:textId="3EC726EE" w:rsidR="00ED56C8" w:rsidRPr="008D5A5E" w:rsidRDefault="00ED56C8" w:rsidP="00ED56C8">
            <w:pPr>
              <w:spacing w:after="0"/>
              <w:jc w:val="center"/>
              <w:rPr>
                <w:rFonts w:cs="Calibri"/>
                <w:sz w:val="20"/>
                <w:szCs w:val="20"/>
              </w:rPr>
            </w:pPr>
            <w:r w:rsidRPr="008D5A5E">
              <w:rPr>
                <w:rFonts w:cs="Calibri"/>
                <w:sz w:val="20"/>
                <w:szCs w:val="20"/>
              </w:rPr>
              <w:t>0.3%</w:t>
            </w:r>
          </w:p>
        </w:tc>
        <w:tc>
          <w:tcPr>
            <w:tcW w:w="1444" w:type="dxa"/>
          </w:tcPr>
          <w:p w14:paraId="0E12BFC8" w14:textId="102A353A" w:rsidR="00ED56C8" w:rsidRPr="008D5A5E" w:rsidRDefault="00ED56C8" w:rsidP="00ED56C8">
            <w:pPr>
              <w:spacing w:after="0"/>
              <w:jc w:val="center"/>
              <w:rPr>
                <w:rFonts w:cs="Calibri"/>
                <w:sz w:val="20"/>
                <w:szCs w:val="20"/>
              </w:rPr>
            </w:pPr>
            <w:r w:rsidRPr="008D5A5E">
              <w:rPr>
                <w:rFonts w:cs="Calibri"/>
                <w:sz w:val="20"/>
                <w:szCs w:val="20"/>
              </w:rPr>
              <w:t>0.3%</w:t>
            </w:r>
          </w:p>
        </w:tc>
        <w:tc>
          <w:tcPr>
            <w:tcW w:w="1444" w:type="dxa"/>
          </w:tcPr>
          <w:p w14:paraId="00540EFD" w14:textId="0DDC5D48" w:rsidR="00ED56C8" w:rsidRPr="008D5A5E" w:rsidRDefault="00ED56C8" w:rsidP="00ED56C8">
            <w:pPr>
              <w:spacing w:after="0"/>
              <w:jc w:val="center"/>
              <w:rPr>
                <w:rFonts w:cs="Calibri"/>
                <w:sz w:val="20"/>
                <w:szCs w:val="20"/>
              </w:rPr>
            </w:pPr>
            <w:r w:rsidRPr="008D5A5E">
              <w:rPr>
                <w:rFonts w:cs="Calibri"/>
                <w:sz w:val="20"/>
                <w:szCs w:val="20"/>
              </w:rPr>
              <w:t>0.1%</w:t>
            </w:r>
          </w:p>
        </w:tc>
        <w:tc>
          <w:tcPr>
            <w:tcW w:w="1444" w:type="dxa"/>
          </w:tcPr>
          <w:p w14:paraId="3ED1B4CA" w14:textId="1CCC6890" w:rsidR="00ED56C8" w:rsidRPr="008D5A5E" w:rsidRDefault="00ED56C8" w:rsidP="00ED56C8">
            <w:pPr>
              <w:spacing w:after="0"/>
              <w:jc w:val="center"/>
              <w:rPr>
                <w:rFonts w:cs="Calibri"/>
                <w:sz w:val="20"/>
                <w:szCs w:val="20"/>
              </w:rPr>
            </w:pPr>
            <w:r w:rsidRPr="008D5A5E">
              <w:rPr>
                <w:rFonts w:cs="Calibri"/>
                <w:sz w:val="20"/>
                <w:szCs w:val="20"/>
              </w:rPr>
              <w:t>4.5%</w:t>
            </w:r>
          </w:p>
        </w:tc>
        <w:tc>
          <w:tcPr>
            <w:tcW w:w="1444" w:type="dxa"/>
          </w:tcPr>
          <w:p w14:paraId="00164B7F" w14:textId="4A8D110F" w:rsidR="00ED56C8" w:rsidRPr="008D5A5E" w:rsidRDefault="00ED56C8" w:rsidP="00ED56C8">
            <w:pPr>
              <w:spacing w:after="0"/>
              <w:jc w:val="center"/>
              <w:rPr>
                <w:rFonts w:cs="Calibri"/>
                <w:sz w:val="20"/>
                <w:szCs w:val="20"/>
              </w:rPr>
            </w:pPr>
            <w:r w:rsidRPr="008D5A5E">
              <w:rPr>
                <w:rFonts w:cs="Calibri"/>
                <w:sz w:val="20"/>
                <w:szCs w:val="20"/>
              </w:rPr>
              <w:t>9.2%</w:t>
            </w:r>
          </w:p>
        </w:tc>
        <w:tc>
          <w:tcPr>
            <w:tcW w:w="1444" w:type="dxa"/>
          </w:tcPr>
          <w:p w14:paraId="725B0639" w14:textId="550E9D68" w:rsidR="00ED56C8" w:rsidRPr="008D5A5E" w:rsidRDefault="00374007" w:rsidP="00ED56C8">
            <w:pPr>
              <w:spacing w:after="0"/>
              <w:jc w:val="center"/>
              <w:rPr>
                <w:rFonts w:cs="Calibri"/>
                <w:sz w:val="20"/>
                <w:szCs w:val="20"/>
              </w:rPr>
            </w:pPr>
            <w:r>
              <w:rPr>
                <w:rFonts w:cs="Calibri"/>
                <w:sz w:val="20"/>
                <w:szCs w:val="20"/>
              </w:rPr>
              <w:t>5.9%</w:t>
            </w:r>
          </w:p>
        </w:tc>
        <w:tc>
          <w:tcPr>
            <w:tcW w:w="1444" w:type="dxa"/>
          </w:tcPr>
          <w:p w14:paraId="290AB6AA" w14:textId="0865EFE8" w:rsidR="00ED56C8" w:rsidRPr="008D5A5E" w:rsidRDefault="00ED56C8" w:rsidP="00ED56C8">
            <w:pPr>
              <w:spacing w:after="0"/>
              <w:jc w:val="center"/>
              <w:rPr>
                <w:rFonts w:cs="Calibri"/>
                <w:sz w:val="20"/>
                <w:szCs w:val="20"/>
              </w:rPr>
            </w:pPr>
            <w:r w:rsidRPr="008D5A5E">
              <w:rPr>
                <w:rFonts w:cs="Calibri"/>
                <w:sz w:val="20"/>
                <w:szCs w:val="20"/>
              </w:rPr>
              <w:t>4.4%</w:t>
            </w:r>
          </w:p>
        </w:tc>
        <w:tc>
          <w:tcPr>
            <w:tcW w:w="1444" w:type="dxa"/>
          </w:tcPr>
          <w:p w14:paraId="1B0E65E9" w14:textId="58C87037" w:rsidR="00ED56C8" w:rsidRPr="008D5A5E" w:rsidRDefault="00374007" w:rsidP="00ED56C8">
            <w:pPr>
              <w:spacing w:after="0"/>
              <w:jc w:val="center"/>
              <w:rPr>
                <w:rFonts w:cs="Calibri"/>
                <w:sz w:val="20"/>
                <w:szCs w:val="20"/>
              </w:rPr>
            </w:pPr>
            <w:r>
              <w:rPr>
                <w:rFonts w:cs="Calibri"/>
                <w:sz w:val="20"/>
                <w:szCs w:val="20"/>
              </w:rPr>
              <w:t>7.5%</w:t>
            </w:r>
          </w:p>
        </w:tc>
      </w:tr>
    </w:tbl>
    <w:p w14:paraId="0ECD5946" w14:textId="559680A0" w:rsidR="00ED56C8" w:rsidRDefault="00E054CC" w:rsidP="00374007">
      <w:pPr>
        <w:tabs>
          <w:tab w:val="left" w:pos="3641"/>
        </w:tabs>
        <w:spacing w:after="0"/>
        <w:sectPr w:rsidR="00ED56C8" w:rsidSect="00FF2C6D">
          <w:pgSz w:w="16838" w:h="11906" w:orient="landscape"/>
          <w:pgMar w:top="1304" w:right="2379" w:bottom="1416" w:left="1304" w:header="709" w:footer="615" w:gutter="0"/>
          <w:cols w:space="708"/>
          <w:docGrid w:linePitch="360"/>
        </w:sectPr>
      </w:pPr>
      <w:r w:rsidRPr="00AC2A5C">
        <w:rPr>
          <w:sz w:val="16"/>
          <w:szCs w:val="16"/>
        </w:rPr>
        <w:t xml:space="preserve">Source: Scheme’s underlying investment managers. </w:t>
      </w:r>
      <w:r w:rsidR="00D9187C">
        <w:rPr>
          <w:sz w:val="16"/>
          <w:szCs w:val="16"/>
        </w:rPr>
        <w:t>Totals may not sum to zero due to rounding.</w:t>
      </w:r>
      <w:r w:rsidR="00D9187C">
        <w:tab/>
      </w:r>
    </w:p>
    <w:p w14:paraId="5E65D84A" w14:textId="3483A255" w:rsidR="00F97A16" w:rsidRDefault="00F97A16" w:rsidP="00F97A16">
      <w:r w:rsidRPr="008D5A5E">
        <w:lastRenderedPageBreak/>
        <w:t xml:space="preserve">The Trustees are satisfied with the level of voting activity that has been undertaken. The Trustees </w:t>
      </w:r>
      <w:r w:rsidR="008D5A6D" w:rsidRPr="008D5A5E">
        <w:t>have raised a query with LGIM concerning the percentage of meetings, for which they did vote, where at least one vote was against management</w:t>
      </w:r>
      <w:r w:rsidRPr="008D5A5E">
        <w:t>.</w:t>
      </w:r>
      <w:r w:rsidR="008D5A6D" w:rsidRPr="008D5A5E">
        <w:t xml:space="preserve"> At the time of writing, the Trustees were awaiting a response from LGIM.</w:t>
      </w:r>
    </w:p>
    <w:p w14:paraId="38F75F1C" w14:textId="433F856D" w:rsidR="00FF2C6D" w:rsidRPr="008D5A5E" w:rsidRDefault="00FF2C6D" w:rsidP="00F97A16">
      <w:r w:rsidRPr="00FB1184">
        <w:t>At the time of writing, Newton were not able to provide voting information for the Newton Continental European Fund and the Newton Oriental Fund due to data not being available. Newton ha</w:t>
      </w:r>
      <w:r w:rsidR="00CF2B68" w:rsidRPr="00FB1184">
        <w:t>ve agreed to forward the information to Trustees as soon as it is ready. The Trustees will review this information when it is received and raise any queries they have with Newton.</w:t>
      </w:r>
    </w:p>
    <w:p w14:paraId="388FF34E" w14:textId="5F4B14B2" w:rsidR="00592838" w:rsidRPr="008D5A5E" w:rsidRDefault="00592838" w:rsidP="00592838">
      <w:pPr>
        <w:pStyle w:val="Heading3"/>
      </w:pPr>
      <w:r w:rsidRPr="008D5A5E">
        <w:t>Significant votes</w:t>
      </w:r>
    </w:p>
    <w:p w14:paraId="73893932" w14:textId="63A2D769" w:rsidR="00592838" w:rsidRPr="008D5A5E" w:rsidRDefault="00150C6A" w:rsidP="00150C6A">
      <w:r w:rsidRPr="008D5A5E">
        <w:t xml:space="preserve">The Trustees have reviewed the significant votes cast by the investment managers and are </w:t>
      </w:r>
      <w:r w:rsidR="00592838" w:rsidRPr="008D5A5E">
        <w:t xml:space="preserve">generally satisfied </w:t>
      </w:r>
      <w:r w:rsidRPr="008D5A5E">
        <w:t xml:space="preserve">with </w:t>
      </w:r>
      <w:r w:rsidR="00592838" w:rsidRPr="008D5A5E">
        <w:t>their voting behaviour.</w:t>
      </w:r>
      <w:r w:rsidRPr="008D5A5E">
        <w:t xml:space="preserve"> A cross section of the most significant votes cast is contained in Appendix 2.</w:t>
      </w:r>
    </w:p>
    <w:p w14:paraId="03CF6052" w14:textId="4912DBDB" w:rsidR="00E054CC" w:rsidRPr="008D5A5E" w:rsidRDefault="00E054CC" w:rsidP="0043162D">
      <w:pPr>
        <w:pStyle w:val="Heading2"/>
        <w:numPr>
          <w:ilvl w:val="0"/>
          <w:numId w:val="27"/>
        </w:numPr>
      </w:pPr>
      <w:r w:rsidRPr="008D5A5E">
        <w:t>Conflicts of interest</w:t>
      </w:r>
    </w:p>
    <w:p w14:paraId="45AECB48" w14:textId="72EE103E" w:rsidR="00E054CC" w:rsidRPr="008D5A5E" w:rsidRDefault="00E054CC" w:rsidP="00E054CC">
      <w:r w:rsidRPr="008D5A5E">
        <w:t xml:space="preserve">This section </w:t>
      </w:r>
      <w:r w:rsidR="00DC4ACF" w:rsidRPr="008D5A5E">
        <w:t>reviews</w:t>
      </w:r>
      <w:r w:rsidRPr="008D5A5E">
        <w:t xml:space="preserve"> whether </w:t>
      </w:r>
      <w:r w:rsidR="00147F21" w:rsidRPr="008D5A5E">
        <w:t>the managers</w:t>
      </w:r>
      <w:r w:rsidRPr="008D5A5E">
        <w:t xml:space="preserve"> are affected by the following conflicts of interest, and how these are managed. </w:t>
      </w:r>
    </w:p>
    <w:p w14:paraId="5DB96A69" w14:textId="77777777" w:rsidR="00E054CC" w:rsidRPr="008D5A5E" w:rsidRDefault="00E054CC" w:rsidP="00E054CC">
      <w:pPr>
        <w:pStyle w:val="ListNumber"/>
        <w:numPr>
          <w:ilvl w:val="0"/>
          <w:numId w:val="15"/>
        </w:numPr>
      </w:pPr>
      <w:r w:rsidRPr="008D5A5E">
        <w:t>The asset management firm overall having an apparent client-relationship conflict e.g. the manager provides significant products or services to a company in which they also have an equity or bond holding;</w:t>
      </w:r>
    </w:p>
    <w:p w14:paraId="2D343582" w14:textId="77777777" w:rsidR="00E054CC" w:rsidRPr="008D5A5E" w:rsidRDefault="00E054CC" w:rsidP="00E054CC">
      <w:pPr>
        <w:pStyle w:val="ListNumber"/>
        <w:numPr>
          <w:ilvl w:val="0"/>
          <w:numId w:val="15"/>
        </w:numPr>
      </w:pPr>
      <w:r w:rsidRPr="008D5A5E">
        <w:t>Senior staff at the asset management firm holding roles (e.g. as a member of the Board) at a company in which the asset management firm has equity or bond holdings;</w:t>
      </w:r>
    </w:p>
    <w:p w14:paraId="46F57D44" w14:textId="77777777" w:rsidR="00E054CC" w:rsidRPr="008D5A5E" w:rsidRDefault="00E054CC" w:rsidP="00E054CC">
      <w:pPr>
        <w:pStyle w:val="ListNumber"/>
        <w:numPr>
          <w:ilvl w:val="0"/>
          <w:numId w:val="15"/>
        </w:numPr>
      </w:pPr>
      <w:r w:rsidRPr="008D5A5E">
        <w:t>The asset management firm’s stewardship staff having a personal relationship with relevant individuals (e.g. on the Board or the company secretariat) at a company in which the firm has an equity or bond holding;</w:t>
      </w:r>
    </w:p>
    <w:p w14:paraId="52D366A7" w14:textId="77777777" w:rsidR="00E054CC" w:rsidRPr="008D5A5E" w:rsidRDefault="00E054CC" w:rsidP="00E054CC">
      <w:pPr>
        <w:pStyle w:val="ListNumber"/>
        <w:numPr>
          <w:ilvl w:val="0"/>
          <w:numId w:val="15"/>
        </w:numPr>
      </w:pPr>
      <w:r w:rsidRPr="008D5A5E">
        <w:t>A situation where the interests of different clients diverge. An example of this could be a takeover, where one set of clients is exposed to the target and another set is exposed to the acquirer; and</w:t>
      </w:r>
    </w:p>
    <w:p w14:paraId="1316036A" w14:textId="77777777" w:rsidR="00E054CC" w:rsidRPr="008D5A5E" w:rsidRDefault="00E054CC" w:rsidP="00E054CC">
      <w:pPr>
        <w:pStyle w:val="ListNumber"/>
        <w:numPr>
          <w:ilvl w:val="0"/>
          <w:numId w:val="15"/>
        </w:numPr>
      </w:pPr>
      <w:r w:rsidRPr="008D5A5E">
        <w:t>Differences between the stewardship policies of managers and their clients.</w:t>
      </w:r>
    </w:p>
    <w:p w14:paraId="16E85C39" w14:textId="77777777" w:rsidR="003C5044" w:rsidRPr="008D5A5E" w:rsidRDefault="003C5044" w:rsidP="003C5044">
      <w:pPr>
        <w:pStyle w:val="Heading3"/>
      </w:pPr>
      <w:r w:rsidRPr="008D5A5E">
        <w:t>LGIM</w:t>
      </w:r>
    </w:p>
    <w:p w14:paraId="6B26A5AF" w14:textId="77777777" w:rsidR="003C5044" w:rsidRPr="008D5A5E" w:rsidRDefault="003C5044" w:rsidP="003C5044">
      <w:r w:rsidRPr="008D5A5E">
        <w:t>LGIM has refrained from directly commenting on which of the conflicts of interest, detailed above, it is impacted by. Instead, LGIM refers investors to its conflicts of interest policies, which include several examples of conflicts and how these might be managed. The Trustee:</w:t>
      </w:r>
    </w:p>
    <w:p w14:paraId="44AF2681" w14:textId="77777777" w:rsidR="003C5044" w:rsidRPr="008D5A5E" w:rsidRDefault="003C5044" w:rsidP="003C5044">
      <w:pPr>
        <w:pStyle w:val="ListBullet"/>
        <w:spacing w:after="120"/>
        <w:ind w:left="357" w:hanging="357"/>
        <w:contextualSpacing w:val="0"/>
      </w:pPr>
      <w:r w:rsidRPr="008D5A5E">
        <w:t>Has received a copy of the conflicts of interest policy; and</w:t>
      </w:r>
    </w:p>
    <w:p w14:paraId="0E650D7D" w14:textId="77777777" w:rsidR="003C5044" w:rsidRPr="008D5A5E" w:rsidRDefault="003C5044" w:rsidP="003C5044">
      <w:pPr>
        <w:pStyle w:val="ListBullet"/>
      </w:pPr>
      <w:r w:rsidRPr="008D5A5E">
        <w:t>Has queried LGIM’s position not to directly comment on the five conflicts of interest detailed above.</w:t>
      </w:r>
    </w:p>
    <w:p w14:paraId="55C33A18" w14:textId="77777777" w:rsidR="003C5044" w:rsidRPr="00842DA4" w:rsidRDefault="003C5044" w:rsidP="003C5044">
      <w:pPr>
        <w:pStyle w:val="Heading3"/>
      </w:pPr>
      <w:r w:rsidRPr="00842DA4">
        <w:t>Newton</w:t>
      </w:r>
    </w:p>
    <w:p w14:paraId="3D9881B6" w14:textId="33B43D89" w:rsidR="00FB5AAC" w:rsidRPr="008D5A5E" w:rsidRDefault="003C5044" w:rsidP="00FB5AAC">
      <w:r w:rsidRPr="00FB5AAC">
        <w:t>Newton</w:t>
      </w:r>
      <w:r w:rsidR="00FB5AAC" w:rsidRPr="00FB5AAC">
        <w:t xml:space="preserve"> has confirmed that the five conflicts of interest, detailed above, did not impact </w:t>
      </w:r>
      <w:r w:rsidR="00FB5AAC">
        <w:t xml:space="preserve">any of the </w:t>
      </w:r>
      <w:r w:rsidR="00407D38">
        <w:t>f</w:t>
      </w:r>
      <w:r w:rsidR="00FB5AAC" w:rsidRPr="00FB5AAC">
        <w:t>und</w:t>
      </w:r>
      <w:r w:rsidR="00FB5AAC">
        <w:t>s held by the Scheme</w:t>
      </w:r>
      <w:r w:rsidR="00FB5AAC" w:rsidRPr="00FB5AAC">
        <w:t xml:space="preserve"> over the period under review.  </w:t>
      </w:r>
      <w:r w:rsidR="00FB5AAC">
        <w:t>Newton</w:t>
      </w:r>
      <w:r w:rsidR="00FB5AAC" w:rsidRPr="00FB5AAC">
        <w:t xml:space="preserve"> has also confirmed that it is “not currently aware</w:t>
      </w:r>
      <w:r w:rsidR="00407D38">
        <w:t>”</w:t>
      </w:r>
      <w:r w:rsidR="00FB5AAC" w:rsidRPr="00FB5AAC">
        <w:t xml:space="preserve"> of any material conflict of interest that would impair its ability to act as the manager </w:t>
      </w:r>
      <w:r w:rsidR="00FB5AAC">
        <w:t xml:space="preserve">to any of the </w:t>
      </w:r>
      <w:r w:rsidR="00407D38">
        <w:t>f</w:t>
      </w:r>
      <w:r w:rsidR="00FB5AAC">
        <w:t>unds held by the Scheme.</w:t>
      </w:r>
    </w:p>
    <w:p w14:paraId="563B428D" w14:textId="711BC79E" w:rsidR="00CF71A1" w:rsidRPr="00626AEE" w:rsidRDefault="00CF71A1" w:rsidP="00E054CC">
      <w:pPr>
        <w:sectPr w:rsidR="00CF71A1" w:rsidRPr="00626AEE" w:rsidSect="0009325E">
          <w:pgSz w:w="11906" w:h="16838"/>
          <w:pgMar w:top="2379" w:right="1416" w:bottom="1304" w:left="1304" w:header="709" w:footer="615" w:gutter="0"/>
          <w:cols w:space="708"/>
          <w:docGrid w:linePitch="360"/>
        </w:sectPr>
      </w:pPr>
    </w:p>
    <w:p w14:paraId="2FE4C229" w14:textId="24A992B4" w:rsidR="00CC5D41" w:rsidRPr="00626AEE" w:rsidRDefault="005A5D67" w:rsidP="009F4ACB">
      <w:pPr>
        <w:pStyle w:val="Heading2"/>
        <w:numPr>
          <w:ilvl w:val="0"/>
          <w:numId w:val="15"/>
        </w:numPr>
      </w:pPr>
      <w:r w:rsidRPr="00626AEE">
        <w:lastRenderedPageBreak/>
        <w:t xml:space="preserve">Implementation of </w:t>
      </w:r>
      <w:r w:rsidR="00765BE0" w:rsidRPr="00626AEE">
        <w:t xml:space="preserve">policies contained within the Scheme’s </w:t>
      </w:r>
      <w:r w:rsidRPr="00626AEE">
        <w:t>S</w:t>
      </w:r>
      <w:r w:rsidR="007D7EC6" w:rsidRPr="00626AEE">
        <w:t>IP</w:t>
      </w:r>
      <w:r w:rsidR="00765BE0" w:rsidRPr="00626AEE">
        <w:t xml:space="preserve"> </w:t>
      </w:r>
      <w:r w:rsidR="007C66BD" w:rsidRPr="00626AEE">
        <w:t xml:space="preserve">– </w:t>
      </w:r>
      <w:r w:rsidR="0005580D">
        <w:t>DC</w:t>
      </w:r>
      <w:r w:rsidR="007C66BD" w:rsidRPr="00626AEE">
        <w:t xml:space="preserve"> section</w:t>
      </w:r>
    </w:p>
    <w:p w14:paraId="6114BD14" w14:textId="0C75409D" w:rsidR="0009325E" w:rsidRPr="00626AEE" w:rsidRDefault="005A5D67" w:rsidP="0009325E">
      <w:r w:rsidRPr="00626AEE">
        <w:t xml:space="preserve">This section sets out the various policies within the </w:t>
      </w:r>
      <w:r w:rsidR="009008B1" w:rsidRPr="00626AEE">
        <w:t xml:space="preserve">Scheme’s </w:t>
      </w:r>
      <w:r w:rsidRPr="00626AEE">
        <w:t>SIP</w:t>
      </w:r>
      <w:r w:rsidR="000C10FA" w:rsidRPr="00626AEE">
        <w:t xml:space="preserve"> (that was in place as at </w:t>
      </w:r>
      <w:r w:rsidR="001C7FB3" w:rsidRPr="00626AEE">
        <w:t xml:space="preserve">31 </w:t>
      </w:r>
      <w:r w:rsidR="00AC6756">
        <w:t>December</w:t>
      </w:r>
      <w:r w:rsidR="00AC6756" w:rsidRPr="00626AEE">
        <w:t xml:space="preserve"> </w:t>
      </w:r>
      <w:r w:rsidR="000C10FA" w:rsidRPr="00626AEE">
        <w:t>202</w:t>
      </w:r>
      <w:r w:rsidR="00AC6756">
        <w:t>0</w:t>
      </w:r>
      <w:r w:rsidR="00876635" w:rsidRPr="00626AEE">
        <w:t xml:space="preserve"> – i</w:t>
      </w:r>
      <w:r w:rsidR="007C66BD" w:rsidRPr="00626AEE">
        <w:t>.</w:t>
      </w:r>
      <w:r w:rsidR="00876635" w:rsidRPr="00626AEE">
        <w:t>e</w:t>
      </w:r>
      <w:r w:rsidR="007C66BD" w:rsidRPr="00626AEE">
        <w:t>.</w:t>
      </w:r>
      <w:r w:rsidR="00876635" w:rsidRPr="00626AEE">
        <w:t xml:space="preserve"> the end of the </w:t>
      </w:r>
      <w:r w:rsidR="00974936" w:rsidRPr="00626AEE">
        <w:t>Scheme year</w:t>
      </w:r>
      <w:r w:rsidR="000C10FA" w:rsidRPr="00626AEE">
        <w:t>)</w:t>
      </w:r>
      <w:r w:rsidRPr="00626AEE">
        <w:t xml:space="preserve"> and the actions that</w:t>
      </w:r>
      <w:r w:rsidR="009008B1" w:rsidRPr="00626AEE">
        <w:t xml:space="preserve"> the Trustees </w:t>
      </w:r>
      <w:r w:rsidR="00F80971" w:rsidRPr="00626AEE">
        <w:t xml:space="preserve">have taken </w:t>
      </w:r>
      <w:r w:rsidR="009008B1" w:rsidRPr="00626AEE">
        <w:t xml:space="preserve">in respect of them over the </w:t>
      </w:r>
      <w:r w:rsidR="001169E9" w:rsidRPr="00626AEE">
        <w:t>year</w:t>
      </w:r>
      <w:r w:rsidR="000C10FA" w:rsidRPr="00626AEE">
        <w:t xml:space="preserve"> to this date</w:t>
      </w:r>
      <w:r w:rsidR="009008B1" w:rsidRPr="00626AEE">
        <w:t>.</w:t>
      </w:r>
      <w:r w:rsidR="000C10FA" w:rsidRPr="00626AEE">
        <w:t xml:space="preserve"> We have noted a few actions that were taken following the Scheme year-end that we feel are of relevance.</w:t>
      </w:r>
    </w:p>
    <w:tbl>
      <w:tblPr>
        <w:tblStyle w:val="QuantumBandedTable"/>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371"/>
      </w:tblGrid>
      <w:tr w:rsidR="0009325E" w:rsidRPr="00626AEE" w14:paraId="324DD1B0" w14:textId="77777777" w:rsidTr="00DB3A7A">
        <w:trPr>
          <w:cnfStyle w:val="100000000000" w:firstRow="1" w:lastRow="0" w:firstColumn="0" w:lastColumn="0" w:oddVBand="0" w:evenVBand="0" w:oddHBand="0" w:evenHBand="0" w:firstRowFirstColumn="0" w:firstRowLastColumn="0" w:lastRowFirstColumn="0" w:lastRowLastColumn="0"/>
        </w:trPr>
        <w:tc>
          <w:tcPr>
            <w:tcW w:w="75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0B3CC6" w14:textId="58AA1F2E" w:rsidR="0009325E" w:rsidRPr="00626AEE" w:rsidRDefault="0009325E" w:rsidP="0009325E">
            <w:r w:rsidRPr="00626AEE">
              <w:t>SIP policy</w:t>
            </w:r>
          </w:p>
        </w:tc>
        <w:tc>
          <w:tcPr>
            <w:tcW w:w="737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2749FA" w14:textId="3BC339E3" w:rsidR="0009325E" w:rsidRPr="00626AEE" w:rsidRDefault="0009325E" w:rsidP="0009325E">
            <w:r w:rsidRPr="00626AEE">
              <w:t>Comments</w:t>
            </w:r>
          </w:p>
        </w:tc>
      </w:tr>
      <w:tr w:rsidR="006E01ED" w:rsidRPr="00626AEE" w14:paraId="781CD527" w14:textId="77777777" w:rsidTr="006E01ED">
        <w:trPr>
          <w:cnfStyle w:val="000000100000" w:firstRow="0" w:lastRow="0" w:firstColumn="0" w:lastColumn="0" w:oddVBand="0" w:evenVBand="0" w:oddHBand="1" w:evenHBand="0" w:firstRowFirstColumn="0" w:firstRowLastColumn="0" w:lastRowFirstColumn="0" w:lastRowLastColumn="0"/>
        </w:trPr>
        <w:tc>
          <w:tcPr>
            <w:tcW w:w="14879" w:type="dxa"/>
            <w:gridSpan w:val="2"/>
          </w:tcPr>
          <w:p w14:paraId="2D32275D" w14:textId="2CFFB1B7" w:rsidR="006E01ED" w:rsidRPr="00626AEE" w:rsidRDefault="00765BE0" w:rsidP="0009325E">
            <w:r w:rsidRPr="00626AEE">
              <w:rPr>
                <w:b/>
                <w:bCs/>
              </w:rPr>
              <w:t xml:space="preserve">1. </w:t>
            </w:r>
            <w:r w:rsidR="00484A39" w:rsidRPr="00626AEE">
              <w:rPr>
                <w:b/>
                <w:bCs/>
              </w:rPr>
              <w:t xml:space="preserve">Investment </w:t>
            </w:r>
            <w:r w:rsidR="001731AE" w:rsidRPr="00626AEE">
              <w:rPr>
                <w:b/>
                <w:bCs/>
              </w:rPr>
              <w:t xml:space="preserve">processes and </w:t>
            </w:r>
            <w:r w:rsidR="00484A39" w:rsidRPr="00626AEE">
              <w:rPr>
                <w:b/>
                <w:bCs/>
              </w:rPr>
              <w:t>governance</w:t>
            </w:r>
          </w:p>
        </w:tc>
      </w:tr>
      <w:tr w:rsidR="00CC0E27" w:rsidRPr="00626AEE" w14:paraId="0F10C94B" w14:textId="77777777" w:rsidTr="00374007">
        <w:trPr>
          <w:cnfStyle w:val="000000010000" w:firstRow="0" w:lastRow="0" w:firstColumn="0" w:lastColumn="0" w:oddVBand="0" w:evenVBand="0" w:oddHBand="0" w:evenHBand="1" w:firstRowFirstColumn="0" w:firstRowLastColumn="0" w:lastRowFirstColumn="0" w:lastRowLastColumn="0"/>
          <w:trHeight w:val="4675"/>
        </w:trPr>
        <w:tc>
          <w:tcPr>
            <w:tcW w:w="0" w:type="dxa"/>
            <w:tcBorders>
              <w:bottom w:val="nil"/>
            </w:tcBorders>
          </w:tcPr>
          <w:p w14:paraId="7CED0657" w14:textId="14EA0AA2" w:rsidR="00EC5E26" w:rsidRDefault="00EC5E26" w:rsidP="00671FFF">
            <w:pPr>
              <w:rPr>
                <w:b/>
                <w:u w:val="single"/>
              </w:rPr>
            </w:pPr>
            <w:r w:rsidRPr="005D116A">
              <w:rPr>
                <w:b/>
                <w:u w:val="single"/>
              </w:rPr>
              <w:t xml:space="preserve">Investment </w:t>
            </w:r>
            <w:r w:rsidR="00407D38">
              <w:rPr>
                <w:b/>
                <w:u w:val="single"/>
              </w:rPr>
              <w:t>s</w:t>
            </w:r>
            <w:r w:rsidRPr="005D116A">
              <w:rPr>
                <w:b/>
                <w:u w:val="single"/>
              </w:rPr>
              <w:t>trategy</w:t>
            </w:r>
          </w:p>
          <w:p w14:paraId="71A6A7B7" w14:textId="05916795" w:rsidR="001320BD" w:rsidRPr="00374007" w:rsidRDefault="001320BD" w:rsidP="001320BD">
            <w:pPr>
              <w:rPr>
                <w:bCs/>
              </w:rPr>
            </w:pPr>
            <w:r w:rsidRPr="00374007">
              <w:rPr>
                <w:bCs/>
              </w:rPr>
              <w:t xml:space="preserve">The Trustees are required by law to act prudently and in accordance with investment advice received (from suitably qualified and experienced professionals) when developing or reviewing </w:t>
            </w:r>
            <w:r>
              <w:rPr>
                <w:bCs/>
              </w:rPr>
              <w:t>the</w:t>
            </w:r>
            <w:r w:rsidRPr="00374007">
              <w:rPr>
                <w:bCs/>
              </w:rPr>
              <w:t xml:space="preserve"> investment strategies for </w:t>
            </w:r>
            <w:r>
              <w:rPr>
                <w:bCs/>
              </w:rPr>
              <w:t>S</w:t>
            </w:r>
            <w:r w:rsidRPr="00374007">
              <w:rPr>
                <w:bCs/>
              </w:rPr>
              <w:t>cheme.</w:t>
            </w:r>
          </w:p>
          <w:p w14:paraId="3BD08B24" w14:textId="60220878" w:rsidR="00C62D62" w:rsidRDefault="00C62D62" w:rsidP="00C62D62">
            <w:r w:rsidRPr="005D116A">
              <w:t xml:space="preserve">The Trustees </w:t>
            </w:r>
            <w:r w:rsidR="00841DF4">
              <w:t>undertake</w:t>
            </w:r>
            <w:r w:rsidRPr="005D116A">
              <w:t xml:space="preserve"> regular reviews of the Scheme’s DC investment strategy (both a</w:t>
            </w:r>
            <w:r>
              <w:t>t a</w:t>
            </w:r>
            <w:r w:rsidRPr="005D116A">
              <w:t xml:space="preserve"> strategic level and at a fund level) and, </w:t>
            </w:r>
            <w:r>
              <w:t>aim to achieve good member outcomes by using a range of collective investment funds which give:</w:t>
            </w:r>
          </w:p>
          <w:p w14:paraId="4A76B29A" w14:textId="77777777" w:rsidR="00C62D62" w:rsidRDefault="00C62D62" w:rsidP="00C62D62">
            <w:pPr>
              <w:pStyle w:val="ListParagraph"/>
              <w:numPr>
                <w:ilvl w:val="0"/>
                <w:numId w:val="30"/>
              </w:numPr>
            </w:pPr>
            <w:r>
              <w:t>The ability to diversify between one or more collective investment funds to assist in managing investment risk;</w:t>
            </w:r>
          </w:p>
          <w:p w14:paraId="46AEA592" w14:textId="77777777" w:rsidR="00C62D62" w:rsidRDefault="00C62D62" w:rsidP="00C62D62">
            <w:pPr>
              <w:pStyle w:val="ListParagraph"/>
              <w:numPr>
                <w:ilvl w:val="0"/>
                <w:numId w:val="30"/>
              </w:numPr>
            </w:pPr>
            <w:r>
              <w:t>Access to collective investment funds where the charges levied are competitive against the wider retail pension investment market, as it is the return (net of costs), which is important to members;</w:t>
            </w:r>
          </w:p>
          <w:p w14:paraId="3512B3E5" w14:textId="77777777" w:rsidR="00C62D62" w:rsidRDefault="00C62D62" w:rsidP="00C62D62">
            <w:pPr>
              <w:pStyle w:val="ListParagraph"/>
              <w:numPr>
                <w:ilvl w:val="0"/>
                <w:numId w:val="30"/>
              </w:numPr>
            </w:pPr>
            <w:r>
              <w:t>Competitive net investment returns thereby offering overall value for money to DC members;</w:t>
            </w:r>
          </w:p>
          <w:p w14:paraId="326130E1" w14:textId="24C06D22" w:rsidR="001320BD" w:rsidRDefault="00C62D62" w:rsidP="00C62D62">
            <w:pPr>
              <w:spacing w:after="120"/>
            </w:pPr>
            <w:r>
              <w:t xml:space="preserve">The Trustees are not able to run bespoke investment strategies for each member of the Scheme to reflect their own needs and aspirations. The Trustees will however be reviewing </w:t>
            </w:r>
            <w:r w:rsidR="00FB1184">
              <w:t xml:space="preserve">their </w:t>
            </w:r>
            <w:r>
              <w:t>options in this regard in the near future.</w:t>
            </w:r>
          </w:p>
          <w:p w14:paraId="0163F2B0" w14:textId="77777777" w:rsidR="001320BD" w:rsidRPr="005D116A" w:rsidRDefault="001320BD" w:rsidP="00C62D62">
            <w:pPr>
              <w:spacing w:after="120"/>
            </w:pPr>
          </w:p>
          <w:p w14:paraId="24DCE3FB" w14:textId="01DA5D18" w:rsidR="00457041" w:rsidRPr="005D116A" w:rsidRDefault="00457041" w:rsidP="0009325E"/>
        </w:tc>
        <w:tc>
          <w:tcPr>
            <w:tcW w:w="0" w:type="dxa"/>
            <w:tcBorders>
              <w:bottom w:val="nil"/>
            </w:tcBorders>
            <w:vAlign w:val="top"/>
          </w:tcPr>
          <w:p w14:paraId="1133506D" w14:textId="2E6E22D6" w:rsidR="00EC5E26" w:rsidRDefault="00EC5E26" w:rsidP="00EC5E26">
            <w:pPr>
              <w:rPr>
                <w:b/>
                <w:u w:val="single"/>
              </w:rPr>
            </w:pPr>
            <w:r w:rsidRPr="005D116A">
              <w:rPr>
                <w:b/>
                <w:u w:val="single"/>
              </w:rPr>
              <w:t xml:space="preserve">Investment </w:t>
            </w:r>
            <w:r w:rsidR="00407D38">
              <w:rPr>
                <w:b/>
                <w:u w:val="single"/>
              </w:rPr>
              <w:t>s</w:t>
            </w:r>
            <w:r w:rsidRPr="005D116A">
              <w:rPr>
                <w:b/>
                <w:u w:val="single"/>
              </w:rPr>
              <w:t>trategy</w:t>
            </w:r>
          </w:p>
          <w:p w14:paraId="6E5670CD" w14:textId="3D739C89" w:rsidR="007D0B06" w:rsidRDefault="007D0B06" w:rsidP="00EC5E26">
            <w:r>
              <w:t>It became clear during the year that the strategic advice required by the Trustees was not forthcoming from Scottish Widows (Mercer).</w:t>
            </w:r>
            <w:r w:rsidRPr="007D0B06">
              <w:t xml:space="preserve"> </w:t>
            </w:r>
            <w:r>
              <w:t xml:space="preserve"> As a </w:t>
            </w:r>
            <w:r w:rsidR="00BF097A">
              <w:t>consequence,</w:t>
            </w:r>
            <w:r>
              <w:t xml:space="preserve"> the Trustees undertook a review of advisers</w:t>
            </w:r>
            <w:r w:rsidR="00BF097A">
              <w:t xml:space="preserve"> and subsequently Quantum Advisory.</w:t>
            </w:r>
          </w:p>
          <w:p w14:paraId="778AE1C0" w14:textId="1D01D70E" w:rsidR="007D0B06" w:rsidRDefault="007D0B06" w:rsidP="00EC5E26">
            <w:r>
              <w:t>The Trustees will undertake a strategic review of their DC section during 2021</w:t>
            </w:r>
            <w:r w:rsidR="00BF097A">
              <w:t>.</w:t>
            </w:r>
          </w:p>
          <w:p w14:paraId="0E13221F" w14:textId="23E009AC" w:rsidR="00CC0E27" w:rsidRPr="005D116A" w:rsidRDefault="00CC0E27" w:rsidP="007D0B06"/>
        </w:tc>
      </w:tr>
      <w:tr w:rsidR="009A7FC0" w:rsidRPr="00626AEE" w14:paraId="329C0C3B" w14:textId="77777777" w:rsidTr="00DB3A7A">
        <w:trPr>
          <w:cnfStyle w:val="000000100000" w:firstRow="0" w:lastRow="0" w:firstColumn="0" w:lastColumn="0" w:oddVBand="0" w:evenVBand="0" w:oddHBand="1" w:evenHBand="0" w:firstRowFirstColumn="0" w:firstRowLastColumn="0" w:lastRowFirstColumn="0" w:lastRowLastColumn="0"/>
        </w:trPr>
        <w:tc>
          <w:tcPr>
            <w:tcW w:w="7508" w:type="dxa"/>
            <w:tcBorders>
              <w:top w:val="nil"/>
              <w:bottom w:val="nil"/>
            </w:tcBorders>
            <w:vAlign w:val="top"/>
          </w:tcPr>
          <w:p w14:paraId="6F06D3EE" w14:textId="6D403B46" w:rsidR="00970865" w:rsidRDefault="00970865" w:rsidP="006F4CFD">
            <w:pPr>
              <w:spacing w:after="120"/>
              <w:rPr>
                <w:b/>
                <w:u w:val="single"/>
              </w:rPr>
            </w:pPr>
            <w:r w:rsidRPr="005D116A">
              <w:rPr>
                <w:b/>
                <w:u w:val="single"/>
              </w:rPr>
              <w:lastRenderedPageBreak/>
              <w:t>Performance monitoring</w:t>
            </w:r>
          </w:p>
          <w:p w14:paraId="24647531" w14:textId="3A6C9AAA" w:rsidR="006438F8" w:rsidRPr="0053742E" w:rsidRDefault="006438F8" w:rsidP="006438F8">
            <w:pPr>
              <w:spacing w:after="120"/>
              <w:rPr>
                <w:szCs w:val="22"/>
              </w:rPr>
            </w:pPr>
            <w:r w:rsidRPr="00D67600">
              <w:t xml:space="preserve">The Trustees review the performance of the Scheme’s DC investments on a </w:t>
            </w:r>
            <w:r>
              <w:t>frequent</w:t>
            </w:r>
            <w:r w:rsidRPr="00D67600">
              <w:t xml:space="preserve"> basis. The Trustees may undertake additional reviews as deemed </w:t>
            </w:r>
            <w:r w:rsidRPr="0053742E">
              <w:rPr>
                <w:szCs w:val="22"/>
              </w:rPr>
              <w:t>appropriate.</w:t>
            </w:r>
          </w:p>
          <w:p w14:paraId="4C9B4A10" w14:textId="67B726B6" w:rsidR="00970865" w:rsidRPr="005D116A" w:rsidRDefault="006438F8" w:rsidP="00374007">
            <w:pPr>
              <w:pStyle w:val="Default"/>
            </w:pPr>
            <w:r w:rsidRPr="0053742E">
              <w:rPr>
                <w:rFonts w:asciiTheme="minorHAnsi" w:hAnsiTheme="minorHAnsi" w:cstheme="minorHAnsi"/>
                <w:sz w:val="22"/>
                <w:szCs w:val="22"/>
              </w:rPr>
              <w:t>The Trustees consider the extent to which</w:t>
            </w:r>
            <w:r w:rsidR="003F40BC" w:rsidRPr="0053742E">
              <w:rPr>
                <w:rFonts w:asciiTheme="minorHAnsi" w:hAnsiTheme="minorHAnsi" w:cstheme="minorHAnsi"/>
                <w:sz w:val="22"/>
                <w:szCs w:val="22"/>
              </w:rPr>
              <w:t xml:space="preserve"> </w:t>
            </w:r>
            <w:r w:rsidR="003F40BC" w:rsidRPr="0053742E">
              <w:rPr>
                <w:sz w:val="22"/>
                <w:szCs w:val="22"/>
              </w:rPr>
              <w:t xml:space="preserve">the net of costs investment returns achieved by LGIM and Newton to assess how they are performing against Schemes needs, their rivals and suitable independent benchmarks. </w:t>
            </w:r>
            <w:r w:rsidR="001320BD" w:rsidRPr="0053742E">
              <w:rPr>
                <w:sz w:val="22"/>
                <w:szCs w:val="22"/>
              </w:rPr>
              <w:t>The Trustees reserve the right to replace the investment managers if they feel their net returns are not acceptable.</w:t>
            </w:r>
          </w:p>
        </w:tc>
        <w:tc>
          <w:tcPr>
            <w:tcW w:w="7371" w:type="dxa"/>
            <w:tcBorders>
              <w:top w:val="nil"/>
              <w:bottom w:val="nil"/>
            </w:tcBorders>
            <w:vAlign w:val="top"/>
          </w:tcPr>
          <w:p w14:paraId="05390B13" w14:textId="3D234867" w:rsidR="00970865" w:rsidRPr="005D116A" w:rsidRDefault="00970865" w:rsidP="00970865">
            <w:pPr>
              <w:spacing w:after="120"/>
              <w:rPr>
                <w:b/>
                <w:u w:val="single"/>
              </w:rPr>
            </w:pPr>
            <w:r w:rsidRPr="005D116A">
              <w:rPr>
                <w:b/>
                <w:u w:val="single"/>
              </w:rPr>
              <w:t>Performance monitoring</w:t>
            </w:r>
          </w:p>
          <w:p w14:paraId="36D069F5" w14:textId="4EADE275" w:rsidR="007D0B06" w:rsidRPr="00AE05BD" w:rsidRDefault="007D0B06" w:rsidP="00970865">
            <w:pPr>
              <w:spacing w:after="120"/>
            </w:pPr>
            <w:r w:rsidRPr="00AE05BD">
              <w:t>Regular asset statements were provided by the investment managers.  The Trustees will discuss and agree what additional monitoring is required during 2021</w:t>
            </w:r>
            <w:r w:rsidR="00AE05BD">
              <w:t xml:space="preserve"> alongside their new advisers.</w:t>
            </w:r>
          </w:p>
          <w:p w14:paraId="39AC9287" w14:textId="2C7E0928" w:rsidR="007D0B06" w:rsidRPr="00AE05BD" w:rsidRDefault="007D0B06" w:rsidP="00970865">
            <w:pPr>
              <w:spacing w:after="120"/>
            </w:pPr>
          </w:p>
          <w:p w14:paraId="7A31FB46" w14:textId="1074EB7F" w:rsidR="007D0B06" w:rsidRPr="00AE05BD" w:rsidRDefault="007D0B06" w:rsidP="00970865">
            <w:pPr>
              <w:spacing w:after="120"/>
            </w:pPr>
            <w:r w:rsidRPr="00AE05BD">
              <w:t xml:space="preserve">The Trustees considered the </w:t>
            </w:r>
            <w:r w:rsidR="00AE05BD" w:rsidRPr="00AE05BD">
              <w:t xml:space="preserve">overall </w:t>
            </w:r>
            <w:r w:rsidRPr="00AE05BD">
              <w:t xml:space="preserve">performance of their </w:t>
            </w:r>
            <w:r w:rsidR="00AE05BD" w:rsidRPr="00AE05BD">
              <w:t xml:space="preserve">investment managers as satisfactory </w:t>
            </w:r>
            <w:r w:rsidR="00BF097A">
              <w:t xml:space="preserve">considering the worldwide pandemic </w:t>
            </w:r>
            <w:r w:rsidR="00AE05BD" w:rsidRPr="00AE05BD">
              <w:t>during the period under review.</w:t>
            </w:r>
          </w:p>
          <w:p w14:paraId="12CD72A4" w14:textId="77777777" w:rsidR="007D0B06" w:rsidRDefault="007D0B06" w:rsidP="00970865">
            <w:pPr>
              <w:spacing w:after="120"/>
              <w:rPr>
                <w:highlight w:val="yellow"/>
              </w:rPr>
            </w:pPr>
          </w:p>
          <w:p w14:paraId="7C751463" w14:textId="274DD964" w:rsidR="006916F1" w:rsidRPr="005D116A" w:rsidRDefault="006916F1" w:rsidP="00970865">
            <w:pPr>
              <w:spacing w:after="120"/>
            </w:pPr>
          </w:p>
        </w:tc>
      </w:tr>
      <w:tr w:rsidR="009A7FC0" w:rsidRPr="00626AEE" w14:paraId="6D3D7491" w14:textId="77777777" w:rsidTr="00DB3A7A">
        <w:trPr>
          <w:cnfStyle w:val="000000010000" w:firstRow="0" w:lastRow="0" w:firstColumn="0" w:lastColumn="0" w:oddVBand="0" w:evenVBand="0" w:oddHBand="0" w:evenHBand="1" w:firstRowFirstColumn="0" w:firstRowLastColumn="0" w:lastRowFirstColumn="0" w:lastRowLastColumn="0"/>
        </w:trPr>
        <w:tc>
          <w:tcPr>
            <w:tcW w:w="7508" w:type="dxa"/>
            <w:tcBorders>
              <w:top w:val="nil"/>
              <w:bottom w:val="nil"/>
            </w:tcBorders>
            <w:vAlign w:val="top"/>
          </w:tcPr>
          <w:p w14:paraId="35131139" w14:textId="092E1940" w:rsidR="00EC5E26" w:rsidRPr="00EC0D4C" w:rsidRDefault="00EC5E26" w:rsidP="009A7FC0">
            <w:pPr>
              <w:spacing w:after="120"/>
            </w:pPr>
            <w:r w:rsidRPr="005D116A">
              <w:rPr>
                <w:b/>
                <w:u w:val="single"/>
              </w:rPr>
              <w:t>Statement of Investment Principles</w:t>
            </w:r>
          </w:p>
          <w:p w14:paraId="545072C9" w14:textId="35B5F4B2" w:rsidR="00B90D29" w:rsidRDefault="00671FFF" w:rsidP="00B90D29">
            <w:pPr>
              <w:spacing w:after="120"/>
            </w:pPr>
            <w:r w:rsidRPr="005D116A">
              <w:t xml:space="preserve">The Trustees </w:t>
            </w:r>
            <w:r w:rsidR="0068156D" w:rsidRPr="005D116A">
              <w:t>review the</w:t>
            </w:r>
            <w:r w:rsidRPr="005D116A">
              <w:t xml:space="preserve"> SIP </w:t>
            </w:r>
            <w:r w:rsidR="00DE6824">
              <w:t xml:space="preserve">at least once a year and publish any update(s) to the website. </w:t>
            </w:r>
          </w:p>
          <w:p w14:paraId="1B6BBAA8" w14:textId="204D660B" w:rsidR="00B90D29" w:rsidRPr="005D116A" w:rsidRDefault="00B90D29" w:rsidP="00B90D29">
            <w:pPr>
              <w:spacing w:after="120"/>
            </w:pPr>
          </w:p>
        </w:tc>
        <w:tc>
          <w:tcPr>
            <w:tcW w:w="7371" w:type="dxa"/>
            <w:tcBorders>
              <w:top w:val="nil"/>
              <w:bottom w:val="nil"/>
            </w:tcBorders>
            <w:vAlign w:val="top"/>
          </w:tcPr>
          <w:p w14:paraId="0EE473DC" w14:textId="6BE437BC" w:rsidR="00E51077" w:rsidRPr="00EC0D4C" w:rsidRDefault="00381780" w:rsidP="006F4CFD">
            <w:pPr>
              <w:spacing w:after="120"/>
              <w:rPr>
                <w:b/>
                <w:u w:val="single"/>
              </w:rPr>
            </w:pPr>
            <w:r w:rsidRPr="005D116A">
              <w:rPr>
                <w:b/>
                <w:u w:val="single"/>
              </w:rPr>
              <w:t>Statement of Investment Principles</w:t>
            </w:r>
            <w:r w:rsidR="00EC0D4C">
              <w:rPr>
                <w:b/>
                <w:u w:val="single"/>
              </w:rPr>
              <w:br/>
            </w:r>
            <w:r w:rsidRPr="005D116A">
              <w:t xml:space="preserve">The SIP was </w:t>
            </w:r>
            <w:r w:rsidR="00B90D29">
              <w:t xml:space="preserve">last </w:t>
            </w:r>
            <w:r w:rsidR="00541204">
              <w:t xml:space="preserve">reviewed, and subsequently </w:t>
            </w:r>
            <w:r w:rsidRPr="005D116A">
              <w:t>updated</w:t>
            </w:r>
            <w:r w:rsidR="00541204">
              <w:t>,</w:t>
            </w:r>
            <w:r w:rsidRPr="005D116A">
              <w:t xml:space="preserve"> </w:t>
            </w:r>
            <w:r w:rsidR="00B90D29">
              <w:t xml:space="preserve">during </w:t>
            </w:r>
            <w:r w:rsidR="0084786F">
              <w:t>Octo</w:t>
            </w:r>
            <w:r w:rsidRPr="005D116A">
              <w:t>ber 2020.</w:t>
            </w:r>
            <w:r w:rsidR="001320BD">
              <w:t xml:space="preserve"> Further details are provided in section 3 of this statement.</w:t>
            </w:r>
            <w:r w:rsidR="00DE6824">
              <w:t xml:space="preserve"> This SIP has been published online.</w:t>
            </w:r>
          </w:p>
        </w:tc>
      </w:tr>
      <w:tr w:rsidR="009A7FC0" w:rsidRPr="00626AEE" w14:paraId="677A5B71" w14:textId="77777777" w:rsidTr="006E01ED">
        <w:trPr>
          <w:cnfStyle w:val="000000100000" w:firstRow="0" w:lastRow="0" w:firstColumn="0" w:lastColumn="0" w:oddVBand="0" w:evenVBand="0" w:oddHBand="1" w:evenHBand="0" w:firstRowFirstColumn="0" w:firstRowLastColumn="0" w:lastRowFirstColumn="0" w:lastRowLastColumn="0"/>
        </w:trPr>
        <w:tc>
          <w:tcPr>
            <w:tcW w:w="14879" w:type="dxa"/>
            <w:gridSpan w:val="2"/>
          </w:tcPr>
          <w:p w14:paraId="7F83344D" w14:textId="6C99B39B" w:rsidR="009A7FC0" w:rsidRPr="00626AEE" w:rsidRDefault="009A7FC0" w:rsidP="009A7FC0">
            <w:r w:rsidRPr="00626AEE">
              <w:rPr>
                <w:b/>
                <w:bCs/>
              </w:rPr>
              <w:t>2. Responsible Investment</w:t>
            </w:r>
          </w:p>
        </w:tc>
      </w:tr>
      <w:tr w:rsidR="009A7FC0" w:rsidRPr="00626AEE" w14:paraId="2427B563" w14:textId="77777777" w:rsidTr="00DB3A7A">
        <w:trPr>
          <w:cnfStyle w:val="000000010000" w:firstRow="0" w:lastRow="0" w:firstColumn="0" w:lastColumn="0" w:oddVBand="0" w:evenVBand="0" w:oddHBand="0" w:evenHBand="1" w:firstRowFirstColumn="0" w:firstRowLastColumn="0" w:lastRowFirstColumn="0" w:lastRowLastColumn="0"/>
        </w:trPr>
        <w:tc>
          <w:tcPr>
            <w:tcW w:w="7508" w:type="dxa"/>
            <w:vAlign w:val="top"/>
          </w:tcPr>
          <w:p w14:paraId="19D15D8A" w14:textId="08F37CEC" w:rsidR="00DE6824" w:rsidRPr="00374007" w:rsidRDefault="00DE6824" w:rsidP="00DE6824">
            <w:pPr>
              <w:spacing w:after="120"/>
            </w:pPr>
            <w:r>
              <w:t>The Trustees</w:t>
            </w:r>
            <w:r w:rsidRPr="00374007">
              <w:t xml:space="preserve"> ensure ESG factors are being considered by the investment managers (where</w:t>
            </w:r>
            <w:r>
              <w:t xml:space="preserve"> </w:t>
            </w:r>
            <w:r w:rsidRPr="00374007">
              <w:t>relevant) and have considered the extent to which the fund managers analyse and</w:t>
            </w:r>
            <w:r>
              <w:t xml:space="preserve"> </w:t>
            </w:r>
            <w:r w:rsidRPr="00374007">
              <w:t>integrate ESG risks and opportunities into their investment process.</w:t>
            </w:r>
          </w:p>
          <w:p w14:paraId="777F1C7B" w14:textId="756DAF4D" w:rsidR="00DE6824" w:rsidRPr="00374007" w:rsidRDefault="00DE6824" w:rsidP="00DE6824">
            <w:pPr>
              <w:spacing w:after="120"/>
            </w:pPr>
            <w:r w:rsidRPr="00374007">
              <w:t>The Trustees monitor, on an ongoing basis, the investment managers’ approach to considering and integrating ESG into their investment processes.</w:t>
            </w:r>
          </w:p>
          <w:p w14:paraId="6E47295C" w14:textId="7A95A01D" w:rsidR="009A7FC0" w:rsidRPr="005D116A" w:rsidRDefault="00DE6824" w:rsidP="009A7FC0">
            <w:pPr>
              <w:rPr>
                <w:b/>
                <w:bCs/>
              </w:rPr>
            </w:pPr>
            <w:r w:rsidRPr="00374007">
              <w:t>The Trustees expect the investment managers to use their rights (including voting rights) wholly in the best economic interests of their investors (including our Scheme members)</w:t>
            </w:r>
            <w:r>
              <w:t>.</w:t>
            </w:r>
          </w:p>
        </w:tc>
        <w:tc>
          <w:tcPr>
            <w:tcW w:w="7371" w:type="dxa"/>
            <w:vAlign w:val="top"/>
          </w:tcPr>
          <w:p w14:paraId="422A2AAD" w14:textId="0EC37BC5" w:rsidR="00DE6824" w:rsidRPr="00374007" w:rsidRDefault="00DE6824" w:rsidP="00374007">
            <w:pPr>
              <w:rPr>
                <w:b/>
                <w:bCs/>
                <w:u w:val="single"/>
              </w:rPr>
            </w:pPr>
            <w:r w:rsidRPr="00374007">
              <w:t>The Scheme’s investment managers are both signatories to the United Nations Principles for Responsible Investment</w:t>
            </w:r>
            <w:r>
              <w:t xml:space="preserve"> (“UNPRI”)</w:t>
            </w:r>
            <w:r w:rsidRPr="00374007">
              <w:t xml:space="preserve">. </w:t>
            </w:r>
            <w:r>
              <w:t>Newton and LGIM have both been rated A+ by the UNPRI.</w:t>
            </w:r>
          </w:p>
          <w:p w14:paraId="6855D3B7" w14:textId="343D04A8" w:rsidR="009A7FC0" w:rsidRDefault="00DE6824" w:rsidP="007F6AF2">
            <w:pPr>
              <w:spacing w:after="120"/>
            </w:pPr>
            <w:r>
              <w:t xml:space="preserve">The Trustees have reviewed the voting activity of the Scheme’s investment managers in section 4 of this statement </w:t>
            </w:r>
            <w:r w:rsidR="00223088">
              <w:t>and are generally happy with the actions the investment managers have taken.</w:t>
            </w:r>
          </w:p>
          <w:p w14:paraId="3B0AB0A6" w14:textId="3B4BDC79" w:rsidR="00223088" w:rsidRPr="005D116A" w:rsidRDefault="00223088" w:rsidP="007F6AF2">
            <w:pPr>
              <w:spacing w:after="120"/>
            </w:pPr>
          </w:p>
        </w:tc>
      </w:tr>
      <w:tr w:rsidR="009A7FC0" w:rsidRPr="00626AEE" w14:paraId="12A74149" w14:textId="77777777" w:rsidTr="00DB3A7A">
        <w:trPr>
          <w:cnfStyle w:val="000000100000" w:firstRow="0" w:lastRow="0" w:firstColumn="0" w:lastColumn="0" w:oddVBand="0" w:evenVBand="0" w:oddHBand="1" w:evenHBand="0" w:firstRowFirstColumn="0" w:firstRowLastColumn="0" w:lastRowFirstColumn="0" w:lastRowLastColumn="0"/>
        </w:trPr>
        <w:tc>
          <w:tcPr>
            <w:tcW w:w="14879" w:type="dxa"/>
            <w:gridSpan w:val="2"/>
          </w:tcPr>
          <w:p w14:paraId="0FBE4D46" w14:textId="6D1D02B5" w:rsidR="009A7FC0" w:rsidRPr="005D116A" w:rsidRDefault="009A7FC0" w:rsidP="009A7FC0">
            <w:r w:rsidRPr="005D116A">
              <w:rPr>
                <w:b/>
                <w:bCs/>
              </w:rPr>
              <w:t>3. Risk management</w:t>
            </w:r>
          </w:p>
        </w:tc>
      </w:tr>
      <w:tr w:rsidR="009A7FC0" w:rsidRPr="00626AEE" w14:paraId="0535AB99" w14:textId="77777777" w:rsidTr="00FA66DB">
        <w:trPr>
          <w:cnfStyle w:val="000000010000" w:firstRow="0" w:lastRow="0" w:firstColumn="0" w:lastColumn="0" w:oddVBand="0" w:evenVBand="0" w:oddHBand="0" w:evenHBand="1" w:firstRowFirstColumn="0" w:firstRowLastColumn="0" w:lastRowFirstColumn="0" w:lastRowLastColumn="0"/>
        </w:trPr>
        <w:tc>
          <w:tcPr>
            <w:tcW w:w="7508" w:type="dxa"/>
            <w:vAlign w:val="top"/>
          </w:tcPr>
          <w:p w14:paraId="319512A8" w14:textId="23E86704" w:rsidR="009A7FC0" w:rsidRDefault="00FA66DB" w:rsidP="00FA66DB">
            <w:r w:rsidRPr="005D116A">
              <w:lastRenderedPageBreak/>
              <w:t>The Trustees have identified a range of risks within the SIP and seek to minimise them by regularly monitoring the investment funds.</w:t>
            </w:r>
            <w:r w:rsidR="00223088">
              <w:t xml:space="preserve"> These risks include:</w:t>
            </w:r>
          </w:p>
          <w:p w14:paraId="1EEBD25B" w14:textId="4A219EF5" w:rsidR="00223088" w:rsidRDefault="00223088" w:rsidP="00223088">
            <w:pPr>
              <w:pStyle w:val="ListParagraph"/>
              <w:numPr>
                <w:ilvl w:val="0"/>
                <w:numId w:val="36"/>
              </w:numPr>
            </w:pPr>
            <w:r>
              <w:t>Asset allocation risk</w:t>
            </w:r>
          </w:p>
          <w:p w14:paraId="06DC0276" w14:textId="4B8FFCBE" w:rsidR="00223088" w:rsidRDefault="00223088" w:rsidP="00223088">
            <w:pPr>
              <w:pStyle w:val="ListParagraph"/>
              <w:numPr>
                <w:ilvl w:val="0"/>
                <w:numId w:val="36"/>
              </w:numPr>
            </w:pPr>
            <w:r>
              <w:t>Investment manager risk</w:t>
            </w:r>
          </w:p>
          <w:p w14:paraId="6DDFE681" w14:textId="6B9F0329" w:rsidR="00223088" w:rsidRDefault="00223088" w:rsidP="00223088">
            <w:pPr>
              <w:pStyle w:val="ListParagraph"/>
              <w:numPr>
                <w:ilvl w:val="0"/>
                <w:numId w:val="36"/>
              </w:numPr>
            </w:pPr>
            <w:r>
              <w:t>Concentration/market risk</w:t>
            </w:r>
          </w:p>
          <w:p w14:paraId="4E492911" w14:textId="69CEB57A" w:rsidR="00223088" w:rsidRDefault="00223088" w:rsidP="00223088">
            <w:pPr>
              <w:pStyle w:val="ListParagraph"/>
              <w:numPr>
                <w:ilvl w:val="0"/>
                <w:numId w:val="36"/>
              </w:numPr>
            </w:pPr>
            <w:r>
              <w:t>Liquidity risk</w:t>
            </w:r>
          </w:p>
          <w:p w14:paraId="3A14E927" w14:textId="61D3ED8F" w:rsidR="00223088" w:rsidRDefault="00223088" w:rsidP="00223088">
            <w:pPr>
              <w:pStyle w:val="ListParagraph"/>
              <w:numPr>
                <w:ilvl w:val="0"/>
                <w:numId w:val="36"/>
              </w:numPr>
            </w:pPr>
            <w:r>
              <w:t>Currency risk</w:t>
            </w:r>
          </w:p>
          <w:p w14:paraId="1A4D5F84" w14:textId="3D295BE8" w:rsidR="00223088" w:rsidRDefault="00223088" w:rsidP="00223088">
            <w:pPr>
              <w:pStyle w:val="ListParagraph"/>
              <w:numPr>
                <w:ilvl w:val="0"/>
                <w:numId w:val="36"/>
              </w:numPr>
            </w:pPr>
            <w:r>
              <w:t>Loss of investment</w:t>
            </w:r>
          </w:p>
          <w:p w14:paraId="6BDF16FB" w14:textId="76B7A8D9" w:rsidR="00223088" w:rsidRDefault="00223088" w:rsidP="00223088">
            <w:pPr>
              <w:pStyle w:val="ListParagraph"/>
              <w:numPr>
                <w:ilvl w:val="0"/>
                <w:numId w:val="36"/>
              </w:numPr>
            </w:pPr>
            <w:r>
              <w:t>Inflation risk</w:t>
            </w:r>
          </w:p>
          <w:p w14:paraId="7ED5774D" w14:textId="526353C9" w:rsidR="00223088" w:rsidRDefault="00223088" w:rsidP="00223088">
            <w:pPr>
              <w:pStyle w:val="ListParagraph"/>
              <w:numPr>
                <w:ilvl w:val="0"/>
                <w:numId w:val="36"/>
              </w:numPr>
            </w:pPr>
            <w:r>
              <w:t>Conversion risk</w:t>
            </w:r>
          </w:p>
          <w:p w14:paraId="479236C9" w14:textId="193F3AE9" w:rsidR="00223088" w:rsidRDefault="00223088" w:rsidP="00374007">
            <w:pPr>
              <w:pStyle w:val="ListParagraph"/>
              <w:numPr>
                <w:ilvl w:val="0"/>
                <w:numId w:val="36"/>
              </w:numPr>
            </w:pPr>
            <w:r>
              <w:t>Retirement income risk</w:t>
            </w:r>
          </w:p>
          <w:p w14:paraId="3B680C65" w14:textId="4426C051" w:rsidR="00FE4661" w:rsidRPr="005D116A" w:rsidRDefault="00FE4661" w:rsidP="00FE4661"/>
        </w:tc>
        <w:tc>
          <w:tcPr>
            <w:tcW w:w="7371" w:type="dxa"/>
            <w:vAlign w:val="top"/>
          </w:tcPr>
          <w:p w14:paraId="21B0583C" w14:textId="7D28117C" w:rsidR="00FE4661" w:rsidRPr="005D116A" w:rsidRDefault="00223088" w:rsidP="00FE4661">
            <w:pPr>
              <w:spacing w:after="120"/>
            </w:pPr>
            <w:r w:rsidRPr="00374007">
              <w:t xml:space="preserve">The Trustees have not encountered any liquidity issues (inability to redeem assets when they have needed to). </w:t>
            </w:r>
          </w:p>
        </w:tc>
      </w:tr>
    </w:tbl>
    <w:p w14:paraId="37405366" w14:textId="526C6DA8" w:rsidR="00735A44" w:rsidRPr="00626AEE" w:rsidRDefault="00735A44" w:rsidP="00735A44">
      <w:pPr>
        <w:sectPr w:rsidR="00735A44" w:rsidRPr="00626AEE" w:rsidSect="00E9296D">
          <w:pgSz w:w="16838" w:h="11906" w:orient="landscape"/>
          <w:pgMar w:top="1304" w:right="849" w:bottom="567" w:left="1304" w:header="709" w:footer="615" w:gutter="0"/>
          <w:cols w:space="708"/>
          <w:docGrid w:linePitch="360"/>
        </w:sectPr>
      </w:pPr>
    </w:p>
    <w:p w14:paraId="2F032C25" w14:textId="79601430" w:rsidR="006F25F5" w:rsidRDefault="00884D11" w:rsidP="00315B06">
      <w:pPr>
        <w:pStyle w:val="Heading2"/>
      </w:pPr>
      <w:r w:rsidRPr="00626AEE">
        <w:rPr>
          <w:noProof/>
        </w:rPr>
        <w:lastRenderedPageBreak/>
        <w:drawing>
          <wp:anchor distT="0" distB="0" distL="114300" distR="114300" simplePos="0" relativeHeight="251672576" behindDoc="0" locked="0" layoutInCell="0" allowOverlap="1" wp14:anchorId="64BB10C7" wp14:editId="6F20A525">
            <wp:simplePos x="0" y="0"/>
            <wp:positionH relativeFrom="column">
              <wp:posOffset>2627630</wp:posOffset>
            </wp:positionH>
            <wp:positionV relativeFrom="paragraph">
              <wp:posOffset>-6252609</wp:posOffset>
            </wp:positionV>
            <wp:extent cx="7559675" cy="1371600"/>
            <wp:effectExtent l="0" t="0" r="0" b="0"/>
            <wp:wrapNone/>
            <wp:docPr id="15" name="QALetterheadContinuation6"/>
            <wp:cNvGraphicFramePr/>
            <a:graphic xmlns:a="http://schemas.openxmlformats.org/drawingml/2006/main">
              <a:graphicData uri="http://schemas.openxmlformats.org/drawingml/2006/picture">
                <pic:pic xmlns:pic="http://schemas.openxmlformats.org/drawingml/2006/picture">
                  <pic:nvPicPr>
                    <pic:cNvPr id="10" name="QALetterheadContinuation6"/>
                    <pic:cNvPicPr/>
                  </pic:nvPicPr>
                  <pic:blipFill>
                    <a:blip r:link="rId14"/>
                    <a:stretch>
                      <a:fillRect/>
                    </a:stretch>
                  </pic:blipFill>
                  <pic:spPr>
                    <a:xfrm>
                      <a:off x="0" y="0"/>
                      <a:ext cx="7559675" cy="1371600"/>
                    </a:xfrm>
                    <a:prstGeom prst="rect">
                      <a:avLst/>
                    </a:prstGeom>
                  </pic:spPr>
                </pic:pic>
              </a:graphicData>
            </a:graphic>
            <wp14:sizeRelH relativeFrom="margin">
              <wp14:pctWidth>0</wp14:pctWidth>
            </wp14:sizeRelH>
            <wp14:sizeRelV relativeFrom="margin">
              <wp14:pctHeight>0</wp14:pctHeight>
            </wp14:sizeRelV>
          </wp:anchor>
        </w:drawing>
      </w:r>
      <w:r w:rsidR="00957F46" w:rsidRPr="00626AEE">
        <w:t xml:space="preserve">Appendix 1 </w:t>
      </w:r>
      <w:r w:rsidR="00D46D48" w:rsidRPr="00626AEE">
        <w:t xml:space="preserve">– </w:t>
      </w:r>
      <w:r w:rsidR="006F25F5">
        <w:t>investment manager voting policies and procedures</w:t>
      </w:r>
    </w:p>
    <w:p w14:paraId="1B522A89" w14:textId="77777777" w:rsidR="006F25F5" w:rsidRPr="005D116A" w:rsidRDefault="006F25F5" w:rsidP="006F25F5">
      <w:pPr>
        <w:pStyle w:val="Heading3"/>
      </w:pPr>
      <w:r w:rsidRPr="005D116A">
        <w:t>LGIM voting policies and process</w:t>
      </w:r>
    </w:p>
    <w:p w14:paraId="5A7D8861" w14:textId="51EE36A3" w:rsidR="006F25F5" w:rsidRPr="008D5A5E" w:rsidRDefault="006F25F5">
      <w:r w:rsidRPr="008D5A5E">
        <w:t>LGIM’s Investment Stewardship team make all voting decisions, in accordance with LGIM’s Corporate Governance &amp; Responsible Investment and Conflicts of Interest policy documents.</w:t>
      </w:r>
    </w:p>
    <w:p w14:paraId="1CE5E89A" w14:textId="77777777" w:rsidR="006F25F5" w:rsidRPr="008D5A5E" w:rsidRDefault="006F25F5" w:rsidP="006F25F5">
      <w:r w:rsidRPr="008D5A5E">
        <w:t>LGIM’s Investment Stewardship team uses ISS’s ‘</w:t>
      </w:r>
      <w:proofErr w:type="spellStart"/>
      <w:r w:rsidRPr="008D5A5E">
        <w:t>ProxyExchange</w:t>
      </w:r>
      <w:proofErr w:type="spellEnd"/>
      <w:r w:rsidRPr="008D5A5E">
        <w:t xml:space="preserve">’ electronic voting platform to electronically vote clients’ shares. All voting decisions are made by LGIM and strategic decisions are not outsourced. The use of ISS recommendations is purely to augment LGIM’s own research and proprietary ESG assessment tools. The Investment Stewardship team also uses the research reports of Institutional Voting Information Services (“IVIS”) to supplement the research reports that are received from ISS for UK companies when making specific voting decisions. </w:t>
      </w:r>
    </w:p>
    <w:p w14:paraId="540E1DAD" w14:textId="51670CCE" w:rsidR="0084786F" w:rsidRDefault="006F25F5" w:rsidP="000540FD">
      <w:r w:rsidRPr="008D5A5E">
        <w:t>To ensure the proxy provider votes in accordance with LGIM’s position on ESG, LGIM have put in place a custom voting policy with specific instructions. These instructions apply to all markets globally and seek to uphold what LGIM consider are minimum best practice standards which LGIM believe all companies globally should observe, irrespective of local regulation or practice. LGIM retain the ability in all markets to override any voting decisions, which are based on their custom voting policy. This may happen where engagement with a specific company has provided additional information that allows LGIM to apply a qualitative overlay to their voting judgement. LGIM have monitoring controls to ensure their votes are fully and effectively executed in accordance with their voting policies by the</w:t>
      </w:r>
      <w:r w:rsidR="000354B5" w:rsidRPr="008D5A5E">
        <w:t xml:space="preserve"> service</w:t>
      </w:r>
      <w:r w:rsidRPr="008D5A5E">
        <w:t xml:space="preserve"> provider.</w:t>
      </w:r>
    </w:p>
    <w:p w14:paraId="79631CD7" w14:textId="77777777" w:rsidR="0084786F" w:rsidRDefault="0084786F" w:rsidP="000540FD"/>
    <w:p w14:paraId="3C95463F" w14:textId="3ED18E63" w:rsidR="0084786F" w:rsidRPr="000D01E6" w:rsidRDefault="0084786F" w:rsidP="0084786F">
      <w:pPr>
        <w:pStyle w:val="Heading3"/>
      </w:pPr>
      <w:r w:rsidRPr="000D01E6">
        <w:t>BNY Mellon</w:t>
      </w:r>
      <w:r w:rsidR="00E12922">
        <w:t xml:space="preserve"> (“Newton”)’s</w:t>
      </w:r>
      <w:r w:rsidRPr="000D01E6">
        <w:t xml:space="preserve"> voting policies and process</w:t>
      </w:r>
      <w:r>
        <w:t>es</w:t>
      </w:r>
    </w:p>
    <w:p w14:paraId="45B4B4E8" w14:textId="77777777" w:rsidR="0084786F" w:rsidRDefault="0084786F" w:rsidP="0084786F">
      <w:r>
        <w:t xml:space="preserve">Newton’s head of responsible investment (“RI”) is responsible for the decision-making process of the RI team when reviewing meeting resolutions for contentious issues. They do not maintain a strict proxy voting policy. Instead, Newton prefer to take into account a company's individual circumstances, their investment rationale and any engagement activities together with relevant governing laws, guidelines and best practices. Contentious issues may be referred to the appropriate industry analyst for comment and, where relevant, they may confer with the company or other interested parties for further clarification or to reach a compromise or to achieve a commitment from the company. </w:t>
      </w:r>
    </w:p>
    <w:p w14:paraId="408CEFD7" w14:textId="77777777" w:rsidR="0084786F" w:rsidRDefault="0084786F" w:rsidP="0084786F">
      <w:r>
        <w:t>Voting decisions are approved by either the deputy chief investment officer or a senior investment team member (such as the head of global research). For the avoidance of doubt, all voting decisions are made by Newton. It is only in the event of a material potential conflict of interest between Newton, the investee company and/or a client that the recommendations of the voting service used (ISS) will take precedence. It is also only in these circumstances when they may register an abstention given their stance of either voting in favour or against any proposed resolutions.</w:t>
      </w:r>
    </w:p>
    <w:p w14:paraId="79D9D07C" w14:textId="77777777" w:rsidR="0084786F" w:rsidRDefault="0084786F" w:rsidP="0084786F">
      <w:r>
        <w:t xml:space="preserve">Newton employ a variety of research providers that aid in the vote decision-making process, including proxy advisors such as ISS. They utilise ISS for the purpose of administering proxy voting, as well as its research reports on individual company meetings. </w:t>
      </w:r>
    </w:p>
    <w:p w14:paraId="09CA5139" w14:textId="5112A9EF" w:rsidR="0084786F" w:rsidRDefault="0084786F" w:rsidP="000540FD">
      <w:pPr>
        <w:sectPr w:rsidR="0084786F" w:rsidSect="002A320F">
          <w:pgSz w:w="11906" w:h="16838"/>
          <w:pgMar w:top="1560" w:right="1276" w:bottom="1304" w:left="1304" w:header="709" w:footer="612" w:gutter="0"/>
          <w:cols w:space="708"/>
          <w:docGrid w:linePitch="360"/>
        </w:sectPr>
      </w:pPr>
    </w:p>
    <w:p w14:paraId="0E02A24F" w14:textId="77777777" w:rsidR="0044649E" w:rsidRDefault="0044649E" w:rsidP="0044649E">
      <w:pPr>
        <w:pStyle w:val="Heading2"/>
      </w:pPr>
      <w:r>
        <w:lastRenderedPageBreak/>
        <w:t xml:space="preserve">Appendix 2 – </w:t>
      </w:r>
      <w:r w:rsidRPr="00626AEE">
        <w:t>Most significant votes</w:t>
      </w:r>
    </w:p>
    <w:p w14:paraId="53ED7BE7" w14:textId="0B25BC68" w:rsidR="00C9156C" w:rsidRDefault="0044649E" w:rsidP="000540FD">
      <w:r w:rsidRPr="005D116A">
        <w:t>The table</w:t>
      </w:r>
      <w:r>
        <w:t>s</w:t>
      </w:r>
      <w:r w:rsidRPr="005D116A">
        <w:t xml:space="preserve"> below set</w:t>
      </w:r>
      <w:r>
        <w:t xml:space="preserve"> </w:t>
      </w:r>
      <w:r w:rsidR="000540FD" w:rsidRPr="005D116A">
        <w:t xml:space="preserve">out </w:t>
      </w:r>
      <w:r w:rsidR="000540FD">
        <w:t>a cross section of significant votes undertaken by the</w:t>
      </w:r>
      <w:r w:rsidR="00C376AB">
        <w:t xml:space="preserve"> </w:t>
      </w:r>
      <w:r w:rsidR="000540FD">
        <w:t>investment managers o</w:t>
      </w:r>
      <w:r w:rsidR="00C376AB">
        <w:t>f</w:t>
      </w:r>
      <w:r w:rsidR="000540FD">
        <w:t xml:space="preserve"> the funds held by the Scheme. Information on further significant votes undertaken by the Scheme’s investment managers </w:t>
      </w:r>
      <w:r w:rsidR="00C9156C">
        <w:t>has been reviewed by the Trustees.</w:t>
      </w:r>
      <w:r w:rsidR="00C376AB">
        <w:t xml:space="preserve"> </w:t>
      </w:r>
    </w:p>
    <w:p w14:paraId="3E98A4A8" w14:textId="1F90FD3C" w:rsidR="000540FD" w:rsidRPr="000540FD" w:rsidRDefault="003A4193" w:rsidP="000540FD">
      <w:pPr>
        <w:pStyle w:val="Heading3"/>
      </w:pPr>
      <w:r w:rsidRPr="003A4193">
        <w:t>LGIM Japan Equity Index Fund</w:t>
      </w:r>
    </w:p>
    <w:tbl>
      <w:tblPr>
        <w:tblStyle w:val="QuantumBasicTable"/>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45"/>
        <w:gridCol w:w="3246"/>
      </w:tblGrid>
      <w:tr w:rsidR="003A4193" w14:paraId="7A031734" w14:textId="77777777" w:rsidTr="001E401F">
        <w:trPr>
          <w:cnfStyle w:val="100000000000" w:firstRow="1" w:lastRow="0" w:firstColumn="0" w:lastColumn="0" w:oddVBand="0" w:evenVBand="0" w:oddHBand="0" w:evenHBand="0" w:firstRowFirstColumn="0" w:firstRowLastColumn="0" w:lastRowFirstColumn="0" w:lastRowLastColumn="0"/>
          <w:trHeight w:val="220"/>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C5D511" w14:textId="77777777" w:rsidR="003A4193" w:rsidRDefault="003A4193" w:rsidP="003A4193">
            <w:r>
              <w:t>Company Name</w:t>
            </w:r>
          </w:p>
        </w:tc>
        <w:tc>
          <w:tcPr>
            <w:tcW w:w="324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138BD481" w14:textId="37D4055E" w:rsidR="003A4193" w:rsidRDefault="003A4193" w:rsidP="003A4193">
            <w:r w:rsidRPr="00FB79E3">
              <w:t>Olympus Corporation</w:t>
            </w:r>
          </w:p>
        </w:tc>
        <w:tc>
          <w:tcPr>
            <w:tcW w:w="324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6641EEB" w14:textId="3243F6D3" w:rsidR="003A4193" w:rsidRDefault="003A4193" w:rsidP="003A4193">
            <w:r w:rsidRPr="002E2887">
              <w:t>Fast Retailing Co. Limited.</w:t>
            </w:r>
          </w:p>
        </w:tc>
      </w:tr>
      <w:tr w:rsidR="003A4193" w14:paraId="031D20A5" w14:textId="77777777" w:rsidTr="001E401F">
        <w:trPr>
          <w:trHeight w:val="214"/>
        </w:trPr>
        <w:tc>
          <w:tcPr>
            <w:tcW w:w="2689" w:type="dxa"/>
            <w:shd w:val="clear" w:color="auto" w:fill="F2F6F2"/>
          </w:tcPr>
          <w:p w14:paraId="639E0D37" w14:textId="77777777" w:rsidR="003A4193" w:rsidRPr="00723773" w:rsidRDefault="003A4193" w:rsidP="003A4193">
            <w:pPr>
              <w:rPr>
                <w:b/>
              </w:rPr>
            </w:pPr>
            <w:r w:rsidRPr="00723773">
              <w:rPr>
                <w:b/>
              </w:rPr>
              <w:t>Date of Vote</w:t>
            </w:r>
          </w:p>
        </w:tc>
        <w:tc>
          <w:tcPr>
            <w:tcW w:w="3245" w:type="dxa"/>
            <w:shd w:val="clear" w:color="auto" w:fill="F2F6F2"/>
            <w:vAlign w:val="top"/>
          </w:tcPr>
          <w:p w14:paraId="416DE367" w14:textId="69FD09A7" w:rsidR="003A4193" w:rsidRDefault="00E12922" w:rsidP="003A4193">
            <w:r>
              <w:t>July 2020</w:t>
            </w:r>
          </w:p>
        </w:tc>
        <w:tc>
          <w:tcPr>
            <w:tcW w:w="3246" w:type="dxa"/>
            <w:shd w:val="clear" w:color="auto" w:fill="F2F6F2"/>
            <w:vAlign w:val="top"/>
          </w:tcPr>
          <w:p w14:paraId="2FB9B9E4" w14:textId="2B68358B" w:rsidR="003A4193" w:rsidRDefault="00E12922" w:rsidP="003A4193">
            <w:r>
              <w:t>November 2020</w:t>
            </w:r>
          </w:p>
        </w:tc>
      </w:tr>
      <w:tr w:rsidR="00FB6D33" w14:paraId="5DDDAB5B" w14:textId="77777777" w:rsidTr="00425760">
        <w:trPr>
          <w:trHeight w:val="220"/>
        </w:trPr>
        <w:tc>
          <w:tcPr>
            <w:tcW w:w="2689" w:type="dxa"/>
            <w:shd w:val="clear" w:color="auto" w:fill="E8EEE8"/>
          </w:tcPr>
          <w:p w14:paraId="0F7A11FE" w14:textId="77777777" w:rsidR="00FB6D33" w:rsidRPr="00723773" w:rsidRDefault="00FB6D33" w:rsidP="00425760">
            <w:pPr>
              <w:rPr>
                <w:b/>
              </w:rPr>
            </w:pPr>
            <w:r w:rsidRPr="00723773">
              <w:rPr>
                <w:b/>
              </w:rPr>
              <w:t>Summary of the resolution</w:t>
            </w:r>
          </w:p>
        </w:tc>
        <w:tc>
          <w:tcPr>
            <w:tcW w:w="3245" w:type="dxa"/>
            <w:shd w:val="clear" w:color="auto" w:fill="E8EEE8"/>
          </w:tcPr>
          <w:p w14:paraId="5910EBA8" w14:textId="57DAE239" w:rsidR="00FB6D33" w:rsidRDefault="00E12922" w:rsidP="00425760">
            <w:r>
              <w:t>Governance proposal</w:t>
            </w:r>
          </w:p>
        </w:tc>
        <w:tc>
          <w:tcPr>
            <w:tcW w:w="3246" w:type="dxa"/>
            <w:shd w:val="clear" w:color="auto" w:fill="E8EEE8"/>
          </w:tcPr>
          <w:p w14:paraId="792D6737" w14:textId="03257E8D" w:rsidR="00FB6D33" w:rsidRDefault="00E12922" w:rsidP="00425760">
            <w:r>
              <w:t>Governance proposal</w:t>
            </w:r>
          </w:p>
        </w:tc>
      </w:tr>
      <w:tr w:rsidR="00FB6D33" w14:paraId="56F5BCC5" w14:textId="77777777" w:rsidTr="00425760">
        <w:trPr>
          <w:trHeight w:val="214"/>
        </w:trPr>
        <w:tc>
          <w:tcPr>
            <w:tcW w:w="2689" w:type="dxa"/>
            <w:shd w:val="clear" w:color="auto" w:fill="F2F6F2"/>
          </w:tcPr>
          <w:p w14:paraId="1C039E00" w14:textId="77777777" w:rsidR="00FB6D33" w:rsidRPr="00723773" w:rsidRDefault="00FB6D33" w:rsidP="00425760">
            <w:pPr>
              <w:rPr>
                <w:b/>
              </w:rPr>
            </w:pPr>
            <w:r w:rsidRPr="00723773">
              <w:rPr>
                <w:b/>
              </w:rPr>
              <w:t>How the firm voted</w:t>
            </w:r>
          </w:p>
        </w:tc>
        <w:tc>
          <w:tcPr>
            <w:tcW w:w="3245" w:type="dxa"/>
            <w:shd w:val="clear" w:color="auto" w:fill="F2F6F2"/>
          </w:tcPr>
          <w:p w14:paraId="51D1149B" w14:textId="2AC68CE3" w:rsidR="00FB6D33" w:rsidRDefault="003A4193" w:rsidP="00425760">
            <w:r>
              <w:t>Against</w:t>
            </w:r>
            <w:r w:rsidR="00E12922">
              <w:t xml:space="preserve"> the proposal</w:t>
            </w:r>
          </w:p>
        </w:tc>
        <w:tc>
          <w:tcPr>
            <w:tcW w:w="3246" w:type="dxa"/>
            <w:shd w:val="clear" w:color="auto" w:fill="F2F6F2"/>
          </w:tcPr>
          <w:p w14:paraId="5D105766" w14:textId="02B50BD2" w:rsidR="00FB6D33" w:rsidRDefault="00324E81" w:rsidP="00425760">
            <w:r>
              <w:t>Against</w:t>
            </w:r>
            <w:r w:rsidR="00E12922">
              <w:t xml:space="preserve"> the proposal</w:t>
            </w:r>
          </w:p>
        </w:tc>
      </w:tr>
      <w:tr w:rsidR="00FB6D33" w14:paraId="420EDB1F" w14:textId="77777777" w:rsidTr="00425760">
        <w:trPr>
          <w:trHeight w:val="447"/>
        </w:trPr>
        <w:tc>
          <w:tcPr>
            <w:tcW w:w="2689" w:type="dxa"/>
            <w:shd w:val="clear" w:color="auto" w:fill="E8EEE8"/>
          </w:tcPr>
          <w:p w14:paraId="2C57ADCE" w14:textId="77777777" w:rsidR="00FB6D33" w:rsidRPr="00723773" w:rsidRDefault="00FB6D33" w:rsidP="00425760">
            <w:pPr>
              <w:rPr>
                <w:b/>
              </w:rPr>
            </w:pPr>
            <w:r w:rsidRPr="00723773">
              <w:rPr>
                <w:b/>
              </w:rPr>
              <w:t>On which criteria has the vote been deemed as ‘significant?</w:t>
            </w:r>
          </w:p>
        </w:tc>
        <w:tc>
          <w:tcPr>
            <w:tcW w:w="3245" w:type="dxa"/>
            <w:shd w:val="clear" w:color="auto" w:fill="E8EEE8"/>
          </w:tcPr>
          <w:p w14:paraId="3AB38251" w14:textId="1EF2E4DA" w:rsidR="00FB6D33" w:rsidRDefault="00276703" w:rsidP="00425760">
            <w:r w:rsidRPr="00276703">
              <w:t>This vote is deemed significant as LGIM considers it imperative that the boards of Japanese companies increase their diversity.</w:t>
            </w:r>
          </w:p>
        </w:tc>
        <w:tc>
          <w:tcPr>
            <w:tcW w:w="3246" w:type="dxa"/>
            <w:shd w:val="clear" w:color="auto" w:fill="E8EEE8"/>
          </w:tcPr>
          <w:p w14:paraId="139B2609" w14:textId="3FD26569" w:rsidR="00FB6D33" w:rsidRDefault="00276703" w:rsidP="00425760">
            <w:r w:rsidRPr="00276703">
              <w:t>This vote is deemed significant as LGIM considers it imperative that the boards of Japanese companies increase their diversity.</w:t>
            </w:r>
          </w:p>
        </w:tc>
      </w:tr>
      <w:tr w:rsidR="00FB6D33" w14:paraId="48FBF27A" w14:textId="77777777" w:rsidTr="00425760">
        <w:trPr>
          <w:trHeight w:val="447"/>
        </w:trPr>
        <w:tc>
          <w:tcPr>
            <w:tcW w:w="2689" w:type="dxa"/>
            <w:shd w:val="clear" w:color="auto" w:fill="F2F6F2"/>
          </w:tcPr>
          <w:p w14:paraId="4EF90269" w14:textId="77777777" w:rsidR="00FB6D33" w:rsidRPr="00723773" w:rsidRDefault="00FB6D33" w:rsidP="00425760">
            <w:pPr>
              <w:rPr>
                <w:b/>
              </w:rPr>
            </w:pPr>
            <w:r>
              <w:rPr>
                <w:b/>
                <w:szCs w:val="22"/>
              </w:rPr>
              <w:t>Outcome of the vote</w:t>
            </w:r>
          </w:p>
        </w:tc>
        <w:tc>
          <w:tcPr>
            <w:tcW w:w="3245" w:type="dxa"/>
            <w:shd w:val="clear" w:color="auto" w:fill="F2F6F2"/>
          </w:tcPr>
          <w:p w14:paraId="41DE614B" w14:textId="232644CD" w:rsidR="00FB6D33" w:rsidRDefault="00BC7A68" w:rsidP="00425760">
            <w:r>
              <w:t>The vote passed</w:t>
            </w:r>
          </w:p>
        </w:tc>
        <w:tc>
          <w:tcPr>
            <w:tcW w:w="3246" w:type="dxa"/>
            <w:shd w:val="clear" w:color="auto" w:fill="F2F6F2"/>
          </w:tcPr>
          <w:p w14:paraId="0B474A59" w14:textId="0E2A2B57" w:rsidR="00FB6D33" w:rsidRDefault="00BC7A68" w:rsidP="00425760">
            <w:r>
              <w:t>The vote passed</w:t>
            </w:r>
          </w:p>
        </w:tc>
      </w:tr>
    </w:tbl>
    <w:p w14:paraId="04920A5D" w14:textId="346E0BE7" w:rsidR="00FB6D33" w:rsidRDefault="00FB6D33" w:rsidP="00FB6D33">
      <w:pPr>
        <w:rPr>
          <w:sz w:val="16"/>
        </w:rPr>
      </w:pPr>
      <w:r w:rsidRPr="005D116A">
        <w:t xml:space="preserve"> </w:t>
      </w:r>
      <w:r w:rsidRPr="000540FD">
        <w:rPr>
          <w:sz w:val="16"/>
        </w:rPr>
        <w:t>Source: Investment Manager</w:t>
      </w:r>
      <w:r>
        <w:rPr>
          <w:sz w:val="16"/>
        </w:rPr>
        <w:t>. Please note, information on the outcomes of the votes are unavailable.</w:t>
      </w:r>
    </w:p>
    <w:p w14:paraId="4D8F7F03" w14:textId="77777777" w:rsidR="00FB6D33" w:rsidRPr="00FB6D33" w:rsidRDefault="00FB6D33" w:rsidP="00FB6D33"/>
    <w:p w14:paraId="6C93E927" w14:textId="5CD297B0" w:rsidR="000540FD" w:rsidRPr="000540FD" w:rsidRDefault="00276703" w:rsidP="000540FD">
      <w:pPr>
        <w:pStyle w:val="Heading3"/>
      </w:pPr>
      <w:r w:rsidRPr="00276703">
        <w:t>LGIM North American Equity Index Fund</w:t>
      </w:r>
    </w:p>
    <w:tbl>
      <w:tblPr>
        <w:tblStyle w:val="QuantumBasicTable"/>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38"/>
        <w:gridCol w:w="3238"/>
      </w:tblGrid>
      <w:tr w:rsidR="00276703" w14:paraId="6F159969" w14:textId="77777777" w:rsidTr="001E401F">
        <w:trPr>
          <w:cnfStyle w:val="100000000000" w:firstRow="1" w:lastRow="0" w:firstColumn="0" w:lastColumn="0" w:oddVBand="0" w:evenVBand="0" w:oddHBand="0" w:evenHBand="0" w:firstRowFirstColumn="0" w:firstRowLastColumn="0" w:lastRowFirstColumn="0" w:lastRowLastColumn="0"/>
          <w:trHeight w:val="349"/>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647C7A" w14:textId="77777777" w:rsidR="00276703" w:rsidRPr="00C376AB" w:rsidRDefault="00276703" w:rsidP="00276703">
            <w:pPr>
              <w:rPr>
                <w:szCs w:val="22"/>
              </w:rPr>
            </w:pPr>
            <w:r w:rsidRPr="00C376AB">
              <w:rPr>
                <w:szCs w:val="22"/>
              </w:rPr>
              <w:t>Company Name</w:t>
            </w:r>
          </w:p>
        </w:tc>
        <w:tc>
          <w:tcPr>
            <w:tcW w:w="323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707F8D0" w14:textId="385AB6F7" w:rsidR="00276703" w:rsidRPr="00C376AB" w:rsidRDefault="00276703" w:rsidP="00276703">
            <w:pPr>
              <w:rPr>
                <w:szCs w:val="22"/>
              </w:rPr>
            </w:pPr>
            <w:r w:rsidRPr="00BB7FEB">
              <w:t>Medtronic plc</w:t>
            </w:r>
          </w:p>
        </w:tc>
        <w:tc>
          <w:tcPr>
            <w:tcW w:w="323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7E108A5" w14:textId="4A5AA552" w:rsidR="00276703" w:rsidRPr="00C376AB" w:rsidRDefault="00276703" w:rsidP="00276703">
            <w:pPr>
              <w:rPr>
                <w:szCs w:val="22"/>
              </w:rPr>
            </w:pPr>
            <w:r w:rsidRPr="009805C7">
              <w:t>The Procter &amp; Gamble Company (P&amp;G)</w:t>
            </w:r>
          </w:p>
        </w:tc>
      </w:tr>
      <w:tr w:rsidR="00276703" w14:paraId="11CEB785" w14:textId="77777777" w:rsidTr="001E401F">
        <w:trPr>
          <w:trHeight w:val="338"/>
        </w:trPr>
        <w:tc>
          <w:tcPr>
            <w:tcW w:w="2689" w:type="dxa"/>
            <w:shd w:val="clear" w:color="auto" w:fill="F2F6F2"/>
          </w:tcPr>
          <w:p w14:paraId="2AAB5638" w14:textId="77777777" w:rsidR="00276703" w:rsidRPr="00C376AB" w:rsidRDefault="00276703" w:rsidP="00276703">
            <w:pPr>
              <w:rPr>
                <w:b/>
                <w:szCs w:val="22"/>
              </w:rPr>
            </w:pPr>
            <w:r w:rsidRPr="00C376AB">
              <w:rPr>
                <w:b/>
                <w:szCs w:val="22"/>
              </w:rPr>
              <w:t>Date of Vote</w:t>
            </w:r>
          </w:p>
        </w:tc>
        <w:tc>
          <w:tcPr>
            <w:tcW w:w="3238" w:type="dxa"/>
            <w:shd w:val="clear" w:color="auto" w:fill="F2F6F2"/>
            <w:vAlign w:val="top"/>
          </w:tcPr>
          <w:p w14:paraId="0A176C9A" w14:textId="02CD6B4C" w:rsidR="00276703" w:rsidRPr="00E12922" w:rsidRDefault="00E12922" w:rsidP="00276703">
            <w:pPr>
              <w:rPr>
                <w:szCs w:val="22"/>
              </w:rPr>
            </w:pPr>
            <w:r>
              <w:t>December 2020</w:t>
            </w:r>
          </w:p>
        </w:tc>
        <w:tc>
          <w:tcPr>
            <w:tcW w:w="3238" w:type="dxa"/>
            <w:shd w:val="clear" w:color="auto" w:fill="F2F6F2"/>
            <w:vAlign w:val="top"/>
          </w:tcPr>
          <w:p w14:paraId="3FAE03A5" w14:textId="1D99E90D" w:rsidR="00276703" w:rsidRPr="00E12922" w:rsidRDefault="00E12922" w:rsidP="00276703">
            <w:pPr>
              <w:rPr>
                <w:szCs w:val="22"/>
              </w:rPr>
            </w:pPr>
            <w:r>
              <w:t>October 2020</w:t>
            </w:r>
          </w:p>
        </w:tc>
      </w:tr>
      <w:tr w:rsidR="000540FD" w14:paraId="349338DC" w14:textId="77777777" w:rsidTr="003F023D">
        <w:trPr>
          <w:trHeight w:val="349"/>
        </w:trPr>
        <w:tc>
          <w:tcPr>
            <w:tcW w:w="2689" w:type="dxa"/>
            <w:shd w:val="clear" w:color="auto" w:fill="E8EEE8"/>
          </w:tcPr>
          <w:p w14:paraId="42633658" w14:textId="77777777" w:rsidR="000540FD" w:rsidRPr="00C376AB" w:rsidRDefault="000540FD" w:rsidP="00F16770">
            <w:pPr>
              <w:rPr>
                <w:b/>
                <w:szCs w:val="22"/>
              </w:rPr>
            </w:pPr>
            <w:r w:rsidRPr="00C376AB">
              <w:rPr>
                <w:b/>
                <w:szCs w:val="22"/>
              </w:rPr>
              <w:t>Summary of the resolution</w:t>
            </w:r>
          </w:p>
        </w:tc>
        <w:tc>
          <w:tcPr>
            <w:tcW w:w="3238" w:type="dxa"/>
            <w:shd w:val="clear" w:color="auto" w:fill="E8EEE8"/>
          </w:tcPr>
          <w:p w14:paraId="73289D51" w14:textId="348E522C" w:rsidR="000540FD" w:rsidRPr="00C376AB" w:rsidRDefault="00E12922" w:rsidP="00F16770">
            <w:pPr>
              <w:rPr>
                <w:szCs w:val="22"/>
              </w:rPr>
            </w:pPr>
            <w:r>
              <w:rPr>
                <w:szCs w:val="22"/>
              </w:rPr>
              <w:t>Renumeration proposal</w:t>
            </w:r>
            <w:r w:rsidR="00276703" w:rsidRPr="00276703">
              <w:rPr>
                <w:szCs w:val="22"/>
              </w:rPr>
              <w:t>.</w:t>
            </w:r>
          </w:p>
        </w:tc>
        <w:tc>
          <w:tcPr>
            <w:tcW w:w="3238" w:type="dxa"/>
            <w:shd w:val="clear" w:color="auto" w:fill="E8EEE8"/>
          </w:tcPr>
          <w:p w14:paraId="782813F9" w14:textId="52F3202D" w:rsidR="000540FD" w:rsidRPr="00C376AB" w:rsidRDefault="00E12922" w:rsidP="00F16770">
            <w:pPr>
              <w:rPr>
                <w:szCs w:val="22"/>
              </w:rPr>
            </w:pPr>
            <w:r>
              <w:rPr>
                <w:szCs w:val="22"/>
              </w:rPr>
              <w:t>Climate proposal</w:t>
            </w:r>
          </w:p>
        </w:tc>
      </w:tr>
      <w:tr w:rsidR="000540FD" w14:paraId="56E384C7" w14:textId="77777777" w:rsidTr="003F023D">
        <w:trPr>
          <w:trHeight w:val="338"/>
        </w:trPr>
        <w:tc>
          <w:tcPr>
            <w:tcW w:w="2689" w:type="dxa"/>
            <w:shd w:val="clear" w:color="auto" w:fill="F2F6F2"/>
          </w:tcPr>
          <w:p w14:paraId="0EF91E13" w14:textId="77777777" w:rsidR="000540FD" w:rsidRPr="00C376AB" w:rsidRDefault="000540FD" w:rsidP="00F16770">
            <w:pPr>
              <w:rPr>
                <w:b/>
                <w:szCs w:val="22"/>
              </w:rPr>
            </w:pPr>
            <w:r w:rsidRPr="00C376AB">
              <w:rPr>
                <w:b/>
                <w:szCs w:val="22"/>
              </w:rPr>
              <w:t>How the firm voted</w:t>
            </w:r>
          </w:p>
        </w:tc>
        <w:tc>
          <w:tcPr>
            <w:tcW w:w="3238" w:type="dxa"/>
            <w:shd w:val="clear" w:color="auto" w:fill="F2F6F2"/>
          </w:tcPr>
          <w:p w14:paraId="060383B1" w14:textId="053458F8" w:rsidR="00276703" w:rsidRPr="00C376AB" w:rsidRDefault="00276703" w:rsidP="00F16770">
            <w:pPr>
              <w:rPr>
                <w:szCs w:val="22"/>
              </w:rPr>
            </w:pPr>
            <w:r>
              <w:rPr>
                <w:szCs w:val="22"/>
              </w:rPr>
              <w:t>Against</w:t>
            </w:r>
            <w:r w:rsidR="00E12922">
              <w:rPr>
                <w:szCs w:val="22"/>
              </w:rPr>
              <w:t xml:space="preserve"> the proposal</w:t>
            </w:r>
          </w:p>
        </w:tc>
        <w:tc>
          <w:tcPr>
            <w:tcW w:w="3238" w:type="dxa"/>
            <w:shd w:val="clear" w:color="auto" w:fill="F2F6F2"/>
          </w:tcPr>
          <w:p w14:paraId="4FDFC709" w14:textId="72F95819" w:rsidR="000540FD" w:rsidRPr="00C376AB" w:rsidRDefault="00276703" w:rsidP="00F16770">
            <w:pPr>
              <w:rPr>
                <w:szCs w:val="22"/>
              </w:rPr>
            </w:pPr>
            <w:r>
              <w:rPr>
                <w:szCs w:val="22"/>
              </w:rPr>
              <w:t>For</w:t>
            </w:r>
            <w:r w:rsidR="00E12922">
              <w:rPr>
                <w:szCs w:val="22"/>
              </w:rPr>
              <w:t xml:space="preserve"> the proposal</w:t>
            </w:r>
          </w:p>
        </w:tc>
      </w:tr>
      <w:tr w:rsidR="000540FD" w14:paraId="573C2737" w14:textId="77777777" w:rsidTr="003F023D">
        <w:trPr>
          <w:trHeight w:val="1078"/>
        </w:trPr>
        <w:tc>
          <w:tcPr>
            <w:tcW w:w="2689" w:type="dxa"/>
            <w:shd w:val="clear" w:color="auto" w:fill="E8EEE8"/>
          </w:tcPr>
          <w:p w14:paraId="71699E55" w14:textId="77777777" w:rsidR="000540FD" w:rsidRPr="00C376AB" w:rsidRDefault="000540FD" w:rsidP="00F16770">
            <w:pPr>
              <w:rPr>
                <w:b/>
                <w:szCs w:val="22"/>
              </w:rPr>
            </w:pPr>
            <w:r w:rsidRPr="00C376AB">
              <w:rPr>
                <w:b/>
                <w:szCs w:val="22"/>
              </w:rPr>
              <w:t>On which criteria has the vote been deemed as ‘significant?</w:t>
            </w:r>
          </w:p>
        </w:tc>
        <w:tc>
          <w:tcPr>
            <w:tcW w:w="3238" w:type="dxa"/>
            <w:shd w:val="clear" w:color="auto" w:fill="E8EEE8"/>
          </w:tcPr>
          <w:p w14:paraId="7BEC0D20" w14:textId="249F32A0" w:rsidR="000540FD" w:rsidRPr="00C376AB" w:rsidRDefault="00276703" w:rsidP="00F16770">
            <w:pPr>
              <w:rPr>
                <w:szCs w:val="22"/>
              </w:rPr>
            </w:pPr>
            <w:r>
              <w:rPr>
                <w:szCs w:val="22"/>
              </w:rPr>
              <w:t>LGIM</w:t>
            </w:r>
            <w:r w:rsidRPr="00276703">
              <w:rPr>
                <w:szCs w:val="22"/>
              </w:rPr>
              <w:t xml:space="preserve"> believe it is contrary to best practice in general and pay principles in particular to award one-off awards, especially if they are to compensate for a forgone payment.</w:t>
            </w:r>
          </w:p>
        </w:tc>
        <w:tc>
          <w:tcPr>
            <w:tcW w:w="3238" w:type="dxa"/>
            <w:shd w:val="clear" w:color="auto" w:fill="E8EEE8"/>
          </w:tcPr>
          <w:p w14:paraId="29C07458" w14:textId="54262F0B" w:rsidR="000540FD" w:rsidRPr="00C376AB" w:rsidRDefault="00276703" w:rsidP="00F16770">
            <w:pPr>
              <w:rPr>
                <w:szCs w:val="22"/>
              </w:rPr>
            </w:pPr>
            <w:r w:rsidRPr="00276703">
              <w:rPr>
                <w:szCs w:val="22"/>
              </w:rPr>
              <w:t xml:space="preserve">It is </w:t>
            </w:r>
            <w:r w:rsidR="00E12922">
              <w:rPr>
                <w:szCs w:val="22"/>
              </w:rPr>
              <w:t>aligned with</w:t>
            </w:r>
            <w:r w:rsidRPr="00276703">
              <w:rPr>
                <w:szCs w:val="22"/>
              </w:rPr>
              <w:t xml:space="preserve"> LGIM's five-year strategy to tackle climate change and attracted a great deal of client interest.</w:t>
            </w:r>
          </w:p>
        </w:tc>
      </w:tr>
      <w:tr w:rsidR="00495790" w14:paraId="742E24C9" w14:textId="77777777" w:rsidTr="00495790">
        <w:trPr>
          <w:trHeight w:val="555"/>
        </w:trPr>
        <w:tc>
          <w:tcPr>
            <w:tcW w:w="2689" w:type="dxa"/>
            <w:shd w:val="clear" w:color="auto" w:fill="F2F6F2"/>
          </w:tcPr>
          <w:p w14:paraId="08DDC231" w14:textId="7B648971" w:rsidR="00495790" w:rsidRPr="00C376AB" w:rsidRDefault="00495790" w:rsidP="00F16770">
            <w:pPr>
              <w:rPr>
                <w:b/>
                <w:szCs w:val="22"/>
              </w:rPr>
            </w:pPr>
            <w:r>
              <w:rPr>
                <w:b/>
                <w:szCs w:val="22"/>
              </w:rPr>
              <w:t>Outcome of the vote</w:t>
            </w:r>
          </w:p>
        </w:tc>
        <w:tc>
          <w:tcPr>
            <w:tcW w:w="3238" w:type="dxa"/>
            <w:shd w:val="clear" w:color="auto" w:fill="F2F6F2"/>
          </w:tcPr>
          <w:p w14:paraId="3E6F7E4F" w14:textId="0EFBA846" w:rsidR="00495790" w:rsidRPr="00C376AB" w:rsidRDefault="00276703" w:rsidP="00F16770">
            <w:pPr>
              <w:rPr>
                <w:szCs w:val="22"/>
              </w:rPr>
            </w:pPr>
            <w:r>
              <w:rPr>
                <w:szCs w:val="22"/>
              </w:rPr>
              <w:t>The vote passed</w:t>
            </w:r>
          </w:p>
        </w:tc>
        <w:tc>
          <w:tcPr>
            <w:tcW w:w="3238" w:type="dxa"/>
            <w:shd w:val="clear" w:color="auto" w:fill="F2F6F2"/>
          </w:tcPr>
          <w:p w14:paraId="564D727E" w14:textId="696D356C" w:rsidR="00495790" w:rsidRPr="00C376AB" w:rsidRDefault="00276703" w:rsidP="00F16770">
            <w:pPr>
              <w:rPr>
                <w:szCs w:val="22"/>
              </w:rPr>
            </w:pPr>
            <w:r>
              <w:rPr>
                <w:szCs w:val="22"/>
              </w:rPr>
              <w:t>The vote passed</w:t>
            </w:r>
          </w:p>
        </w:tc>
      </w:tr>
    </w:tbl>
    <w:p w14:paraId="39B93B41" w14:textId="3F17D583" w:rsidR="000540FD" w:rsidRDefault="000540FD" w:rsidP="000540FD">
      <w:pPr>
        <w:rPr>
          <w:sz w:val="16"/>
        </w:rPr>
      </w:pPr>
      <w:r w:rsidRPr="005D116A">
        <w:t xml:space="preserve"> </w:t>
      </w:r>
      <w:r w:rsidRPr="000540FD">
        <w:rPr>
          <w:sz w:val="16"/>
        </w:rPr>
        <w:t>Source: Investment Manager</w:t>
      </w:r>
    </w:p>
    <w:p w14:paraId="495D0603" w14:textId="488B729C" w:rsidR="00FF343F" w:rsidRDefault="00FF343F" w:rsidP="000540FD">
      <w:pPr>
        <w:pStyle w:val="Heading3"/>
      </w:pPr>
    </w:p>
    <w:p w14:paraId="28B893A7" w14:textId="77777777" w:rsidR="00B475C2" w:rsidRPr="00B475C2" w:rsidRDefault="00B475C2" w:rsidP="00B475C2"/>
    <w:p w14:paraId="3CA7DAAC" w14:textId="58D6F40A" w:rsidR="000540FD" w:rsidRPr="000540FD" w:rsidRDefault="00D95276" w:rsidP="000540FD">
      <w:pPr>
        <w:pStyle w:val="Heading3"/>
      </w:pPr>
      <w:r w:rsidRPr="00D95276">
        <w:lastRenderedPageBreak/>
        <w:t>LGIM European (ex UK) Equity Fund</w:t>
      </w:r>
    </w:p>
    <w:tbl>
      <w:tblPr>
        <w:tblStyle w:val="QuantumBasicTable"/>
        <w:tblW w:w="5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45"/>
      </w:tblGrid>
      <w:tr w:rsidR="00D95276" w14:paraId="04896A4E" w14:textId="77777777" w:rsidTr="001E401F">
        <w:trPr>
          <w:cnfStyle w:val="100000000000" w:firstRow="1" w:lastRow="0" w:firstColumn="0" w:lastColumn="0" w:oddVBand="0" w:evenVBand="0" w:oddHBand="0" w:evenHBand="0" w:firstRowFirstColumn="0" w:firstRowLastColumn="0" w:lastRowFirstColumn="0" w:lastRowLastColumn="0"/>
          <w:trHeight w:val="220"/>
        </w:trPr>
        <w:tc>
          <w:tcPr>
            <w:tcW w:w="2689" w:type="dxa"/>
          </w:tcPr>
          <w:p w14:paraId="0E7CBEC5" w14:textId="77777777" w:rsidR="00D95276" w:rsidRDefault="00D95276" w:rsidP="00D95276">
            <w:r>
              <w:t>Company Name</w:t>
            </w:r>
          </w:p>
        </w:tc>
        <w:tc>
          <w:tcPr>
            <w:tcW w:w="3245" w:type="dxa"/>
            <w:vAlign w:val="top"/>
          </w:tcPr>
          <w:p w14:paraId="62AF4D94" w14:textId="01ABB638" w:rsidR="00D95276" w:rsidRDefault="00D95276" w:rsidP="00D95276">
            <w:proofErr w:type="spellStart"/>
            <w:r w:rsidRPr="00B857A0">
              <w:t>Lagardere</w:t>
            </w:r>
            <w:proofErr w:type="spellEnd"/>
          </w:p>
        </w:tc>
      </w:tr>
      <w:tr w:rsidR="00D95276" w14:paraId="7FE60E7C" w14:textId="77777777" w:rsidTr="001E401F">
        <w:trPr>
          <w:trHeight w:val="214"/>
        </w:trPr>
        <w:tc>
          <w:tcPr>
            <w:tcW w:w="2689" w:type="dxa"/>
            <w:shd w:val="clear" w:color="auto" w:fill="F2F6F2"/>
          </w:tcPr>
          <w:p w14:paraId="26BFD63A" w14:textId="77777777" w:rsidR="00D95276" w:rsidRPr="00723773" w:rsidRDefault="00D95276" w:rsidP="00D95276">
            <w:pPr>
              <w:rPr>
                <w:b/>
              </w:rPr>
            </w:pPr>
            <w:r w:rsidRPr="00723773">
              <w:rPr>
                <w:b/>
              </w:rPr>
              <w:t>Date of Vote</w:t>
            </w:r>
          </w:p>
        </w:tc>
        <w:tc>
          <w:tcPr>
            <w:tcW w:w="3245" w:type="dxa"/>
            <w:shd w:val="clear" w:color="auto" w:fill="F2F6F2"/>
            <w:vAlign w:val="top"/>
          </w:tcPr>
          <w:p w14:paraId="288A4923" w14:textId="57E7AAE3" w:rsidR="00D95276" w:rsidRDefault="00BC7A68" w:rsidP="00D95276">
            <w:r>
              <w:t>May 2020</w:t>
            </w:r>
          </w:p>
        </w:tc>
      </w:tr>
      <w:tr w:rsidR="00D95276" w14:paraId="6923215A" w14:textId="77777777" w:rsidTr="00D95276">
        <w:trPr>
          <w:trHeight w:val="220"/>
        </w:trPr>
        <w:tc>
          <w:tcPr>
            <w:tcW w:w="2689" w:type="dxa"/>
            <w:shd w:val="clear" w:color="auto" w:fill="E8EEE8"/>
          </w:tcPr>
          <w:p w14:paraId="37C6A0C3" w14:textId="77777777" w:rsidR="00D95276" w:rsidRPr="00723773" w:rsidRDefault="00D95276" w:rsidP="003F023D">
            <w:pPr>
              <w:rPr>
                <w:b/>
              </w:rPr>
            </w:pPr>
            <w:r w:rsidRPr="00723773">
              <w:rPr>
                <w:b/>
              </w:rPr>
              <w:t>Summary of the resolution</w:t>
            </w:r>
          </w:p>
        </w:tc>
        <w:tc>
          <w:tcPr>
            <w:tcW w:w="3245" w:type="dxa"/>
            <w:shd w:val="clear" w:color="auto" w:fill="E8EEE8"/>
          </w:tcPr>
          <w:p w14:paraId="5A121A1A" w14:textId="54039BCD" w:rsidR="00D95276" w:rsidRDefault="00BC7A68" w:rsidP="003F023D">
            <w:r>
              <w:t>Governance proposal</w:t>
            </w:r>
          </w:p>
        </w:tc>
      </w:tr>
      <w:tr w:rsidR="00D95276" w14:paraId="0A9728BB" w14:textId="77777777" w:rsidTr="00D95276">
        <w:trPr>
          <w:trHeight w:val="214"/>
        </w:trPr>
        <w:tc>
          <w:tcPr>
            <w:tcW w:w="2689" w:type="dxa"/>
            <w:shd w:val="clear" w:color="auto" w:fill="F2F6F2"/>
          </w:tcPr>
          <w:p w14:paraId="03C3667F" w14:textId="77777777" w:rsidR="00D95276" w:rsidRPr="00723773" w:rsidRDefault="00D95276" w:rsidP="003F023D">
            <w:pPr>
              <w:rPr>
                <w:b/>
              </w:rPr>
            </w:pPr>
            <w:r w:rsidRPr="00723773">
              <w:rPr>
                <w:b/>
              </w:rPr>
              <w:t>How the firm voted</w:t>
            </w:r>
          </w:p>
        </w:tc>
        <w:tc>
          <w:tcPr>
            <w:tcW w:w="3245" w:type="dxa"/>
            <w:shd w:val="clear" w:color="auto" w:fill="F2F6F2"/>
          </w:tcPr>
          <w:p w14:paraId="7A3FBFB8" w14:textId="245E7C78" w:rsidR="00D95276" w:rsidRDefault="00D95276" w:rsidP="003F023D">
            <w:r>
              <w:t>For</w:t>
            </w:r>
            <w:r w:rsidR="00BC7A68">
              <w:t xml:space="preserve"> the shareholder proposals and against the proposals of management</w:t>
            </w:r>
          </w:p>
        </w:tc>
      </w:tr>
      <w:tr w:rsidR="00D95276" w14:paraId="64493321" w14:textId="77777777" w:rsidTr="00D95276">
        <w:trPr>
          <w:trHeight w:val="447"/>
        </w:trPr>
        <w:tc>
          <w:tcPr>
            <w:tcW w:w="2689" w:type="dxa"/>
            <w:shd w:val="clear" w:color="auto" w:fill="E8EEE8"/>
          </w:tcPr>
          <w:p w14:paraId="640238B7" w14:textId="77777777" w:rsidR="00D95276" w:rsidRPr="00723773" w:rsidRDefault="00D95276" w:rsidP="003F023D">
            <w:pPr>
              <w:rPr>
                <w:b/>
              </w:rPr>
            </w:pPr>
            <w:r w:rsidRPr="00723773">
              <w:rPr>
                <w:b/>
              </w:rPr>
              <w:t>On which criteria has the vote been deemed as ‘significant?</w:t>
            </w:r>
          </w:p>
        </w:tc>
        <w:tc>
          <w:tcPr>
            <w:tcW w:w="3245" w:type="dxa"/>
            <w:shd w:val="clear" w:color="auto" w:fill="E8EEE8"/>
          </w:tcPr>
          <w:p w14:paraId="4446B9D1" w14:textId="51655177" w:rsidR="00D95276" w:rsidRDefault="00D95276" w:rsidP="003F023D">
            <w:r w:rsidRPr="00D95276">
              <w:t>LGIM noted significant media and public interest on this vote given the proposed revocation of the company's board.</w:t>
            </w:r>
          </w:p>
        </w:tc>
      </w:tr>
      <w:tr w:rsidR="00D95276" w14:paraId="6D237CFD" w14:textId="77777777" w:rsidTr="00D95276">
        <w:trPr>
          <w:trHeight w:val="447"/>
        </w:trPr>
        <w:tc>
          <w:tcPr>
            <w:tcW w:w="2689" w:type="dxa"/>
            <w:shd w:val="clear" w:color="auto" w:fill="F2F6F2"/>
          </w:tcPr>
          <w:p w14:paraId="1E5269F0" w14:textId="3325CD8F" w:rsidR="00D95276" w:rsidRPr="00723773" w:rsidRDefault="00D95276" w:rsidP="00495790">
            <w:pPr>
              <w:rPr>
                <w:b/>
              </w:rPr>
            </w:pPr>
            <w:r>
              <w:rPr>
                <w:b/>
                <w:szCs w:val="22"/>
              </w:rPr>
              <w:t>Outcome of the vote</w:t>
            </w:r>
          </w:p>
        </w:tc>
        <w:tc>
          <w:tcPr>
            <w:tcW w:w="3245" w:type="dxa"/>
            <w:shd w:val="clear" w:color="auto" w:fill="F2F6F2"/>
          </w:tcPr>
          <w:p w14:paraId="5AB6EF6E" w14:textId="6EFF72E6" w:rsidR="00D95276" w:rsidRDefault="00D95276" w:rsidP="00495790">
            <w:r>
              <w:t>The vote did not pass</w:t>
            </w:r>
          </w:p>
        </w:tc>
      </w:tr>
    </w:tbl>
    <w:p w14:paraId="673B5D9D" w14:textId="77777777" w:rsidR="000540FD" w:rsidRDefault="000540FD" w:rsidP="000540FD">
      <w:pPr>
        <w:rPr>
          <w:sz w:val="16"/>
        </w:rPr>
      </w:pPr>
      <w:r w:rsidRPr="005D116A">
        <w:t xml:space="preserve"> </w:t>
      </w:r>
      <w:r w:rsidRPr="000540FD">
        <w:rPr>
          <w:sz w:val="16"/>
        </w:rPr>
        <w:t>Source: Investment Manager</w:t>
      </w:r>
    </w:p>
    <w:p w14:paraId="4A3B9288" w14:textId="41C1FB09" w:rsidR="00723773" w:rsidRPr="000540FD" w:rsidRDefault="00D95276" w:rsidP="00723773">
      <w:pPr>
        <w:pStyle w:val="Heading3"/>
      </w:pPr>
      <w:r w:rsidRPr="00D95276">
        <w:t>LGIM Asia Pacific (</w:t>
      </w:r>
      <w:proofErr w:type="spellStart"/>
      <w:r w:rsidRPr="00D95276">
        <w:t>ex Japan</w:t>
      </w:r>
      <w:proofErr w:type="spellEnd"/>
      <w:r w:rsidRPr="00D95276">
        <w:t>) Developed Equity Index</w:t>
      </w:r>
    </w:p>
    <w:tbl>
      <w:tblPr>
        <w:tblStyle w:val="QuantumBasicTable"/>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gridCol w:w="3291"/>
      </w:tblGrid>
      <w:tr w:rsidR="004E67EA" w14:paraId="3DC5E220" w14:textId="77777777" w:rsidTr="001E401F">
        <w:trPr>
          <w:cnfStyle w:val="100000000000" w:firstRow="1" w:lastRow="0" w:firstColumn="0" w:lastColumn="0" w:oddVBand="0" w:evenVBand="0" w:oddHBand="0" w:evenHBand="0" w:firstRowFirstColumn="0" w:firstRowLastColumn="0" w:lastRowFirstColumn="0" w:lastRowLastColumn="0"/>
          <w:trHeight w:val="247"/>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7152A8" w14:textId="77777777" w:rsidR="004E67EA" w:rsidRDefault="004E67EA" w:rsidP="004E67EA">
            <w:r>
              <w:t>Company Name</w:t>
            </w:r>
          </w:p>
        </w:tc>
        <w:tc>
          <w:tcPr>
            <w:tcW w:w="326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187CDC69" w14:textId="374D60BE" w:rsidR="004E67EA" w:rsidRDefault="004E67EA" w:rsidP="004E67EA">
            <w:r w:rsidRPr="00835C7E">
              <w:t>Qantas Airways Limited</w:t>
            </w:r>
          </w:p>
        </w:tc>
        <w:tc>
          <w:tcPr>
            <w:tcW w:w="329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92078C5" w14:textId="2E85199D" w:rsidR="004E67EA" w:rsidRDefault="004E67EA" w:rsidP="004E67EA">
            <w:r w:rsidRPr="00835C7E">
              <w:t>Whitehaven Coal</w:t>
            </w:r>
          </w:p>
        </w:tc>
      </w:tr>
      <w:tr w:rsidR="004E67EA" w14:paraId="3C1215AE" w14:textId="77777777" w:rsidTr="001E401F">
        <w:trPr>
          <w:trHeight w:val="240"/>
        </w:trPr>
        <w:tc>
          <w:tcPr>
            <w:tcW w:w="2689" w:type="dxa"/>
            <w:shd w:val="clear" w:color="auto" w:fill="F2F6F2"/>
          </w:tcPr>
          <w:p w14:paraId="6B80C72E" w14:textId="77777777" w:rsidR="004E67EA" w:rsidRPr="00723773" w:rsidRDefault="004E67EA" w:rsidP="004E67EA">
            <w:pPr>
              <w:rPr>
                <w:b/>
              </w:rPr>
            </w:pPr>
            <w:r w:rsidRPr="00723773">
              <w:rPr>
                <w:b/>
              </w:rPr>
              <w:t>Date of Vote</w:t>
            </w:r>
          </w:p>
        </w:tc>
        <w:tc>
          <w:tcPr>
            <w:tcW w:w="3260" w:type="dxa"/>
            <w:shd w:val="clear" w:color="auto" w:fill="F2F6F2"/>
            <w:vAlign w:val="top"/>
          </w:tcPr>
          <w:p w14:paraId="46661C95" w14:textId="297CDB05" w:rsidR="004E67EA" w:rsidRDefault="00BC7A68" w:rsidP="004E67EA">
            <w:r>
              <w:t>October 2020</w:t>
            </w:r>
          </w:p>
        </w:tc>
        <w:tc>
          <w:tcPr>
            <w:tcW w:w="3291" w:type="dxa"/>
            <w:shd w:val="clear" w:color="auto" w:fill="F2F6F2"/>
            <w:vAlign w:val="top"/>
          </w:tcPr>
          <w:p w14:paraId="5663571F" w14:textId="35EB1699" w:rsidR="004E67EA" w:rsidRDefault="00BC7A68" w:rsidP="004E67EA">
            <w:r>
              <w:t>October 2020</w:t>
            </w:r>
          </w:p>
        </w:tc>
      </w:tr>
      <w:tr w:rsidR="004E67EA" w14:paraId="2CCA713B" w14:textId="77777777" w:rsidTr="001E401F">
        <w:trPr>
          <w:trHeight w:val="247"/>
        </w:trPr>
        <w:tc>
          <w:tcPr>
            <w:tcW w:w="2689" w:type="dxa"/>
            <w:shd w:val="clear" w:color="auto" w:fill="E8EEE8"/>
          </w:tcPr>
          <w:p w14:paraId="1CD690C0" w14:textId="77777777" w:rsidR="004E67EA" w:rsidRPr="00723773" w:rsidRDefault="004E67EA" w:rsidP="004E67EA">
            <w:pPr>
              <w:rPr>
                <w:b/>
              </w:rPr>
            </w:pPr>
            <w:r w:rsidRPr="00723773">
              <w:rPr>
                <w:b/>
              </w:rPr>
              <w:t>Summary of the resolution</w:t>
            </w:r>
          </w:p>
        </w:tc>
        <w:tc>
          <w:tcPr>
            <w:tcW w:w="3260" w:type="dxa"/>
            <w:shd w:val="clear" w:color="auto" w:fill="E8EEE8"/>
            <w:vAlign w:val="top"/>
          </w:tcPr>
          <w:p w14:paraId="6E7BD5BC" w14:textId="31F707DD" w:rsidR="004E67EA" w:rsidRDefault="00BC7A68" w:rsidP="004E67EA">
            <w:r>
              <w:t>Renumeration proposal</w:t>
            </w:r>
          </w:p>
        </w:tc>
        <w:tc>
          <w:tcPr>
            <w:tcW w:w="3291" w:type="dxa"/>
            <w:shd w:val="clear" w:color="auto" w:fill="E8EEE8"/>
            <w:vAlign w:val="top"/>
          </w:tcPr>
          <w:p w14:paraId="1FC39226" w14:textId="2243EDD5" w:rsidR="004E67EA" w:rsidRDefault="00BC7A68" w:rsidP="004E67EA">
            <w:r>
              <w:t>Capital protection proposal</w:t>
            </w:r>
          </w:p>
        </w:tc>
      </w:tr>
      <w:tr w:rsidR="00723773" w14:paraId="1DB7DFF2" w14:textId="77777777" w:rsidTr="0085437E">
        <w:trPr>
          <w:trHeight w:val="240"/>
        </w:trPr>
        <w:tc>
          <w:tcPr>
            <w:tcW w:w="2689" w:type="dxa"/>
            <w:shd w:val="clear" w:color="auto" w:fill="F2F6F2"/>
          </w:tcPr>
          <w:p w14:paraId="6D66AB77" w14:textId="77777777" w:rsidR="00723773" w:rsidRPr="00723773" w:rsidRDefault="00723773" w:rsidP="00F16770">
            <w:pPr>
              <w:rPr>
                <w:b/>
              </w:rPr>
            </w:pPr>
            <w:r w:rsidRPr="00723773">
              <w:rPr>
                <w:b/>
              </w:rPr>
              <w:t>How the firm voted</w:t>
            </w:r>
          </w:p>
        </w:tc>
        <w:tc>
          <w:tcPr>
            <w:tcW w:w="3260" w:type="dxa"/>
            <w:shd w:val="clear" w:color="auto" w:fill="F2F6F2"/>
          </w:tcPr>
          <w:p w14:paraId="16CCD591" w14:textId="049A35BD" w:rsidR="00723773" w:rsidRDefault="004E67EA" w:rsidP="00F16770">
            <w:r>
              <w:t>Against</w:t>
            </w:r>
            <w:r w:rsidR="00BC7A68">
              <w:t xml:space="preserve"> the proposal</w:t>
            </w:r>
          </w:p>
        </w:tc>
        <w:tc>
          <w:tcPr>
            <w:tcW w:w="3291" w:type="dxa"/>
            <w:shd w:val="clear" w:color="auto" w:fill="F2F6F2"/>
          </w:tcPr>
          <w:p w14:paraId="4B29CD5A" w14:textId="14AEE3C7" w:rsidR="00723773" w:rsidRDefault="004E67EA" w:rsidP="00F16770">
            <w:r>
              <w:t>For</w:t>
            </w:r>
            <w:r w:rsidR="00BC7A68">
              <w:t xml:space="preserve"> the proposal</w:t>
            </w:r>
          </w:p>
        </w:tc>
      </w:tr>
      <w:tr w:rsidR="00E2594F" w14:paraId="111D1A5C" w14:textId="77777777" w:rsidTr="0085437E">
        <w:trPr>
          <w:trHeight w:val="502"/>
        </w:trPr>
        <w:tc>
          <w:tcPr>
            <w:tcW w:w="2689" w:type="dxa"/>
            <w:shd w:val="clear" w:color="auto" w:fill="E8EEE8"/>
          </w:tcPr>
          <w:p w14:paraId="3217101F" w14:textId="77777777" w:rsidR="00E2594F" w:rsidRPr="00723773" w:rsidRDefault="00E2594F" w:rsidP="00E2594F">
            <w:pPr>
              <w:rPr>
                <w:b/>
              </w:rPr>
            </w:pPr>
            <w:r w:rsidRPr="00723773">
              <w:rPr>
                <w:b/>
              </w:rPr>
              <w:t>On which criteria has the vote been deemed as ‘significant?</w:t>
            </w:r>
          </w:p>
        </w:tc>
        <w:tc>
          <w:tcPr>
            <w:tcW w:w="3260" w:type="dxa"/>
            <w:shd w:val="clear" w:color="auto" w:fill="E8EEE8"/>
          </w:tcPr>
          <w:p w14:paraId="39D23A7F" w14:textId="551CB489" w:rsidR="00E2594F" w:rsidRDefault="004E67EA" w:rsidP="00E2594F">
            <w:r w:rsidRPr="004E67EA">
              <w:t>It highlights the challenges of factoring in the impact of the COVID situation into the executive remuneration package.</w:t>
            </w:r>
          </w:p>
        </w:tc>
        <w:tc>
          <w:tcPr>
            <w:tcW w:w="3291" w:type="dxa"/>
            <w:shd w:val="clear" w:color="auto" w:fill="E8EEE8"/>
          </w:tcPr>
          <w:p w14:paraId="511AEDAE" w14:textId="7F0BE812" w:rsidR="00E2594F" w:rsidRDefault="004E67EA" w:rsidP="00E2594F">
            <w:r w:rsidRPr="004E67EA">
              <w:t>The vote received media scrutiny and is emblematic of a growing wave of green shareholder activism.</w:t>
            </w:r>
          </w:p>
        </w:tc>
      </w:tr>
      <w:tr w:rsidR="00495790" w14:paraId="70353E79" w14:textId="77777777" w:rsidTr="00495790">
        <w:trPr>
          <w:trHeight w:val="502"/>
        </w:trPr>
        <w:tc>
          <w:tcPr>
            <w:tcW w:w="2689" w:type="dxa"/>
            <w:shd w:val="clear" w:color="auto" w:fill="F2F6F2"/>
          </w:tcPr>
          <w:p w14:paraId="095E6D9D" w14:textId="7D348032" w:rsidR="00495790" w:rsidRPr="00723773" w:rsidRDefault="00495790" w:rsidP="00495790">
            <w:pPr>
              <w:rPr>
                <w:b/>
              </w:rPr>
            </w:pPr>
            <w:r>
              <w:rPr>
                <w:b/>
                <w:szCs w:val="22"/>
              </w:rPr>
              <w:t>Outcome of the vote</w:t>
            </w:r>
          </w:p>
        </w:tc>
        <w:tc>
          <w:tcPr>
            <w:tcW w:w="3260" w:type="dxa"/>
            <w:shd w:val="clear" w:color="auto" w:fill="F2F6F2"/>
          </w:tcPr>
          <w:p w14:paraId="069FCD85" w14:textId="75791CE3" w:rsidR="00495790" w:rsidRDefault="004E67EA" w:rsidP="00495790">
            <w:r>
              <w:t>The vote passed</w:t>
            </w:r>
          </w:p>
        </w:tc>
        <w:tc>
          <w:tcPr>
            <w:tcW w:w="3291" w:type="dxa"/>
            <w:shd w:val="clear" w:color="auto" w:fill="F2F6F2"/>
          </w:tcPr>
          <w:p w14:paraId="3B9C249C" w14:textId="011C5D56" w:rsidR="00495790" w:rsidRPr="004E67EA" w:rsidRDefault="004E67EA" w:rsidP="00495790">
            <w:r>
              <w:t xml:space="preserve">The </w:t>
            </w:r>
            <w:r w:rsidR="00B475C2">
              <w:t>v</w:t>
            </w:r>
            <w:r>
              <w:t>ote did not pass</w:t>
            </w:r>
          </w:p>
        </w:tc>
      </w:tr>
    </w:tbl>
    <w:p w14:paraId="1066E486" w14:textId="4D0C03E9" w:rsidR="000540FD" w:rsidRPr="00071E95" w:rsidRDefault="00723773" w:rsidP="000540FD">
      <w:pPr>
        <w:rPr>
          <w:sz w:val="16"/>
        </w:rPr>
      </w:pPr>
      <w:r w:rsidRPr="000540FD">
        <w:rPr>
          <w:sz w:val="16"/>
        </w:rPr>
        <w:t>Source: Investment Manager</w:t>
      </w:r>
    </w:p>
    <w:p w14:paraId="75C2A918" w14:textId="74073DF6" w:rsidR="00723773" w:rsidRPr="000451C7" w:rsidRDefault="00842E25" w:rsidP="00723773">
      <w:pPr>
        <w:pStyle w:val="Heading3"/>
      </w:pPr>
      <w:r>
        <w:t>BNY Mellon</w:t>
      </w:r>
      <w:r w:rsidRPr="00043FB4">
        <w:t xml:space="preserve"> </w:t>
      </w:r>
      <w:r w:rsidR="00043FB4" w:rsidRPr="00043FB4">
        <w:t xml:space="preserve">UK </w:t>
      </w:r>
      <w:r w:rsidR="00BC7A68">
        <w:t>Equity</w:t>
      </w:r>
      <w:r w:rsidR="00BC7A68" w:rsidRPr="00043FB4">
        <w:t xml:space="preserve"> </w:t>
      </w:r>
      <w:r w:rsidR="00043FB4" w:rsidRPr="00043FB4">
        <w:t>Fund</w:t>
      </w:r>
    </w:p>
    <w:tbl>
      <w:tblPr>
        <w:tblStyle w:val="QuantumBasicTable"/>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53"/>
        <w:gridCol w:w="3253"/>
      </w:tblGrid>
      <w:tr w:rsidR="00260069" w:rsidRPr="002B4C75" w14:paraId="6DF12DC4" w14:textId="77777777" w:rsidTr="001E401F">
        <w:trPr>
          <w:cnfStyle w:val="100000000000" w:firstRow="1" w:lastRow="0" w:firstColumn="0" w:lastColumn="0" w:oddVBand="0" w:evenVBand="0" w:oddHBand="0" w:evenHBand="0" w:firstRowFirstColumn="0" w:firstRowLastColumn="0" w:lastRowFirstColumn="0" w:lastRowLastColumn="0"/>
          <w:trHeight w:val="220"/>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6D9D57" w14:textId="77777777" w:rsidR="00260069" w:rsidRPr="002B4C75" w:rsidRDefault="00260069" w:rsidP="001E401F">
            <w:r w:rsidRPr="002B4C75">
              <w:t>Company Name</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2F3A016D" w14:textId="77777777" w:rsidR="00260069" w:rsidRPr="002B4C75" w:rsidRDefault="00260069" w:rsidP="001E401F">
            <w:r w:rsidRPr="008516B6">
              <w:t>AstraZeneca Plc</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5F557EE0" w14:textId="77777777" w:rsidR="00260069" w:rsidRPr="002B4C75" w:rsidRDefault="00260069" w:rsidP="001E401F">
            <w:r w:rsidRPr="001A46BE">
              <w:t>Moneysupermarket.com Group Plc</w:t>
            </w:r>
          </w:p>
        </w:tc>
      </w:tr>
      <w:tr w:rsidR="00260069" w:rsidRPr="002B4C75" w14:paraId="2683EAA1" w14:textId="77777777" w:rsidTr="001E401F">
        <w:trPr>
          <w:trHeight w:val="214"/>
        </w:trPr>
        <w:tc>
          <w:tcPr>
            <w:tcW w:w="2689" w:type="dxa"/>
            <w:shd w:val="clear" w:color="auto" w:fill="F2F6F2"/>
          </w:tcPr>
          <w:p w14:paraId="5875A29A" w14:textId="77777777" w:rsidR="00260069" w:rsidRPr="002B4C75" w:rsidRDefault="00260069" w:rsidP="001E401F">
            <w:pPr>
              <w:rPr>
                <w:b/>
              </w:rPr>
            </w:pPr>
            <w:r w:rsidRPr="002B4C75">
              <w:rPr>
                <w:b/>
              </w:rPr>
              <w:t>Date of Vote</w:t>
            </w:r>
          </w:p>
        </w:tc>
        <w:tc>
          <w:tcPr>
            <w:tcW w:w="3253" w:type="dxa"/>
            <w:shd w:val="clear" w:color="auto" w:fill="F2F6F2"/>
            <w:vAlign w:val="top"/>
          </w:tcPr>
          <w:p w14:paraId="33EBC517" w14:textId="54E0FF13" w:rsidR="00260069" w:rsidRPr="002B4C75" w:rsidRDefault="00BC7A68" w:rsidP="001E401F">
            <w:r>
              <w:t>April 2020</w:t>
            </w:r>
          </w:p>
        </w:tc>
        <w:tc>
          <w:tcPr>
            <w:tcW w:w="3253" w:type="dxa"/>
            <w:shd w:val="clear" w:color="auto" w:fill="F2F6F2"/>
            <w:vAlign w:val="top"/>
          </w:tcPr>
          <w:p w14:paraId="76F4C058" w14:textId="56A66DB8" w:rsidR="00260069" w:rsidRPr="002B4C75" w:rsidRDefault="00BC7A68" w:rsidP="001E401F">
            <w:r>
              <w:t>May 2020</w:t>
            </w:r>
          </w:p>
        </w:tc>
      </w:tr>
      <w:tr w:rsidR="00260069" w:rsidRPr="002B4C75" w14:paraId="7BFB2583" w14:textId="77777777" w:rsidTr="001E401F">
        <w:trPr>
          <w:trHeight w:val="220"/>
        </w:trPr>
        <w:tc>
          <w:tcPr>
            <w:tcW w:w="2689" w:type="dxa"/>
            <w:shd w:val="clear" w:color="auto" w:fill="E8EEE8"/>
          </w:tcPr>
          <w:p w14:paraId="2DCCE34D" w14:textId="77777777" w:rsidR="00260069" w:rsidRPr="002B4C75" w:rsidRDefault="00260069" w:rsidP="001E401F">
            <w:pPr>
              <w:rPr>
                <w:b/>
              </w:rPr>
            </w:pPr>
            <w:r w:rsidRPr="002B4C75">
              <w:rPr>
                <w:b/>
              </w:rPr>
              <w:t>Summary of the resolution</w:t>
            </w:r>
          </w:p>
        </w:tc>
        <w:tc>
          <w:tcPr>
            <w:tcW w:w="3253" w:type="dxa"/>
            <w:shd w:val="clear" w:color="auto" w:fill="E8EEE8"/>
          </w:tcPr>
          <w:p w14:paraId="2838DF62" w14:textId="49CC0250" w:rsidR="00260069" w:rsidRPr="002B4C75" w:rsidRDefault="00BC7A68" w:rsidP="001E401F">
            <w:r>
              <w:t>Renumeration proposal</w:t>
            </w:r>
          </w:p>
        </w:tc>
        <w:tc>
          <w:tcPr>
            <w:tcW w:w="3253" w:type="dxa"/>
            <w:shd w:val="clear" w:color="auto" w:fill="E8EEE8"/>
          </w:tcPr>
          <w:p w14:paraId="28DE8759" w14:textId="2D679933" w:rsidR="00260069" w:rsidRPr="002B4C75" w:rsidRDefault="00BC7A68" w:rsidP="001E401F">
            <w:r>
              <w:t>Renumeration proposal;</w:t>
            </w:r>
          </w:p>
        </w:tc>
      </w:tr>
      <w:tr w:rsidR="00260069" w:rsidRPr="002B4C75" w14:paraId="7B7479BD" w14:textId="77777777" w:rsidTr="001E401F">
        <w:trPr>
          <w:trHeight w:val="214"/>
        </w:trPr>
        <w:tc>
          <w:tcPr>
            <w:tcW w:w="2689" w:type="dxa"/>
            <w:shd w:val="clear" w:color="auto" w:fill="F2F6F2"/>
          </w:tcPr>
          <w:p w14:paraId="6CDB1E07" w14:textId="77777777" w:rsidR="00260069" w:rsidRPr="002B4C75" w:rsidRDefault="00260069" w:rsidP="001E401F">
            <w:pPr>
              <w:rPr>
                <w:b/>
              </w:rPr>
            </w:pPr>
            <w:r w:rsidRPr="002B4C75">
              <w:rPr>
                <w:b/>
              </w:rPr>
              <w:t>How the firm voted</w:t>
            </w:r>
          </w:p>
        </w:tc>
        <w:tc>
          <w:tcPr>
            <w:tcW w:w="3253" w:type="dxa"/>
            <w:shd w:val="clear" w:color="auto" w:fill="F2F6F2"/>
          </w:tcPr>
          <w:p w14:paraId="2D1BF418" w14:textId="220568DC" w:rsidR="00260069" w:rsidRPr="002B4C75" w:rsidRDefault="00260069" w:rsidP="001E401F">
            <w:r>
              <w:t>Against</w:t>
            </w:r>
            <w:r w:rsidR="00BC7A68">
              <w:t xml:space="preserve"> the proposal</w:t>
            </w:r>
          </w:p>
        </w:tc>
        <w:tc>
          <w:tcPr>
            <w:tcW w:w="3253" w:type="dxa"/>
            <w:shd w:val="clear" w:color="auto" w:fill="F2F6F2"/>
          </w:tcPr>
          <w:p w14:paraId="247018CF" w14:textId="2BC5CEF1" w:rsidR="00260069" w:rsidRPr="002B4C75" w:rsidRDefault="00260069" w:rsidP="001E401F">
            <w:r>
              <w:t>Against</w:t>
            </w:r>
            <w:r w:rsidR="00BC7A68">
              <w:t xml:space="preserve"> the proposal</w:t>
            </w:r>
          </w:p>
        </w:tc>
      </w:tr>
      <w:tr w:rsidR="00260069" w:rsidRPr="002B4C75" w14:paraId="78261C79" w14:textId="77777777" w:rsidTr="001E401F">
        <w:trPr>
          <w:trHeight w:val="447"/>
        </w:trPr>
        <w:tc>
          <w:tcPr>
            <w:tcW w:w="2689" w:type="dxa"/>
            <w:shd w:val="clear" w:color="auto" w:fill="E8EEE8"/>
          </w:tcPr>
          <w:p w14:paraId="3E6F3EDF" w14:textId="77777777" w:rsidR="00260069" w:rsidRPr="002B4C75" w:rsidRDefault="00260069" w:rsidP="001E401F">
            <w:pPr>
              <w:rPr>
                <w:b/>
              </w:rPr>
            </w:pPr>
            <w:r w:rsidRPr="002B4C75">
              <w:rPr>
                <w:b/>
              </w:rPr>
              <w:t>On which criteria has the vote been deemed as ‘significant?</w:t>
            </w:r>
          </w:p>
        </w:tc>
        <w:tc>
          <w:tcPr>
            <w:tcW w:w="3253" w:type="dxa"/>
            <w:shd w:val="clear" w:color="auto" w:fill="E8EEE8"/>
          </w:tcPr>
          <w:p w14:paraId="4CCBCA8D" w14:textId="77777777" w:rsidR="00260069" w:rsidRPr="002B4C75" w:rsidRDefault="00260069" w:rsidP="001E401F">
            <w:r w:rsidRPr="00260069">
              <w:t xml:space="preserve">This vote highlights a key area of public interest and recently evolved best practice surrounding pension provisions. It also shows a departure from </w:t>
            </w:r>
            <w:r w:rsidRPr="00260069">
              <w:lastRenderedPageBreak/>
              <w:t>the UK's well established principles-based approach where sufficient explanations are expected.</w:t>
            </w:r>
          </w:p>
        </w:tc>
        <w:tc>
          <w:tcPr>
            <w:tcW w:w="3253" w:type="dxa"/>
            <w:shd w:val="clear" w:color="auto" w:fill="E8EEE8"/>
          </w:tcPr>
          <w:p w14:paraId="41265F62" w14:textId="77777777" w:rsidR="00260069" w:rsidRPr="002B4C75" w:rsidRDefault="00260069" w:rsidP="001E401F">
            <w:r w:rsidRPr="00260069">
              <w:lastRenderedPageBreak/>
              <w:t>This vote highlights a key area of public interest and recently evolved best practice surrounding pension provisions.</w:t>
            </w:r>
          </w:p>
        </w:tc>
      </w:tr>
      <w:tr w:rsidR="00260069" w:rsidRPr="002B4C75" w14:paraId="6F79F710" w14:textId="77777777" w:rsidTr="001E401F">
        <w:trPr>
          <w:trHeight w:val="447"/>
        </w:trPr>
        <w:tc>
          <w:tcPr>
            <w:tcW w:w="2689" w:type="dxa"/>
            <w:shd w:val="clear" w:color="auto" w:fill="F2F6F2"/>
          </w:tcPr>
          <w:p w14:paraId="691F410B" w14:textId="77777777" w:rsidR="00260069" w:rsidRPr="002B4C75" w:rsidRDefault="00260069" w:rsidP="001E401F">
            <w:pPr>
              <w:rPr>
                <w:b/>
              </w:rPr>
            </w:pPr>
            <w:r w:rsidRPr="002B4C75">
              <w:rPr>
                <w:b/>
              </w:rPr>
              <w:t>Outcome of the vote</w:t>
            </w:r>
          </w:p>
        </w:tc>
        <w:tc>
          <w:tcPr>
            <w:tcW w:w="3253" w:type="dxa"/>
            <w:shd w:val="clear" w:color="auto" w:fill="F2F6F2"/>
          </w:tcPr>
          <w:p w14:paraId="6F0F4332" w14:textId="77777777" w:rsidR="00260069" w:rsidRPr="002B4C75" w:rsidRDefault="00260069" w:rsidP="001E401F">
            <w:r>
              <w:t>The vote passed</w:t>
            </w:r>
          </w:p>
        </w:tc>
        <w:tc>
          <w:tcPr>
            <w:tcW w:w="3253" w:type="dxa"/>
            <w:shd w:val="clear" w:color="auto" w:fill="F2F6F2"/>
          </w:tcPr>
          <w:p w14:paraId="3791CD33" w14:textId="77777777" w:rsidR="00260069" w:rsidRPr="002B4C75" w:rsidRDefault="00260069" w:rsidP="001E401F">
            <w:r>
              <w:t>The vote passed</w:t>
            </w:r>
          </w:p>
        </w:tc>
      </w:tr>
    </w:tbl>
    <w:p w14:paraId="65FD0EF3" w14:textId="77777777" w:rsidR="00723773" w:rsidRPr="000451C7" w:rsidRDefault="00723773" w:rsidP="00723773">
      <w:pPr>
        <w:rPr>
          <w:sz w:val="16"/>
        </w:rPr>
      </w:pPr>
      <w:r w:rsidRPr="000451C7">
        <w:t xml:space="preserve"> </w:t>
      </w:r>
      <w:r w:rsidRPr="000451C7">
        <w:rPr>
          <w:sz w:val="16"/>
        </w:rPr>
        <w:t>Source: Investment Manager</w:t>
      </w:r>
    </w:p>
    <w:p w14:paraId="403C76A8" w14:textId="6AA0DDF9" w:rsidR="0044649E" w:rsidRPr="00495790" w:rsidRDefault="0044649E" w:rsidP="00723773">
      <w:pPr>
        <w:pStyle w:val="Heading3"/>
        <w:rPr>
          <w:highlight w:val="yellow"/>
        </w:rPr>
      </w:pPr>
    </w:p>
    <w:p w14:paraId="38709C95" w14:textId="77777777" w:rsidR="0044649E" w:rsidRPr="00495790" w:rsidRDefault="0044649E" w:rsidP="0044649E">
      <w:pPr>
        <w:rPr>
          <w:highlight w:val="yellow"/>
        </w:rPr>
      </w:pPr>
    </w:p>
    <w:p w14:paraId="29EA02E1" w14:textId="7A6CF6E4" w:rsidR="00043FB4" w:rsidRDefault="00842E25" w:rsidP="00043FB4">
      <w:pPr>
        <w:pStyle w:val="Heading3"/>
      </w:pPr>
      <w:r>
        <w:t xml:space="preserve">BNY Mellon </w:t>
      </w:r>
      <w:r w:rsidR="00043FB4">
        <w:t>Multi Asset Global Balanced Fund</w:t>
      </w:r>
    </w:p>
    <w:tbl>
      <w:tblPr>
        <w:tblStyle w:val="QuantumBasicTable"/>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53"/>
        <w:gridCol w:w="3253"/>
      </w:tblGrid>
      <w:tr w:rsidR="001E401F" w:rsidRPr="002B4C75" w14:paraId="5D3E88B2" w14:textId="77777777" w:rsidTr="001E401F">
        <w:trPr>
          <w:cnfStyle w:val="100000000000" w:firstRow="1" w:lastRow="0" w:firstColumn="0" w:lastColumn="0" w:oddVBand="0" w:evenVBand="0" w:oddHBand="0" w:evenHBand="0" w:firstRowFirstColumn="0" w:firstRowLastColumn="0" w:lastRowFirstColumn="0" w:lastRowLastColumn="0"/>
          <w:trHeight w:val="220"/>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CED9AE" w14:textId="77777777" w:rsidR="001E401F" w:rsidRPr="002B4C75" w:rsidRDefault="001E401F" w:rsidP="001E401F">
            <w:r w:rsidRPr="002B4C75">
              <w:t>Company Name</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481E259" w14:textId="47BEF7D9" w:rsidR="001E401F" w:rsidRPr="002B4C75" w:rsidRDefault="001E401F" w:rsidP="001E401F">
            <w:r w:rsidRPr="00D86695">
              <w:t>Microsoft Corporation</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5D526CF" w14:textId="439664B0" w:rsidR="001E401F" w:rsidRPr="002B4C75" w:rsidRDefault="001E401F" w:rsidP="001E401F">
            <w:r w:rsidRPr="00253828">
              <w:t>Mastercard Incorporated</w:t>
            </w:r>
          </w:p>
        </w:tc>
      </w:tr>
      <w:tr w:rsidR="001E401F" w:rsidRPr="002B4C75" w14:paraId="7FA693E5" w14:textId="77777777" w:rsidTr="001E401F">
        <w:trPr>
          <w:trHeight w:val="214"/>
        </w:trPr>
        <w:tc>
          <w:tcPr>
            <w:tcW w:w="2689" w:type="dxa"/>
            <w:shd w:val="clear" w:color="auto" w:fill="F2F6F2"/>
          </w:tcPr>
          <w:p w14:paraId="430F0907" w14:textId="77777777" w:rsidR="001E401F" w:rsidRPr="002B4C75" w:rsidRDefault="001E401F" w:rsidP="001E401F">
            <w:pPr>
              <w:rPr>
                <w:b/>
              </w:rPr>
            </w:pPr>
            <w:r w:rsidRPr="002B4C75">
              <w:rPr>
                <w:b/>
              </w:rPr>
              <w:t>Date of Vote</w:t>
            </w:r>
          </w:p>
        </w:tc>
        <w:tc>
          <w:tcPr>
            <w:tcW w:w="3253" w:type="dxa"/>
            <w:shd w:val="clear" w:color="auto" w:fill="F2F6F2"/>
            <w:vAlign w:val="top"/>
          </w:tcPr>
          <w:p w14:paraId="32DA2EC1" w14:textId="41487FF7" w:rsidR="001E401F" w:rsidRPr="002B4C75" w:rsidRDefault="00BC7A68" w:rsidP="001E401F">
            <w:r>
              <w:t>December 2020</w:t>
            </w:r>
          </w:p>
        </w:tc>
        <w:tc>
          <w:tcPr>
            <w:tcW w:w="3253" w:type="dxa"/>
            <w:shd w:val="clear" w:color="auto" w:fill="F2F6F2"/>
            <w:vAlign w:val="top"/>
          </w:tcPr>
          <w:p w14:paraId="77407A73" w14:textId="1561F961" w:rsidR="001E401F" w:rsidRPr="002B4C75" w:rsidRDefault="00BC7A68" w:rsidP="001E401F">
            <w:r>
              <w:t>June 2020</w:t>
            </w:r>
          </w:p>
        </w:tc>
      </w:tr>
      <w:tr w:rsidR="00043FB4" w:rsidRPr="002B4C75" w14:paraId="1FCFB611" w14:textId="77777777" w:rsidTr="001E401F">
        <w:trPr>
          <w:trHeight w:val="220"/>
        </w:trPr>
        <w:tc>
          <w:tcPr>
            <w:tcW w:w="2689" w:type="dxa"/>
            <w:shd w:val="clear" w:color="auto" w:fill="E8EEE8"/>
          </w:tcPr>
          <w:p w14:paraId="3484BDCA" w14:textId="77777777" w:rsidR="00043FB4" w:rsidRPr="002B4C75" w:rsidRDefault="00043FB4" w:rsidP="001E401F">
            <w:pPr>
              <w:rPr>
                <w:b/>
              </w:rPr>
            </w:pPr>
            <w:r w:rsidRPr="002B4C75">
              <w:rPr>
                <w:b/>
              </w:rPr>
              <w:t>Summary of the resolution</w:t>
            </w:r>
          </w:p>
        </w:tc>
        <w:tc>
          <w:tcPr>
            <w:tcW w:w="3253" w:type="dxa"/>
            <w:shd w:val="clear" w:color="auto" w:fill="E8EEE8"/>
          </w:tcPr>
          <w:p w14:paraId="6371C320" w14:textId="6AA8BF20" w:rsidR="00043FB4" w:rsidRPr="002B4C75" w:rsidRDefault="00BC7A68" w:rsidP="001E401F">
            <w:r>
              <w:t xml:space="preserve"> Governance and renumeration proposals</w:t>
            </w:r>
          </w:p>
        </w:tc>
        <w:tc>
          <w:tcPr>
            <w:tcW w:w="3253" w:type="dxa"/>
            <w:shd w:val="clear" w:color="auto" w:fill="E8EEE8"/>
          </w:tcPr>
          <w:p w14:paraId="1E578D2D" w14:textId="65413AFC" w:rsidR="00043FB4" w:rsidRPr="002B4C75" w:rsidRDefault="00BC7A68" w:rsidP="001E401F">
            <w:r>
              <w:t>Governance and renumeration proposals</w:t>
            </w:r>
          </w:p>
        </w:tc>
      </w:tr>
      <w:tr w:rsidR="00043FB4" w:rsidRPr="002B4C75" w14:paraId="14BABB2F" w14:textId="77777777" w:rsidTr="001E401F">
        <w:trPr>
          <w:trHeight w:val="214"/>
        </w:trPr>
        <w:tc>
          <w:tcPr>
            <w:tcW w:w="2689" w:type="dxa"/>
            <w:shd w:val="clear" w:color="auto" w:fill="F2F6F2"/>
          </w:tcPr>
          <w:p w14:paraId="7E885EEC" w14:textId="77777777" w:rsidR="00043FB4" w:rsidRPr="002B4C75" w:rsidRDefault="00043FB4" w:rsidP="001E401F">
            <w:pPr>
              <w:rPr>
                <w:b/>
              </w:rPr>
            </w:pPr>
            <w:r w:rsidRPr="002B4C75">
              <w:rPr>
                <w:b/>
              </w:rPr>
              <w:t>How the firm voted</w:t>
            </w:r>
          </w:p>
        </w:tc>
        <w:tc>
          <w:tcPr>
            <w:tcW w:w="3253" w:type="dxa"/>
            <w:shd w:val="clear" w:color="auto" w:fill="F2F6F2"/>
          </w:tcPr>
          <w:p w14:paraId="50AE7F24" w14:textId="1D364829" w:rsidR="00043FB4" w:rsidRPr="002B4C75" w:rsidRDefault="001E401F" w:rsidP="001E401F">
            <w:r>
              <w:t>Against</w:t>
            </w:r>
            <w:r w:rsidR="00BC7A68">
              <w:t xml:space="preserve"> the proposals</w:t>
            </w:r>
          </w:p>
        </w:tc>
        <w:tc>
          <w:tcPr>
            <w:tcW w:w="3253" w:type="dxa"/>
            <w:shd w:val="clear" w:color="auto" w:fill="F2F6F2"/>
          </w:tcPr>
          <w:p w14:paraId="51506836" w14:textId="051D7108" w:rsidR="00043FB4" w:rsidRPr="002B4C75" w:rsidRDefault="00DD0350" w:rsidP="001E401F">
            <w:r>
              <w:t>Against</w:t>
            </w:r>
            <w:r w:rsidR="00BC7A68">
              <w:t xml:space="preserve"> the proposals</w:t>
            </w:r>
          </w:p>
        </w:tc>
      </w:tr>
      <w:tr w:rsidR="00043FB4" w:rsidRPr="002B4C75" w14:paraId="26F723B5" w14:textId="77777777" w:rsidTr="001E401F">
        <w:trPr>
          <w:trHeight w:val="447"/>
        </w:trPr>
        <w:tc>
          <w:tcPr>
            <w:tcW w:w="2689" w:type="dxa"/>
            <w:shd w:val="clear" w:color="auto" w:fill="E8EEE8"/>
          </w:tcPr>
          <w:p w14:paraId="5AABAC33" w14:textId="77777777" w:rsidR="00043FB4" w:rsidRPr="002B4C75" w:rsidRDefault="00043FB4" w:rsidP="001E401F">
            <w:pPr>
              <w:rPr>
                <w:b/>
              </w:rPr>
            </w:pPr>
            <w:r w:rsidRPr="002B4C75">
              <w:rPr>
                <w:b/>
              </w:rPr>
              <w:t>On which criteria has the vote been deemed as ‘significant?</w:t>
            </w:r>
          </w:p>
        </w:tc>
        <w:tc>
          <w:tcPr>
            <w:tcW w:w="3253" w:type="dxa"/>
            <w:shd w:val="clear" w:color="auto" w:fill="E8EEE8"/>
          </w:tcPr>
          <w:p w14:paraId="06FA0E3A" w14:textId="5EE4C8B8" w:rsidR="00043FB4" w:rsidRPr="002B4C75" w:rsidRDefault="001E401F" w:rsidP="001E401F">
            <w:r>
              <w:t>T</w:t>
            </w:r>
            <w:r w:rsidRPr="001E401F">
              <w:t>he company is recognised as a leader among its US peers in terms of its approach to corporate governance. It's executive pay structure is also better than most but there exists fundamental improvements that should be made.</w:t>
            </w:r>
          </w:p>
        </w:tc>
        <w:tc>
          <w:tcPr>
            <w:tcW w:w="3253" w:type="dxa"/>
            <w:shd w:val="clear" w:color="auto" w:fill="E8EEE8"/>
          </w:tcPr>
          <w:p w14:paraId="4200778D" w14:textId="63035A4E" w:rsidR="00043FB4" w:rsidRPr="00DD0350" w:rsidRDefault="00DD0350" w:rsidP="001E401F">
            <w:r w:rsidRPr="00DD0350">
              <w:t>The company's approach was a breach of the UK's corporate governance code, including the absence of an explanation justifying the move.</w:t>
            </w:r>
          </w:p>
        </w:tc>
      </w:tr>
      <w:tr w:rsidR="00043FB4" w:rsidRPr="002B4C75" w14:paraId="58F9C45B" w14:textId="77777777" w:rsidTr="001E401F">
        <w:trPr>
          <w:trHeight w:val="447"/>
        </w:trPr>
        <w:tc>
          <w:tcPr>
            <w:tcW w:w="2689" w:type="dxa"/>
            <w:shd w:val="clear" w:color="auto" w:fill="F2F6F2"/>
          </w:tcPr>
          <w:p w14:paraId="7221952B" w14:textId="77777777" w:rsidR="00043FB4" w:rsidRPr="002B4C75" w:rsidRDefault="00043FB4" w:rsidP="001E401F">
            <w:pPr>
              <w:rPr>
                <w:b/>
              </w:rPr>
            </w:pPr>
            <w:r w:rsidRPr="002B4C75">
              <w:rPr>
                <w:b/>
              </w:rPr>
              <w:t>Outcome of the vote</w:t>
            </w:r>
          </w:p>
        </w:tc>
        <w:tc>
          <w:tcPr>
            <w:tcW w:w="3253" w:type="dxa"/>
            <w:shd w:val="clear" w:color="auto" w:fill="F2F6F2"/>
          </w:tcPr>
          <w:p w14:paraId="0D64783A" w14:textId="55860118" w:rsidR="00043FB4" w:rsidRPr="002B4C75" w:rsidRDefault="001E401F" w:rsidP="001E401F">
            <w:r>
              <w:t>The vote</w:t>
            </w:r>
            <w:r w:rsidR="00BC7A68">
              <w:t>s</w:t>
            </w:r>
            <w:r>
              <w:t xml:space="preserve"> passed.</w:t>
            </w:r>
          </w:p>
        </w:tc>
        <w:tc>
          <w:tcPr>
            <w:tcW w:w="3253" w:type="dxa"/>
            <w:shd w:val="clear" w:color="auto" w:fill="F2F6F2"/>
          </w:tcPr>
          <w:p w14:paraId="6265083C" w14:textId="10E4D09C" w:rsidR="00043FB4" w:rsidRPr="002B4C75" w:rsidRDefault="00DD0350" w:rsidP="001E401F">
            <w:r>
              <w:t>The vote</w:t>
            </w:r>
            <w:r w:rsidR="00BC7A68">
              <w:t>s</w:t>
            </w:r>
            <w:r>
              <w:t xml:space="preserve"> passed.</w:t>
            </w:r>
          </w:p>
        </w:tc>
      </w:tr>
    </w:tbl>
    <w:p w14:paraId="33F5ABDC" w14:textId="14408445" w:rsidR="00043FB4" w:rsidRPr="00043FB4" w:rsidRDefault="00260069" w:rsidP="00043FB4">
      <w:r w:rsidRPr="000451C7">
        <w:rPr>
          <w:sz w:val="16"/>
        </w:rPr>
        <w:t>Source: Investment Manager</w:t>
      </w:r>
    </w:p>
    <w:p w14:paraId="117D2BD0" w14:textId="1280C079" w:rsidR="00043FB4" w:rsidRDefault="00842E25" w:rsidP="00043FB4">
      <w:pPr>
        <w:pStyle w:val="Heading3"/>
      </w:pPr>
      <w:r>
        <w:t xml:space="preserve">BNY Mellon </w:t>
      </w:r>
      <w:r w:rsidR="00043FB4">
        <w:t>Continental European Fund</w:t>
      </w:r>
    </w:p>
    <w:tbl>
      <w:tblPr>
        <w:tblStyle w:val="QuantumBasicTable"/>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53"/>
        <w:gridCol w:w="3253"/>
      </w:tblGrid>
      <w:tr w:rsidR="00043FB4" w:rsidRPr="002B4C75" w14:paraId="6DCAC250" w14:textId="77777777" w:rsidTr="001E401F">
        <w:trPr>
          <w:cnfStyle w:val="100000000000" w:firstRow="1" w:lastRow="0" w:firstColumn="0" w:lastColumn="0" w:oddVBand="0" w:evenVBand="0" w:oddHBand="0" w:evenHBand="0" w:firstRowFirstColumn="0" w:firstRowLastColumn="0" w:lastRowFirstColumn="0" w:lastRowLastColumn="0"/>
          <w:trHeight w:val="220"/>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E60E90" w14:textId="77777777" w:rsidR="00043FB4" w:rsidRPr="002B4C75" w:rsidRDefault="00043FB4" w:rsidP="001E401F">
            <w:r w:rsidRPr="002B4C75">
              <w:t>Company Name</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FC9637B" w14:textId="7467DBC9" w:rsidR="00043FB4" w:rsidRPr="002B4C75" w:rsidRDefault="00374007" w:rsidP="001E401F">
            <w:r>
              <w:t>Nestle SA</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FA563A" w14:textId="431B27C0" w:rsidR="00043FB4" w:rsidRPr="002B4C75" w:rsidRDefault="00C747FB" w:rsidP="001E401F">
            <w:r>
              <w:t>Sanofi</w:t>
            </w:r>
          </w:p>
        </w:tc>
      </w:tr>
      <w:tr w:rsidR="00842E25" w:rsidRPr="002B4C75" w14:paraId="589ADF3B" w14:textId="77777777" w:rsidTr="001E401F">
        <w:trPr>
          <w:trHeight w:val="214"/>
        </w:trPr>
        <w:tc>
          <w:tcPr>
            <w:tcW w:w="2689" w:type="dxa"/>
            <w:shd w:val="clear" w:color="auto" w:fill="F2F6F2"/>
          </w:tcPr>
          <w:p w14:paraId="168D6FB3" w14:textId="77777777" w:rsidR="00842E25" w:rsidRPr="002B4C75" w:rsidRDefault="00842E25" w:rsidP="00842E25">
            <w:pPr>
              <w:rPr>
                <w:b/>
              </w:rPr>
            </w:pPr>
            <w:r w:rsidRPr="002B4C75">
              <w:rPr>
                <w:b/>
              </w:rPr>
              <w:t>Date of Vote</w:t>
            </w:r>
          </w:p>
        </w:tc>
        <w:tc>
          <w:tcPr>
            <w:tcW w:w="3253" w:type="dxa"/>
            <w:shd w:val="clear" w:color="auto" w:fill="F2F6F2"/>
          </w:tcPr>
          <w:p w14:paraId="4B02EA96" w14:textId="127F4A0C" w:rsidR="00842E25" w:rsidRPr="002B4C75" w:rsidRDefault="00374007" w:rsidP="00842E25">
            <w:r>
              <w:t>April 2020</w:t>
            </w:r>
          </w:p>
        </w:tc>
        <w:tc>
          <w:tcPr>
            <w:tcW w:w="3253" w:type="dxa"/>
            <w:shd w:val="clear" w:color="auto" w:fill="F2F6F2"/>
          </w:tcPr>
          <w:p w14:paraId="49EE5E0C" w14:textId="6FB51295" w:rsidR="00842E25" w:rsidRPr="002B4C75" w:rsidRDefault="00C747FB" w:rsidP="00842E25">
            <w:r>
              <w:t>April 2020</w:t>
            </w:r>
          </w:p>
        </w:tc>
      </w:tr>
      <w:tr w:rsidR="00842E25" w:rsidRPr="002B4C75" w14:paraId="3A533936" w14:textId="77777777" w:rsidTr="001E401F">
        <w:trPr>
          <w:trHeight w:val="220"/>
        </w:trPr>
        <w:tc>
          <w:tcPr>
            <w:tcW w:w="2689" w:type="dxa"/>
            <w:shd w:val="clear" w:color="auto" w:fill="E8EEE8"/>
          </w:tcPr>
          <w:p w14:paraId="4872B15A" w14:textId="77777777" w:rsidR="00842E25" w:rsidRPr="002B4C75" w:rsidRDefault="00842E25" w:rsidP="00842E25">
            <w:pPr>
              <w:rPr>
                <w:b/>
              </w:rPr>
            </w:pPr>
            <w:r w:rsidRPr="002B4C75">
              <w:rPr>
                <w:b/>
              </w:rPr>
              <w:t>Summary of the resolution</w:t>
            </w:r>
          </w:p>
        </w:tc>
        <w:tc>
          <w:tcPr>
            <w:tcW w:w="3253" w:type="dxa"/>
            <w:shd w:val="clear" w:color="auto" w:fill="E8EEE8"/>
          </w:tcPr>
          <w:p w14:paraId="730A9824" w14:textId="7E4416BF" w:rsidR="00842E25" w:rsidRPr="002B4C75" w:rsidRDefault="00374007" w:rsidP="00842E25">
            <w:r w:rsidRPr="00374007">
              <w:t>Vote to Ratify Ernst &amp; Young AG as Auditors, Vote to Transact Other Business</w:t>
            </w:r>
          </w:p>
        </w:tc>
        <w:tc>
          <w:tcPr>
            <w:tcW w:w="3253" w:type="dxa"/>
            <w:shd w:val="clear" w:color="auto" w:fill="E8EEE8"/>
          </w:tcPr>
          <w:p w14:paraId="787BA419" w14:textId="0016DF03" w:rsidR="00842E25" w:rsidRPr="002B4C75" w:rsidRDefault="00C747FB" w:rsidP="00842E25">
            <w:r w:rsidRPr="00C747FB">
              <w:t>Advisory Vote to Ratify Named Executive Officers' Compensation</w:t>
            </w:r>
          </w:p>
        </w:tc>
      </w:tr>
      <w:tr w:rsidR="00842E25" w:rsidRPr="002B4C75" w14:paraId="2B253817" w14:textId="77777777" w:rsidTr="001E401F">
        <w:trPr>
          <w:trHeight w:val="214"/>
        </w:trPr>
        <w:tc>
          <w:tcPr>
            <w:tcW w:w="2689" w:type="dxa"/>
            <w:shd w:val="clear" w:color="auto" w:fill="F2F6F2"/>
          </w:tcPr>
          <w:p w14:paraId="25C69646" w14:textId="77777777" w:rsidR="00842E25" w:rsidRPr="002B4C75" w:rsidRDefault="00842E25" w:rsidP="00842E25">
            <w:pPr>
              <w:rPr>
                <w:b/>
              </w:rPr>
            </w:pPr>
            <w:r w:rsidRPr="002B4C75">
              <w:rPr>
                <w:b/>
              </w:rPr>
              <w:t>How the firm voted</w:t>
            </w:r>
          </w:p>
        </w:tc>
        <w:tc>
          <w:tcPr>
            <w:tcW w:w="3253" w:type="dxa"/>
            <w:shd w:val="clear" w:color="auto" w:fill="F2F6F2"/>
          </w:tcPr>
          <w:p w14:paraId="4E7FC41C" w14:textId="3005D9B9" w:rsidR="00842E25" w:rsidRPr="002B4C75" w:rsidRDefault="00374007" w:rsidP="00842E25">
            <w:r>
              <w:t>Against</w:t>
            </w:r>
          </w:p>
        </w:tc>
        <w:tc>
          <w:tcPr>
            <w:tcW w:w="3253" w:type="dxa"/>
            <w:shd w:val="clear" w:color="auto" w:fill="F2F6F2"/>
          </w:tcPr>
          <w:p w14:paraId="1693475B" w14:textId="3BA0C034" w:rsidR="00842E25" w:rsidRPr="002B4C75" w:rsidRDefault="00C747FB" w:rsidP="00842E25">
            <w:r>
              <w:t>Against</w:t>
            </w:r>
          </w:p>
        </w:tc>
      </w:tr>
      <w:tr w:rsidR="00842E25" w:rsidRPr="002B4C75" w14:paraId="62E008B0" w14:textId="77777777" w:rsidTr="001E401F">
        <w:trPr>
          <w:trHeight w:val="447"/>
        </w:trPr>
        <w:tc>
          <w:tcPr>
            <w:tcW w:w="2689" w:type="dxa"/>
            <w:shd w:val="clear" w:color="auto" w:fill="E8EEE8"/>
          </w:tcPr>
          <w:p w14:paraId="4DE58F84" w14:textId="77777777" w:rsidR="00842E25" w:rsidRPr="002B4C75" w:rsidRDefault="00842E25" w:rsidP="00842E25">
            <w:pPr>
              <w:rPr>
                <w:b/>
              </w:rPr>
            </w:pPr>
            <w:r w:rsidRPr="002B4C75">
              <w:rPr>
                <w:b/>
              </w:rPr>
              <w:t>On which criteria has the vote been deemed as ‘significant?</w:t>
            </w:r>
          </w:p>
        </w:tc>
        <w:tc>
          <w:tcPr>
            <w:tcW w:w="3253" w:type="dxa"/>
            <w:shd w:val="clear" w:color="auto" w:fill="E8EEE8"/>
          </w:tcPr>
          <w:p w14:paraId="7ABF8787" w14:textId="7552FA36" w:rsidR="00842E25" w:rsidRPr="002B4C75" w:rsidRDefault="00374007" w:rsidP="00842E25">
            <w:r w:rsidRPr="00374007">
              <w:t xml:space="preserve">The continuation in the Swiss market of proposing for approval 'transact other business' highlights a significant insight into the country's fundamental </w:t>
            </w:r>
            <w:r w:rsidRPr="00374007">
              <w:lastRenderedPageBreak/>
              <w:t>approach to protecting the interests of minority investors.</w:t>
            </w:r>
          </w:p>
        </w:tc>
        <w:tc>
          <w:tcPr>
            <w:tcW w:w="3253" w:type="dxa"/>
            <w:shd w:val="clear" w:color="auto" w:fill="E8EEE8"/>
          </w:tcPr>
          <w:p w14:paraId="20BF3850" w14:textId="7575CD83" w:rsidR="00842E25" w:rsidRPr="002B4C75" w:rsidRDefault="00C747FB" w:rsidP="00842E25">
            <w:r w:rsidRPr="00C747FB">
              <w:lastRenderedPageBreak/>
              <w:t>This was considered a significant vote given that few companies receive a majority vote against pay-related resolutions.</w:t>
            </w:r>
          </w:p>
        </w:tc>
      </w:tr>
      <w:tr w:rsidR="00C747FB" w:rsidRPr="002B4C75" w14:paraId="502C7C19" w14:textId="77777777" w:rsidTr="009E697D">
        <w:trPr>
          <w:trHeight w:val="447"/>
        </w:trPr>
        <w:tc>
          <w:tcPr>
            <w:tcW w:w="2689" w:type="dxa"/>
            <w:shd w:val="clear" w:color="auto" w:fill="F2F6F2"/>
          </w:tcPr>
          <w:p w14:paraId="47BA278C" w14:textId="77777777" w:rsidR="00C747FB" w:rsidRPr="002B4C75" w:rsidRDefault="00C747FB" w:rsidP="00C747FB">
            <w:pPr>
              <w:rPr>
                <w:b/>
              </w:rPr>
            </w:pPr>
            <w:r w:rsidRPr="002B4C75">
              <w:rPr>
                <w:b/>
              </w:rPr>
              <w:t>Outcome of the vote</w:t>
            </w:r>
          </w:p>
        </w:tc>
        <w:tc>
          <w:tcPr>
            <w:tcW w:w="3253" w:type="dxa"/>
            <w:shd w:val="clear" w:color="auto" w:fill="F2F6F2"/>
            <w:vAlign w:val="top"/>
          </w:tcPr>
          <w:p w14:paraId="4B8BF702" w14:textId="47D87C96" w:rsidR="00C747FB" w:rsidRPr="002B4C75" w:rsidRDefault="00C747FB" w:rsidP="00C747FB">
            <w:r w:rsidRPr="007A4F38">
              <w:t>58.1% AGAINST</w:t>
            </w:r>
          </w:p>
        </w:tc>
        <w:tc>
          <w:tcPr>
            <w:tcW w:w="3253" w:type="dxa"/>
            <w:shd w:val="clear" w:color="auto" w:fill="F2F6F2"/>
            <w:vAlign w:val="top"/>
          </w:tcPr>
          <w:p w14:paraId="538FD6B3" w14:textId="7403C489" w:rsidR="00C747FB" w:rsidRPr="002B4C75" w:rsidRDefault="00C747FB" w:rsidP="00C747FB">
            <w:r w:rsidRPr="007A4F38">
              <w:t>58.1% AGAINST</w:t>
            </w:r>
          </w:p>
        </w:tc>
      </w:tr>
    </w:tbl>
    <w:p w14:paraId="4C64F9FB" w14:textId="62BEADFA" w:rsidR="00FF343F" w:rsidRPr="00C747FB" w:rsidRDefault="00260069" w:rsidP="00043FB4">
      <w:pPr>
        <w:rPr>
          <w:sz w:val="16"/>
        </w:rPr>
      </w:pPr>
      <w:r w:rsidRPr="000451C7">
        <w:rPr>
          <w:sz w:val="16"/>
        </w:rPr>
        <w:t>Source: Investment Manager</w:t>
      </w:r>
    </w:p>
    <w:p w14:paraId="0A067546" w14:textId="5EEDA7AD" w:rsidR="00043FB4" w:rsidRDefault="00842E25" w:rsidP="00043FB4">
      <w:pPr>
        <w:pStyle w:val="Heading3"/>
      </w:pPr>
      <w:r>
        <w:t xml:space="preserve">BNY Mellon </w:t>
      </w:r>
      <w:r w:rsidR="00043FB4">
        <w:t xml:space="preserve">UK </w:t>
      </w:r>
      <w:r w:rsidR="00BC7A68">
        <w:t xml:space="preserve">Income </w:t>
      </w:r>
      <w:r w:rsidR="00043FB4">
        <w:t>Fund</w:t>
      </w:r>
    </w:p>
    <w:tbl>
      <w:tblPr>
        <w:tblStyle w:val="QuantumBasicTable"/>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53"/>
        <w:gridCol w:w="3253"/>
      </w:tblGrid>
      <w:tr w:rsidR="00043FB4" w:rsidRPr="002B4C75" w14:paraId="18F87B75" w14:textId="77777777" w:rsidTr="001E401F">
        <w:trPr>
          <w:cnfStyle w:val="100000000000" w:firstRow="1" w:lastRow="0" w:firstColumn="0" w:lastColumn="0" w:oddVBand="0" w:evenVBand="0" w:oddHBand="0" w:evenHBand="0" w:firstRowFirstColumn="0" w:firstRowLastColumn="0" w:lastRowFirstColumn="0" w:lastRowLastColumn="0"/>
          <w:trHeight w:val="220"/>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12D093" w14:textId="77777777" w:rsidR="00043FB4" w:rsidRPr="002B4C75" w:rsidRDefault="00043FB4" w:rsidP="001E401F">
            <w:r w:rsidRPr="002B4C75">
              <w:t>Company Name</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D85ED0" w14:textId="16380794" w:rsidR="00043FB4" w:rsidRPr="002B4C75" w:rsidRDefault="00BC7A68" w:rsidP="001E401F">
            <w:r>
              <w:t>Unilever</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BA0902" w14:textId="40D0B3D7" w:rsidR="00043FB4" w:rsidRPr="002B4C75" w:rsidRDefault="00BC7A68" w:rsidP="001E401F">
            <w:r>
              <w:t>Sanofi</w:t>
            </w:r>
          </w:p>
        </w:tc>
      </w:tr>
      <w:tr w:rsidR="00043FB4" w:rsidRPr="002B4C75" w14:paraId="3AC1FF8E" w14:textId="77777777" w:rsidTr="001E401F">
        <w:trPr>
          <w:trHeight w:val="214"/>
        </w:trPr>
        <w:tc>
          <w:tcPr>
            <w:tcW w:w="2689" w:type="dxa"/>
            <w:shd w:val="clear" w:color="auto" w:fill="F2F6F2"/>
          </w:tcPr>
          <w:p w14:paraId="0FA4E6F0" w14:textId="77777777" w:rsidR="00043FB4" w:rsidRPr="002B4C75" w:rsidRDefault="00043FB4" w:rsidP="001E401F">
            <w:pPr>
              <w:rPr>
                <w:b/>
              </w:rPr>
            </w:pPr>
            <w:r w:rsidRPr="002B4C75">
              <w:rPr>
                <w:b/>
              </w:rPr>
              <w:t>Date of Vote</w:t>
            </w:r>
          </w:p>
        </w:tc>
        <w:tc>
          <w:tcPr>
            <w:tcW w:w="3253" w:type="dxa"/>
            <w:shd w:val="clear" w:color="auto" w:fill="F2F6F2"/>
          </w:tcPr>
          <w:p w14:paraId="443C37D7" w14:textId="33893EFE" w:rsidR="00043FB4" w:rsidRPr="002B4C75" w:rsidRDefault="00BC7A68" w:rsidP="001E401F">
            <w:r>
              <w:t>April 2020</w:t>
            </w:r>
          </w:p>
        </w:tc>
        <w:tc>
          <w:tcPr>
            <w:tcW w:w="3253" w:type="dxa"/>
            <w:shd w:val="clear" w:color="auto" w:fill="F2F6F2"/>
          </w:tcPr>
          <w:p w14:paraId="553704DA" w14:textId="6F8C4471" w:rsidR="00043FB4" w:rsidRPr="002B4C75" w:rsidRDefault="00BC7A68" w:rsidP="001E401F">
            <w:r>
              <w:t>April 2020</w:t>
            </w:r>
          </w:p>
        </w:tc>
      </w:tr>
      <w:tr w:rsidR="00043FB4" w:rsidRPr="002B4C75" w14:paraId="622C6F25" w14:textId="77777777" w:rsidTr="001E401F">
        <w:trPr>
          <w:trHeight w:val="220"/>
        </w:trPr>
        <w:tc>
          <w:tcPr>
            <w:tcW w:w="2689" w:type="dxa"/>
            <w:shd w:val="clear" w:color="auto" w:fill="E8EEE8"/>
          </w:tcPr>
          <w:p w14:paraId="3F75B4B1" w14:textId="77777777" w:rsidR="00043FB4" w:rsidRPr="002B4C75" w:rsidRDefault="00043FB4" w:rsidP="001E401F">
            <w:pPr>
              <w:rPr>
                <w:b/>
              </w:rPr>
            </w:pPr>
            <w:r w:rsidRPr="002B4C75">
              <w:rPr>
                <w:b/>
              </w:rPr>
              <w:t>Summary of the resolution</w:t>
            </w:r>
          </w:p>
        </w:tc>
        <w:tc>
          <w:tcPr>
            <w:tcW w:w="3253" w:type="dxa"/>
            <w:shd w:val="clear" w:color="auto" w:fill="E8EEE8"/>
          </w:tcPr>
          <w:p w14:paraId="21A1B66E" w14:textId="5655C736" w:rsidR="00043FB4" w:rsidRPr="002B4C75" w:rsidRDefault="00842E25" w:rsidP="001E401F">
            <w:r>
              <w:t>Renumeration proposal</w:t>
            </w:r>
          </w:p>
        </w:tc>
        <w:tc>
          <w:tcPr>
            <w:tcW w:w="3253" w:type="dxa"/>
            <w:shd w:val="clear" w:color="auto" w:fill="E8EEE8"/>
          </w:tcPr>
          <w:p w14:paraId="53E0626A" w14:textId="79579665" w:rsidR="00043FB4" w:rsidRPr="002B4C75" w:rsidRDefault="00842E25" w:rsidP="001E401F">
            <w:r>
              <w:t>Renumeration proposal</w:t>
            </w:r>
          </w:p>
        </w:tc>
      </w:tr>
      <w:tr w:rsidR="00043FB4" w:rsidRPr="002B4C75" w14:paraId="7EDB137E" w14:textId="77777777" w:rsidTr="001E401F">
        <w:trPr>
          <w:trHeight w:val="214"/>
        </w:trPr>
        <w:tc>
          <w:tcPr>
            <w:tcW w:w="2689" w:type="dxa"/>
            <w:shd w:val="clear" w:color="auto" w:fill="F2F6F2"/>
          </w:tcPr>
          <w:p w14:paraId="5DB0DB32" w14:textId="77777777" w:rsidR="00043FB4" w:rsidRPr="002B4C75" w:rsidRDefault="00043FB4" w:rsidP="001E401F">
            <w:pPr>
              <w:rPr>
                <w:b/>
              </w:rPr>
            </w:pPr>
            <w:r w:rsidRPr="002B4C75">
              <w:rPr>
                <w:b/>
              </w:rPr>
              <w:t>How the firm voted</w:t>
            </w:r>
          </w:p>
        </w:tc>
        <w:tc>
          <w:tcPr>
            <w:tcW w:w="3253" w:type="dxa"/>
            <w:shd w:val="clear" w:color="auto" w:fill="F2F6F2"/>
          </w:tcPr>
          <w:p w14:paraId="64D5F78F" w14:textId="78DC253F" w:rsidR="00043FB4" w:rsidRPr="002B4C75" w:rsidRDefault="00842E25" w:rsidP="001E401F">
            <w:r>
              <w:t>Against the proposal</w:t>
            </w:r>
          </w:p>
        </w:tc>
        <w:tc>
          <w:tcPr>
            <w:tcW w:w="3253" w:type="dxa"/>
            <w:shd w:val="clear" w:color="auto" w:fill="F2F6F2"/>
          </w:tcPr>
          <w:p w14:paraId="7F872673" w14:textId="129A6E08" w:rsidR="00043FB4" w:rsidRPr="002B4C75" w:rsidRDefault="00842E25" w:rsidP="001E401F">
            <w:r>
              <w:t>Against the proposal</w:t>
            </w:r>
          </w:p>
        </w:tc>
      </w:tr>
      <w:tr w:rsidR="00842E25" w:rsidRPr="002B4C75" w14:paraId="55B553C6" w14:textId="77777777" w:rsidTr="001E401F">
        <w:trPr>
          <w:trHeight w:val="447"/>
        </w:trPr>
        <w:tc>
          <w:tcPr>
            <w:tcW w:w="2689" w:type="dxa"/>
            <w:shd w:val="clear" w:color="auto" w:fill="E8EEE8"/>
          </w:tcPr>
          <w:p w14:paraId="3587C395" w14:textId="77777777" w:rsidR="00842E25" w:rsidRPr="002B4C75" w:rsidRDefault="00842E25" w:rsidP="00842E25">
            <w:pPr>
              <w:rPr>
                <w:b/>
              </w:rPr>
            </w:pPr>
            <w:r w:rsidRPr="002B4C75">
              <w:rPr>
                <w:b/>
              </w:rPr>
              <w:t>On which criteria has the vote been deemed as ‘significant?</w:t>
            </w:r>
          </w:p>
        </w:tc>
        <w:tc>
          <w:tcPr>
            <w:tcW w:w="3253" w:type="dxa"/>
            <w:shd w:val="clear" w:color="auto" w:fill="E8EEE8"/>
          </w:tcPr>
          <w:p w14:paraId="3466F9E1" w14:textId="6F6917F6" w:rsidR="00842E25" w:rsidRPr="002B4C75" w:rsidRDefault="00842E25" w:rsidP="00842E25">
            <w:r>
              <w:t xml:space="preserve">Newton </w:t>
            </w:r>
            <w:r w:rsidRPr="00842E25">
              <w:t>considered this a significant vote given the attention the subject receives from investors and wider stakeholders and that certain elements of the pay structure is not in line with established UK best practice.</w:t>
            </w:r>
          </w:p>
        </w:tc>
        <w:tc>
          <w:tcPr>
            <w:tcW w:w="3253" w:type="dxa"/>
            <w:shd w:val="clear" w:color="auto" w:fill="E8EEE8"/>
          </w:tcPr>
          <w:p w14:paraId="6D8D02E7" w14:textId="606A363A" w:rsidR="00842E25" w:rsidRPr="002B4C75" w:rsidRDefault="00842E25" w:rsidP="00842E25">
            <w:r w:rsidRPr="00842E25">
              <w:t>This was considered a significant vote given that few companies receive a majority vote against pay-related resolutions.</w:t>
            </w:r>
          </w:p>
        </w:tc>
      </w:tr>
      <w:tr w:rsidR="00842E25" w:rsidRPr="002B4C75" w14:paraId="0E113DD0" w14:textId="77777777" w:rsidTr="001E401F">
        <w:trPr>
          <w:trHeight w:val="447"/>
        </w:trPr>
        <w:tc>
          <w:tcPr>
            <w:tcW w:w="2689" w:type="dxa"/>
            <w:shd w:val="clear" w:color="auto" w:fill="F2F6F2"/>
          </w:tcPr>
          <w:p w14:paraId="285BB683" w14:textId="77777777" w:rsidR="00842E25" w:rsidRPr="002B4C75" w:rsidRDefault="00842E25" w:rsidP="00842E25">
            <w:pPr>
              <w:rPr>
                <w:b/>
              </w:rPr>
            </w:pPr>
            <w:r w:rsidRPr="002B4C75">
              <w:rPr>
                <w:b/>
              </w:rPr>
              <w:t>Outcome of the vote</w:t>
            </w:r>
          </w:p>
        </w:tc>
        <w:tc>
          <w:tcPr>
            <w:tcW w:w="3253" w:type="dxa"/>
            <w:shd w:val="clear" w:color="auto" w:fill="F2F6F2"/>
          </w:tcPr>
          <w:p w14:paraId="6175826D" w14:textId="05A32FE4" w:rsidR="00842E25" w:rsidRPr="002B4C75" w:rsidRDefault="00842E25" w:rsidP="00842E25">
            <w:r>
              <w:t>The vote passed</w:t>
            </w:r>
          </w:p>
        </w:tc>
        <w:tc>
          <w:tcPr>
            <w:tcW w:w="3253" w:type="dxa"/>
            <w:shd w:val="clear" w:color="auto" w:fill="F2F6F2"/>
          </w:tcPr>
          <w:p w14:paraId="74196A55" w14:textId="39DD35F9" w:rsidR="00842E25" w:rsidRPr="002B4C75" w:rsidRDefault="00842E25" w:rsidP="00842E25">
            <w:r>
              <w:t>The vote did not pass</w:t>
            </w:r>
          </w:p>
        </w:tc>
      </w:tr>
    </w:tbl>
    <w:p w14:paraId="387F7E08" w14:textId="62378ABE" w:rsidR="00043FB4" w:rsidRPr="00043FB4" w:rsidRDefault="00260069" w:rsidP="00043FB4">
      <w:pPr>
        <w:rPr>
          <w:b/>
        </w:rPr>
      </w:pPr>
      <w:r w:rsidRPr="000451C7">
        <w:rPr>
          <w:sz w:val="16"/>
        </w:rPr>
        <w:t>Source: Investment Manager</w:t>
      </w:r>
    </w:p>
    <w:p w14:paraId="34CDC670" w14:textId="5E466ED6" w:rsidR="00043FB4" w:rsidRDefault="00842E25" w:rsidP="00043FB4">
      <w:pPr>
        <w:pStyle w:val="Heading3"/>
      </w:pPr>
      <w:r>
        <w:t xml:space="preserve">BNY Mellon </w:t>
      </w:r>
      <w:r w:rsidR="00043FB4">
        <w:t>Oriental Fund</w:t>
      </w:r>
    </w:p>
    <w:tbl>
      <w:tblPr>
        <w:tblStyle w:val="QuantumBasicTable"/>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53"/>
        <w:gridCol w:w="3253"/>
      </w:tblGrid>
      <w:tr w:rsidR="00043FB4" w:rsidRPr="002B4C75" w14:paraId="7518047B" w14:textId="77777777" w:rsidTr="001E401F">
        <w:trPr>
          <w:cnfStyle w:val="100000000000" w:firstRow="1" w:lastRow="0" w:firstColumn="0" w:lastColumn="0" w:oddVBand="0" w:evenVBand="0" w:oddHBand="0" w:evenHBand="0" w:firstRowFirstColumn="0" w:firstRowLastColumn="0" w:lastRowFirstColumn="0" w:lastRowLastColumn="0"/>
          <w:trHeight w:val="220"/>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965F58" w14:textId="77777777" w:rsidR="00043FB4" w:rsidRPr="002B4C75" w:rsidRDefault="00043FB4" w:rsidP="001E401F">
            <w:r w:rsidRPr="002B4C75">
              <w:t>Company Name</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D494FB" w14:textId="7D2B029B" w:rsidR="00043FB4" w:rsidRPr="002B4C75" w:rsidRDefault="00C747FB" w:rsidP="001E401F">
            <w:r w:rsidRPr="00C747FB">
              <w:t>Bangkok Bank Public Company Limited</w:t>
            </w:r>
          </w:p>
        </w:tc>
        <w:tc>
          <w:tcPr>
            <w:tcW w:w="325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6404C7" w14:textId="0DEDA7D8" w:rsidR="00043FB4" w:rsidRPr="002B4C75" w:rsidRDefault="00C747FB" w:rsidP="001E401F">
            <w:r w:rsidRPr="00C747FB">
              <w:t>Singapore Technologies Engineering Ltd.</w:t>
            </w:r>
          </w:p>
        </w:tc>
      </w:tr>
      <w:tr w:rsidR="00842E25" w:rsidRPr="002B4C75" w14:paraId="69FFE659" w14:textId="77777777" w:rsidTr="001E401F">
        <w:trPr>
          <w:trHeight w:val="214"/>
        </w:trPr>
        <w:tc>
          <w:tcPr>
            <w:tcW w:w="2689" w:type="dxa"/>
            <w:shd w:val="clear" w:color="auto" w:fill="F2F6F2"/>
          </w:tcPr>
          <w:p w14:paraId="3570D9BF" w14:textId="77777777" w:rsidR="00842E25" w:rsidRPr="002B4C75" w:rsidRDefault="00842E25" w:rsidP="00842E25">
            <w:pPr>
              <w:rPr>
                <w:b/>
              </w:rPr>
            </w:pPr>
            <w:r w:rsidRPr="002B4C75">
              <w:rPr>
                <w:b/>
              </w:rPr>
              <w:t>Date of Vote</w:t>
            </w:r>
          </w:p>
        </w:tc>
        <w:tc>
          <w:tcPr>
            <w:tcW w:w="3253" w:type="dxa"/>
            <w:shd w:val="clear" w:color="auto" w:fill="F2F6F2"/>
          </w:tcPr>
          <w:p w14:paraId="455E4B87" w14:textId="096EB233" w:rsidR="00842E25" w:rsidRPr="002B4C75" w:rsidRDefault="00C747FB" w:rsidP="00842E25">
            <w:r>
              <w:t>March 2020</w:t>
            </w:r>
          </w:p>
        </w:tc>
        <w:tc>
          <w:tcPr>
            <w:tcW w:w="3253" w:type="dxa"/>
            <w:shd w:val="clear" w:color="auto" w:fill="F2F6F2"/>
          </w:tcPr>
          <w:p w14:paraId="4D845D66" w14:textId="5ED477FE" w:rsidR="00842E25" w:rsidRPr="00C747FB" w:rsidRDefault="00C747FB" w:rsidP="00842E25">
            <w:r>
              <w:t>May 2020</w:t>
            </w:r>
          </w:p>
        </w:tc>
      </w:tr>
      <w:tr w:rsidR="00842E25" w:rsidRPr="002B4C75" w14:paraId="1ECEC65A" w14:textId="77777777" w:rsidTr="001E401F">
        <w:trPr>
          <w:trHeight w:val="220"/>
        </w:trPr>
        <w:tc>
          <w:tcPr>
            <w:tcW w:w="2689" w:type="dxa"/>
            <w:shd w:val="clear" w:color="auto" w:fill="E8EEE8"/>
          </w:tcPr>
          <w:p w14:paraId="1934CB70" w14:textId="77777777" w:rsidR="00842E25" w:rsidRPr="002B4C75" w:rsidRDefault="00842E25" w:rsidP="00842E25">
            <w:pPr>
              <w:rPr>
                <w:b/>
              </w:rPr>
            </w:pPr>
            <w:r w:rsidRPr="002B4C75">
              <w:rPr>
                <w:b/>
              </w:rPr>
              <w:t>Summary of the resolution</w:t>
            </w:r>
          </w:p>
        </w:tc>
        <w:tc>
          <w:tcPr>
            <w:tcW w:w="3253" w:type="dxa"/>
            <w:shd w:val="clear" w:color="auto" w:fill="E8EEE8"/>
          </w:tcPr>
          <w:p w14:paraId="196D38C5" w14:textId="0BC62191" w:rsidR="00842E25" w:rsidRPr="002B4C75" w:rsidRDefault="00C747FB" w:rsidP="00842E25">
            <w:r w:rsidRPr="00C747FB">
              <w:t xml:space="preserve">Approve Acquisition of All Shares in PT Bank Permata </w:t>
            </w:r>
            <w:proofErr w:type="spellStart"/>
            <w:r w:rsidRPr="00C747FB">
              <w:t>Tbk</w:t>
            </w:r>
            <w:proofErr w:type="spellEnd"/>
            <w:r w:rsidRPr="00C747FB">
              <w:t>, Other business</w:t>
            </w:r>
          </w:p>
        </w:tc>
        <w:tc>
          <w:tcPr>
            <w:tcW w:w="3253" w:type="dxa"/>
            <w:shd w:val="clear" w:color="auto" w:fill="E8EEE8"/>
          </w:tcPr>
          <w:p w14:paraId="0E279012" w14:textId="3F4CDDBC" w:rsidR="00842E25" w:rsidRPr="00C747FB" w:rsidRDefault="00C747FB" w:rsidP="00842E25">
            <w:r>
              <w:t xml:space="preserve">Two resolutions that sought approval of </w:t>
            </w:r>
            <w:r w:rsidRPr="00C747FB">
              <w:t>restricted stock plan</w:t>
            </w:r>
          </w:p>
        </w:tc>
      </w:tr>
      <w:tr w:rsidR="00842E25" w:rsidRPr="002B4C75" w14:paraId="39CCCA5A" w14:textId="77777777" w:rsidTr="001E401F">
        <w:trPr>
          <w:trHeight w:val="214"/>
        </w:trPr>
        <w:tc>
          <w:tcPr>
            <w:tcW w:w="2689" w:type="dxa"/>
            <w:shd w:val="clear" w:color="auto" w:fill="F2F6F2"/>
          </w:tcPr>
          <w:p w14:paraId="7D9C2CEE" w14:textId="77777777" w:rsidR="00842E25" w:rsidRPr="002B4C75" w:rsidRDefault="00842E25" w:rsidP="00842E25">
            <w:pPr>
              <w:rPr>
                <w:b/>
              </w:rPr>
            </w:pPr>
            <w:r w:rsidRPr="002B4C75">
              <w:rPr>
                <w:b/>
              </w:rPr>
              <w:t>How the firm voted</w:t>
            </w:r>
          </w:p>
        </w:tc>
        <w:tc>
          <w:tcPr>
            <w:tcW w:w="3253" w:type="dxa"/>
            <w:shd w:val="clear" w:color="auto" w:fill="F2F6F2"/>
          </w:tcPr>
          <w:p w14:paraId="6B74962D" w14:textId="1943E7A3" w:rsidR="00C747FB" w:rsidRPr="002B4C75" w:rsidRDefault="00C747FB" w:rsidP="00842E25">
            <w:r>
              <w:t>Against</w:t>
            </w:r>
          </w:p>
        </w:tc>
        <w:tc>
          <w:tcPr>
            <w:tcW w:w="3253" w:type="dxa"/>
            <w:shd w:val="clear" w:color="auto" w:fill="F2F6F2"/>
          </w:tcPr>
          <w:p w14:paraId="72B235F4" w14:textId="3F088ABC" w:rsidR="00842E25" w:rsidRPr="00C747FB" w:rsidRDefault="00C747FB" w:rsidP="00842E25">
            <w:r>
              <w:t>Against</w:t>
            </w:r>
          </w:p>
        </w:tc>
      </w:tr>
      <w:tr w:rsidR="00842E25" w:rsidRPr="002B4C75" w14:paraId="0C71C2DA" w14:textId="77777777" w:rsidTr="001E401F">
        <w:trPr>
          <w:trHeight w:val="447"/>
        </w:trPr>
        <w:tc>
          <w:tcPr>
            <w:tcW w:w="2689" w:type="dxa"/>
            <w:shd w:val="clear" w:color="auto" w:fill="E8EEE8"/>
          </w:tcPr>
          <w:p w14:paraId="007BAA27" w14:textId="77777777" w:rsidR="00842E25" w:rsidRPr="002B4C75" w:rsidRDefault="00842E25" w:rsidP="00842E25">
            <w:pPr>
              <w:rPr>
                <w:b/>
              </w:rPr>
            </w:pPr>
            <w:r w:rsidRPr="002B4C75">
              <w:rPr>
                <w:b/>
              </w:rPr>
              <w:t>On which criteria has the vote been deemed as ‘significant?</w:t>
            </w:r>
          </w:p>
        </w:tc>
        <w:tc>
          <w:tcPr>
            <w:tcW w:w="3253" w:type="dxa"/>
            <w:shd w:val="clear" w:color="auto" w:fill="E8EEE8"/>
          </w:tcPr>
          <w:p w14:paraId="233B4A46" w14:textId="0525CC8E" w:rsidR="00842E25" w:rsidRPr="002B4C75" w:rsidRDefault="00C747FB" w:rsidP="00842E25">
            <w:r w:rsidRPr="00C747FB">
              <w:t>The significance of this vote is that it highlights how the lack of supporting information provided by a company can determine voting activity.</w:t>
            </w:r>
          </w:p>
        </w:tc>
        <w:tc>
          <w:tcPr>
            <w:tcW w:w="3253" w:type="dxa"/>
            <w:shd w:val="clear" w:color="auto" w:fill="E8EEE8"/>
          </w:tcPr>
          <w:p w14:paraId="349D2A6F" w14:textId="3A36512D" w:rsidR="00842E25" w:rsidRPr="00C747FB" w:rsidRDefault="00C747FB" w:rsidP="00842E25">
            <w:r w:rsidRPr="00C747FB">
              <w:t>This meeting provides an example of how protected a company and its management can be when it has a controlling shareholder.</w:t>
            </w:r>
          </w:p>
        </w:tc>
      </w:tr>
      <w:tr w:rsidR="00842E25" w:rsidRPr="002B4C75" w14:paraId="7538208D" w14:textId="77777777" w:rsidTr="001E401F">
        <w:trPr>
          <w:trHeight w:val="447"/>
        </w:trPr>
        <w:tc>
          <w:tcPr>
            <w:tcW w:w="2689" w:type="dxa"/>
            <w:shd w:val="clear" w:color="auto" w:fill="F2F6F2"/>
          </w:tcPr>
          <w:p w14:paraId="034CCADA" w14:textId="77777777" w:rsidR="00842E25" w:rsidRPr="002B4C75" w:rsidRDefault="00842E25" w:rsidP="00842E25">
            <w:pPr>
              <w:rPr>
                <w:b/>
              </w:rPr>
            </w:pPr>
            <w:r w:rsidRPr="002B4C75">
              <w:rPr>
                <w:b/>
              </w:rPr>
              <w:t>Outcome of the vote</w:t>
            </w:r>
          </w:p>
        </w:tc>
        <w:tc>
          <w:tcPr>
            <w:tcW w:w="3253" w:type="dxa"/>
            <w:shd w:val="clear" w:color="auto" w:fill="F2F6F2"/>
          </w:tcPr>
          <w:p w14:paraId="340EB805" w14:textId="1766502B" w:rsidR="00842E25" w:rsidRPr="002B4C75" w:rsidRDefault="00C747FB" w:rsidP="00842E25">
            <w:r>
              <w:t>Not available.</w:t>
            </w:r>
          </w:p>
        </w:tc>
        <w:tc>
          <w:tcPr>
            <w:tcW w:w="3253" w:type="dxa"/>
            <w:shd w:val="clear" w:color="auto" w:fill="F2F6F2"/>
          </w:tcPr>
          <w:p w14:paraId="33B65719" w14:textId="26494805" w:rsidR="00842E25" w:rsidRPr="00C747FB" w:rsidRDefault="00C747FB" w:rsidP="00842E25">
            <w:r w:rsidRPr="00C747FB">
              <w:t>4.2%, 5.1% AGAINST Restricted Stock Plan</w:t>
            </w:r>
            <w:r>
              <w:t>.</w:t>
            </w:r>
          </w:p>
        </w:tc>
      </w:tr>
    </w:tbl>
    <w:p w14:paraId="43F54CF6" w14:textId="07D293D0" w:rsidR="00043FB4" w:rsidRPr="00043FB4" w:rsidRDefault="00260069" w:rsidP="00043FB4">
      <w:r w:rsidRPr="000451C7">
        <w:rPr>
          <w:sz w:val="16"/>
        </w:rPr>
        <w:t>Source: Investment Manager</w:t>
      </w:r>
    </w:p>
    <w:p w14:paraId="101FED30" w14:textId="36793CC5" w:rsidR="00723773" w:rsidRPr="002B4C75" w:rsidRDefault="00723773" w:rsidP="00D63AEE">
      <w:pPr>
        <w:rPr>
          <w:sz w:val="16"/>
        </w:rPr>
      </w:pPr>
    </w:p>
    <w:sectPr w:rsidR="00723773" w:rsidRPr="002B4C75" w:rsidSect="00C9156C">
      <w:pgSz w:w="11906" w:h="16838"/>
      <w:pgMar w:top="1559" w:right="1276" w:bottom="1304" w:left="1304"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3A2B" w14:textId="77777777" w:rsidR="00FF2C6D" w:rsidRDefault="00FF2C6D">
      <w:r>
        <w:separator/>
      </w:r>
    </w:p>
  </w:endnote>
  <w:endnote w:type="continuationSeparator" w:id="0">
    <w:p w14:paraId="481E14A9" w14:textId="77777777" w:rsidR="00FF2C6D" w:rsidRDefault="00FF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Light">
    <w:panose1 w:val="020B04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Std Medium">
    <w:panose1 w:val="020B0502020204020303"/>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E7D3" w14:textId="77777777" w:rsidR="00B475C2" w:rsidRDefault="00B47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28669"/>
      <w:docPartObj>
        <w:docPartGallery w:val="Page Numbers (Bottom of Page)"/>
        <w:docPartUnique/>
      </w:docPartObj>
    </w:sdtPr>
    <w:sdtEndPr>
      <w:rPr>
        <w:noProof/>
      </w:rPr>
    </w:sdtEndPr>
    <w:sdtContent>
      <w:p w14:paraId="7522A970" w14:textId="04A9CCA7" w:rsidR="00FF2C6D" w:rsidRDefault="00FF2C6D">
        <w:pPr>
          <w:pStyle w:val="Footer"/>
        </w:pPr>
        <w:r>
          <w:fldChar w:fldCharType="begin"/>
        </w:r>
        <w:r>
          <w:instrText xml:space="preserve"> PAGE   \* MERGEFORMAT </w:instrText>
        </w:r>
        <w:r>
          <w:fldChar w:fldCharType="separate"/>
        </w:r>
        <w:r>
          <w:rPr>
            <w:noProof/>
          </w:rPr>
          <w:t>2</w:t>
        </w:r>
        <w:r>
          <w:rPr>
            <w:noProof/>
          </w:rPr>
          <w:fldChar w:fldCharType="end"/>
        </w:r>
      </w:p>
    </w:sdtContent>
  </w:sdt>
  <w:p w14:paraId="291BCCAA" w14:textId="77777777" w:rsidR="00FF2C6D" w:rsidRPr="0091369E" w:rsidRDefault="00FF2C6D" w:rsidP="007C5CA5">
    <w:pPr>
      <w:pStyle w:val="Footer"/>
      <w:jc w:val="left"/>
      <w:rPr>
        <w:rFonts w:ascii="Futura Std Light" w:hAnsi="Futura Std Light"/>
        <w:color w:val="FFFFFF" w:themeColor="background1"/>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9293" w14:textId="77777777" w:rsidR="00B475C2" w:rsidRDefault="00B47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133F" w14:textId="77777777" w:rsidR="00FF2C6D" w:rsidRDefault="00FF2C6D">
      <w:r>
        <w:separator/>
      </w:r>
    </w:p>
  </w:footnote>
  <w:footnote w:type="continuationSeparator" w:id="0">
    <w:p w14:paraId="503C2D51" w14:textId="77777777" w:rsidR="00FF2C6D" w:rsidRDefault="00FF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E7F8" w14:textId="77777777" w:rsidR="00B475C2" w:rsidRDefault="00B47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8D3C" w14:textId="05E69B79" w:rsidR="00FF2C6D" w:rsidRDefault="00FF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440" w14:textId="77777777" w:rsidR="00B475C2" w:rsidRDefault="00B4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308B2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B644AB4"/>
    <w:lvl w:ilvl="0">
      <w:start w:val="1"/>
      <w:numFmt w:val="bullet"/>
      <w:pStyle w:val="ListBullet"/>
      <w:lvlText w:val=""/>
      <w:lvlJc w:val="left"/>
      <w:pPr>
        <w:ind w:left="360" w:hanging="360"/>
      </w:pPr>
      <w:rPr>
        <w:rFonts w:ascii="Symbol" w:hAnsi="Symbol" w:hint="default"/>
        <w:color w:val="004712" w:themeColor="accent1"/>
      </w:rPr>
    </w:lvl>
  </w:abstractNum>
  <w:abstractNum w:abstractNumId="2" w15:restartNumberingAfterBreak="0">
    <w:nsid w:val="04240B29"/>
    <w:multiLevelType w:val="hybridMultilevel"/>
    <w:tmpl w:val="3B326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D03D8B"/>
    <w:multiLevelType w:val="multilevel"/>
    <w:tmpl w:val="68FC0F9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46D9D"/>
    <w:multiLevelType w:val="hybridMultilevel"/>
    <w:tmpl w:val="D3F2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4423C"/>
    <w:multiLevelType w:val="hybridMultilevel"/>
    <w:tmpl w:val="8C30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342E2"/>
    <w:multiLevelType w:val="hybridMultilevel"/>
    <w:tmpl w:val="DC7E5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F24E6C"/>
    <w:multiLevelType w:val="hybridMultilevel"/>
    <w:tmpl w:val="892A8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303B4"/>
    <w:multiLevelType w:val="hybridMultilevel"/>
    <w:tmpl w:val="9B9A0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4A048D"/>
    <w:multiLevelType w:val="hybridMultilevel"/>
    <w:tmpl w:val="7FAEAD58"/>
    <w:lvl w:ilvl="0" w:tplc="A7502778">
      <w:start w:val="1"/>
      <w:numFmt w:val="bullet"/>
      <w:lvlText w:val=""/>
      <w:lvlJc w:val="left"/>
      <w:pPr>
        <w:ind w:left="765" w:hanging="360"/>
      </w:pPr>
      <w:rPr>
        <w:rFonts w:ascii="Symbol" w:hAnsi="Symbol" w:hint="default"/>
        <w:color w:val="00471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4C24E55"/>
    <w:multiLevelType w:val="hybridMultilevel"/>
    <w:tmpl w:val="F6244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C7398"/>
    <w:multiLevelType w:val="multilevel"/>
    <w:tmpl w:val="BAB43776"/>
    <w:lvl w:ilvl="0">
      <w:start w:val="1"/>
      <w:numFmt w:val="decimal"/>
      <w:lvlText w:val="%1."/>
      <w:lvlJc w:val="left"/>
      <w:pPr>
        <w:ind w:left="360" w:hanging="360"/>
      </w:pPr>
      <w:rPr>
        <w:color w:val="004712" w:themeColor="accent1"/>
      </w:rPr>
    </w:lvl>
    <w:lvl w:ilvl="1">
      <w:start w:val="1"/>
      <w:numFmt w:val="lowerRoman"/>
      <w:lvlText w:val="i%2)"/>
      <w:lvlJc w:val="left"/>
      <w:pPr>
        <w:tabs>
          <w:tab w:val="num" w:pos="425"/>
        </w:tabs>
        <w:ind w:left="425" w:hanging="425"/>
      </w:pPr>
      <w:rPr>
        <w:color w:val="005187"/>
      </w:rPr>
    </w:lvl>
    <w:lvl w:ilvl="2">
      <w:start w:val="1"/>
      <w:numFmt w:val="lowerRoman"/>
      <w:lvlText w:val="%3."/>
      <w:lvlJc w:val="right"/>
      <w:pPr>
        <w:tabs>
          <w:tab w:val="num" w:pos="992"/>
        </w:tabs>
        <w:ind w:left="992" w:hanging="567"/>
      </w:pPr>
      <w:rPr>
        <w:color w:val="005187"/>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2" w15:restartNumberingAfterBreak="0">
    <w:nsid w:val="2B9C45D4"/>
    <w:multiLevelType w:val="hybridMultilevel"/>
    <w:tmpl w:val="49769ADA"/>
    <w:lvl w:ilvl="0" w:tplc="F4169BC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A52AC"/>
    <w:multiLevelType w:val="hybridMultilevel"/>
    <w:tmpl w:val="A2AC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E58AD"/>
    <w:multiLevelType w:val="multilevel"/>
    <w:tmpl w:val="3A52E90A"/>
    <w:lvl w:ilvl="0">
      <w:start w:val="1"/>
      <w:numFmt w:val="bullet"/>
      <w:lvlText w:val=""/>
      <w:lvlJc w:val="left"/>
      <w:pPr>
        <w:tabs>
          <w:tab w:val="num" w:pos="425"/>
        </w:tabs>
        <w:ind w:left="425" w:hanging="425"/>
      </w:pPr>
      <w:rPr>
        <w:rFonts w:ascii="Symbol" w:hAnsi="Symbol" w:hint="default"/>
        <w:color w:val="00315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F6F0A"/>
    <w:multiLevelType w:val="hybridMultilevel"/>
    <w:tmpl w:val="26FA9CEC"/>
    <w:lvl w:ilvl="0" w:tplc="A7502778">
      <w:start w:val="1"/>
      <w:numFmt w:val="bullet"/>
      <w:lvlText w:val=""/>
      <w:lvlJc w:val="left"/>
      <w:pPr>
        <w:ind w:left="720" w:hanging="360"/>
      </w:pPr>
      <w:rPr>
        <w:rFonts w:ascii="Symbol" w:hAnsi="Symbol" w:hint="default"/>
        <w:color w:val="0047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77FB0"/>
    <w:multiLevelType w:val="multilevel"/>
    <w:tmpl w:val="D0FAAD8C"/>
    <w:lvl w:ilvl="0">
      <w:start w:val="1"/>
      <w:numFmt w:val="lowerLetter"/>
      <w:pStyle w:val="ListNumber"/>
      <w:lvlText w:val="%1)"/>
      <w:lvlJc w:val="left"/>
      <w:pPr>
        <w:ind w:left="360" w:hanging="360"/>
      </w:pPr>
      <w:rPr>
        <w:rFonts w:hint="default"/>
        <w:color w:val="004712" w:themeColor="accent1"/>
      </w:rPr>
    </w:lvl>
    <w:lvl w:ilvl="1">
      <w:start w:val="1"/>
      <w:numFmt w:val="lowerRoman"/>
      <w:lvlText w:val="i%2)"/>
      <w:lvlJc w:val="left"/>
      <w:pPr>
        <w:tabs>
          <w:tab w:val="num" w:pos="425"/>
        </w:tabs>
        <w:ind w:left="425" w:hanging="425"/>
      </w:pPr>
      <w:rPr>
        <w:rFonts w:hint="default"/>
        <w:color w:val="005187"/>
      </w:rPr>
    </w:lvl>
    <w:lvl w:ilvl="2">
      <w:start w:val="1"/>
      <w:numFmt w:val="lowerRoman"/>
      <w:lvlText w:val="%3."/>
      <w:lvlJc w:val="right"/>
      <w:pPr>
        <w:tabs>
          <w:tab w:val="num" w:pos="992"/>
        </w:tabs>
        <w:ind w:left="992" w:hanging="567"/>
      </w:pPr>
      <w:rPr>
        <w:rFonts w:hint="default"/>
        <w:color w:val="005187"/>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3A1916EF"/>
    <w:multiLevelType w:val="hybridMultilevel"/>
    <w:tmpl w:val="24588B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EA3C50"/>
    <w:multiLevelType w:val="multilevel"/>
    <w:tmpl w:val="3A52E90A"/>
    <w:numStyleLink w:val="Style1"/>
  </w:abstractNum>
  <w:abstractNum w:abstractNumId="19" w15:restartNumberingAfterBreak="0">
    <w:nsid w:val="3EEB10A2"/>
    <w:multiLevelType w:val="hybridMultilevel"/>
    <w:tmpl w:val="82602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7A32A9"/>
    <w:multiLevelType w:val="hybridMultilevel"/>
    <w:tmpl w:val="9F7C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D79C8"/>
    <w:multiLevelType w:val="hybridMultilevel"/>
    <w:tmpl w:val="69BCD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C1C64"/>
    <w:multiLevelType w:val="hybridMultilevel"/>
    <w:tmpl w:val="BC74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1289B"/>
    <w:multiLevelType w:val="hybridMultilevel"/>
    <w:tmpl w:val="E866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6407D"/>
    <w:multiLevelType w:val="multilevel"/>
    <w:tmpl w:val="3A52E90A"/>
    <w:styleLink w:val="Style1"/>
    <w:lvl w:ilvl="0">
      <w:start w:val="1"/>
      <w:numFmt w:val="bullet"/>
      <w:lvlText w:val=""/>
      <w:lvlJc w:val="left"/>
      <w:pPr>
        <w:tabs>
          <w:tab w:val="num" w:pos="425"/>
        </w:tabs>
        <w:ind w:left="425" w:hanging="425"/>
      </w:pPr>
      <w:rPr>
        <w:rFonts w:ascii="Symbol" w:hAnsi="Symbol" w:hint="default"/>
        <w:color w:val="004712" w:themeColor="accent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520C33"/>
    <w:multiLevelType w:val="hybridMultilevel"/>
    <w:tmpl w:val="61E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5786C"/>
    <w:multiLevelType w:val="hybridMultilevel"/>
    <w:tmpl w:val="D8A0180C"/>
    <w:lvl w:ilvl="0" w:tplc="2770767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7E0B57"/>
    <w:multiLevelType w:val="hybridMultilevel"/>
    <w:tmpl w:val="64DC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863698"/>
    <w:multiLevelType w:val="hybridMultilevel"/>
    <w:tmpl w:val="538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544C4"/>
    <w:multiLevelType w:val="hybridMultilevel"/>
    <w:tmpl w:val="B4CE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F027A"/>
    <w:multiLevelType w:val="hybridMultilevel"/>
    <w:tmpl w:val="FC2A604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D156AA"/>
    <w:multiLevelType w:val="hybridMultilevel"/>
    <w:tmpl w:val="262E313E"/>
    <w:lvl w:ilvl="0" w:tplc="F4169BC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82687D"/>
    <w:multiLevelType w:val="hybridMultilevel"/>
    <w:tmpl w:val="DC3E65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00A059A"/>
    <w:multiLevelType w:val="hybridMultilevel"/>
    <w:tmpl w:val="4BF8F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B6664E"/>
    <w:multiLevelType w:val="hybridMultilevel"/>
    <w:tmpl w:val="33547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7D6578"/>
    <w:multiLevelType w:val="hybridMultilevel"/>
    <w:tmpl w:val="11F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E20CD0"/>
    <w:multiLevelType w:val="hybridMultilevel"/>
    <w:tmpl w:val="736C7E50"/>
    <w:lvl w:ilvl="0" w:tplc="F4169BCC">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30"/>
  </w:num>
  <w:num w:numId="4">
    <w:abstractNumId w:val="18"/>
  </w:num>
  <w:num w:numId="5">
    <w:abstractNumId w:val="6"/>
  </w:num>
  <w:num w:numId="6">
    <w:abstractNumId w:val="33"/>
  </w:num>
  <w:num w:numId="7">
    <w:abstractNumId w:val="8"/>
  </w:num>
  <w:num w:numId="8">
    <w:abstractNumId w:val="19"/>
  </w:num>
  <w:num w:numId="9">
    <w:abstractNumId w:val="23"/>
  </w:num>
  <w:num w:numId="10">
    <w:abstractNumId w:val="21"/>
  </w:num>
  <w:num w:numId="11">
    <w:abstractNumId w:val="2"/>
  </w:num>
  <w:num w:numId="12">
    <w:abstractNumId w:val="5"/>
  </w:num>
  <w:num w:numId="13">
    <w:abstractNumId w:val="10"/>
  </w:num>
  <w:num w:numId="14">
    <w:abstractNumId w:val="2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26"/>
  </w:num>
  <w:num w:numId="17">
    <w:abstractNumId w:val="22"/>
  </w:num>
  <w:num w:numId="18">
    <w:abstractNumId w:val="32"/>
  </w:num>
  <w:num w:numId="19">
    <w:abstractNumId w:val="7"/>
  </w:num>
  <w:num w:numId="20">
    <w:abstractNumId w:val="25"/>
  </w:num>
  <w:num w:numId="21">
    <w:abstractNumId w:val="3"/>
  </w:num>
  <w:num w:numId="22">
    <w:abstractNumId w:val="9"/>
  </w:num>
  <w:num w:numId="23">
    <w:abstractNumId w:val="35"/>
  </w:num>
  <w:num w:numId="24">
    <w:abstractNumId w:val="13"/>
  </w:num>
  <w:num w:numId="25">
    <w:abstractNumId w:val="15"/>
  </w:num>
  <w:num w:numId="26">
    <w:abstractNumId w:val="34"/>
  </w:num>
  <w:num w:numId="27">
    <w:abstractNumId w:val="17"/>
  </w:num>
  <w:num w:numId="28">
    <w:abstractNumId w:val="0"/>
  </w:num>
  <w:num w:numId="29">
    <w:abstractNumId w:val="28"/>
  </w:num>
  <w:num w:numId="30">
    <w:abstractNumId w:val="12"/>
  </w:num>
  <w:num w:numId="31">
    <w:abstractNumId w:val="36"/>
  </w:num>
  <w:num w:numId="32">
    <w:abstractNumId w:val="14"/>
  </w:num>
  <w:num w:numId="33">
    <w:abstractNumId w:val="31"/>
  </w:num>
  <w:num w:numId="34">
    <w:abstractNumId w:val="24"/>
  </w:num>
  <w:num w:numId="35">
    <w:abstractNumId w:val="4"/>
  </w:num>
  <w:num w:numId="36">
    <w:abstractNumId w:val="20"/>
  </w:num>
  <w:num w:numId="37">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716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D41"/>
    <w:rsid w:val="00001BF5"/>
    <w:rsid w:val="0000201B"/>
    <w:rsid w:val="00004058"/>
    <w:rsid w:val="000354B5"/>
    <w:rsid w:val="00043FB4"/>
    <w:rsid w:val="00044E18"/>
    <w:rsid w:val="000451C7"/>
    <w:rsid w:val="000540FD"/>
    <w:rsid w:val="00054D5C"/>
    <w:rsid w:val="0005580D"/>
    <w:rsid w:val="000651A5"/>
    <w:rsid w:val="0007078B"/>
    <w:rsid w:val="00071E95"/>
    <w:rsid w:val="00077BDE"/>
    <w:rsid w:val="00080426"/>
    <w:rsid w:val="0008144E"/>
    <w:rsid w:val="00081E51"/>
    <w:rsid w:val="0008483E"/>
    <w:rsid w:val="00084F86"/>
    <w:rsid w:val="00091F2A"/>
    <w:rsid w:val="0009325E"/>
    <w:rsid w:val="00097A05"/>
    <w:rsid w:val="000C0702"/>
    <w:rsid w:val="000C10FA"/>
    <w:rsid w:val="000C1AFE"/>
    <w:rsid w:val="000C603F"/>
    <w:rsid w:val="000D0877"/>
    <w:rsid w:val="000D08EA"/>
    <w:rsid w:val="000D0C06"/>
    <w:rsid w:val="000D2A56"/>
    <w:rsid w:val="000D3698"/>
    <w:rsid w:val="000D3B1B"/>
    <w:rsid w:val="000D5302"/>
    <w:rsid w:val="000E6774"/>
    <w:rsid w:val="000F18D2"/>
    <w:rsid w:val="000F2023"/>
    <w:rsid w:val="000F3B55"/>
    <w:rsid w:val="000F568B"/>
    <w:rsid w:val="001007FE"/>
    <w:rsid w:val="00104CBD"/>
    <w:rsid w:val="0011110B"/>
    <w:rsid w:val="001131CD"/>
    <w:rsid w:val="001169E9"/>
    <w:rsid w:val="001216EE"/>
    <w:rsid w:val="00121EE6"/>
    <w:rsid w:val="00124BA1"/>
    <w:rsid w:val="00125665"/>
    <w:rsid w:val="001320BD"/>
    <w:rsid w:val="001329D5"/>
    <w:rsid w:val="00140AD4"/>
    <w:rsid w:val="00140FD1"/>
    <w:rsid w:val="00141618"/>
    <w:rsid w:val="00144906"/>
    <w:rsid w:val="00144F75"/>
    <w:rsid w:val="00146F35"/>
    <w:rsid w:val="00147E0D"/>
    <w:rsid w:val="00147F21"/>
    <w:rsid w:val="00147FF5"/>
    <w:rsid w:val="00150C6A"/>
    <w:rsid w:val="00153B33"/>
    <w:rsid w:val="00154979"/>
    <w:rsid w:val="0016289D"/>
    <w:rsid w:val="00171C40"/>
    <w:rsid w:val="001731AE"/>
    <w:rsid w:val="00174F02"/>
    <w:rsid w:val="001757D3"/>
    <w:rsid w:val="0018020B"/>
    <w:rsid w:val="00187C24"/>
    <w:rsid w:val="00187FB5"/>
    <w:rsid w:val="00190BF0"/>
    <w:rsid w:val="001930B0"/>
    <w:rsid w:val="001A0E72"/>
    <w:rsid w:val="001A0FA1"/>
    <w:rsid w:val="001A0FBA"/>
    <w:rsid w:val="001A4D96"/>
    <w:rsid w:val="001B0720"/>
    <w:rsid w:val="001B295A"/>
    <w:rsid w:val="001B4573"/>
    <w:rsid w:val="001C0156"/>
    <w:rsid w:val="001C14A0"/>
    <w:rsid w:val="001C1B54"/>
    <w:rsid w:val="001C5482"/>
    <w:rsid w:val="001C580A"/>
    <w:rsid w:val="001C7FB3"/>
    <w:rsid w:val="001D7AB3"/>
    <w:rsid w:val="001E0247"/>
    <w:rsid w:val="001E20CB"/>
    <w:rsid w:val="001E401F"/>
    <w:rsid w:val="001E4F28"/>
    <w:rsid w:val="001E6F91"/>
    <w:rsid w:val="001F2B35"/>
    <w:rsid w:val="001F2F73"/>
    <w:rsid w:val="001F5320"/>
    <w:rsid w:val="00200B76"/>
    <w:rsid w:val="00200FD8"/>
    <w:rsid w:val="0020293B"/>
    <w:rsid w:val="00212CDB"/>
    <w:rsid w:val="00213F00"/>
    <w:rsid w:val="002170C6"/>
    <w:rsid w:val="002177A4"/>
    <w:rsid w:val="00222B40"/>
    <w:rsid w:val="00223088"/>
    <w:rsid w:val="00231142"/>
    <w:rsid w:val="00231594"/>
    <w:rsid w:val="00237212"/>
    <w:rsid w:val="0024250E"/>
    <w:rsid w:val="00246B9F"/>
    <w:rsid w:val="00246E9F"/>
    <w:rsid w:val="00253014"/>
    <w:rsid w:val="00253DC6"/>
    <w:rsid w:val="00254350"/>
    <w:rsid w:val="00254ED1"/>
    <w:rsid w:val="00257CB1"/>
    <w:rsid w:val="00260069"/>
    <w:rsid w:val="00260B2F"/>
    <w:rsid w:val="00267D0C"/>
    <w:rsid w:val="00276703"/>
    <w:rsid w:val="00284D9C"/>
    <w:rsid w:val="00286373"/>
    <w:rsid w:val="00287542"/>
    <w:rsid w:val="00296656"/>
    <w:rsid w:val="002A0ADD"/>
    <w:rsid w:val="002A2F78"/>
    <w:rsid w:val="002A320F"/>
    <w:rsid w:val="002A4754"/>
    <w:rsid w:val="002A7053"/>
    <w:rsid w:val="002B0781"/>
    <w:rsid w:val="002B1359"/>
    <w:rsid w:val="002B1882"/>
    <w:rsid w:val="002B3B0A"/>
    <w:rsid w:val="002B4A14"/>
    <w:rsid w:val="002B4C75"/>
    <w:rsid w:val="002C0252"/>
    <w:rsid w:val="002C21C8"/>
    <w:rsid w:val="002C55D0"/>
    <w:rsid w:val="002C782E"/>
    <w:rsid w:val="002D1078"/>
    <w:rsid w:val="002D3184"/>
    <w:rsid w:val="002D3830"/>
    <w:rsid w:val="002D48D8"/>
    <w:rsid w:val="002E6C84"/>
    <w:rsid w:val="002F085C"/>
    <w:rsid w:val="002F26D8"/>
    <w:rsid w:val="002F514D"/>
    <w:rsid w:val="002F6CEC"/>
    <w:rsid w:val="002F7E73"/>
    <w:rsid w:val="00302AC3"/>
    <w:rsid w:val="0030472A"/>
    <w:rsid w:val="003066EB"/>
    <w:rsid w:val="0031435B"/>
    <w:rsid w:val="003152CB"/>
    <w:rsid w:val="00315B06"/>
    <w:rsid w:val="00315CC3"/>
    <w:rsid w:val="003173E1"/>
    <w:rsid w:val="00324E81"/>
    <w:rsid w:val="00334709"/>
    <w:rsid w:val="00334EF6"/>
    <w:rsid w:val="0033765D"/>
    <w:rsid w:val="003409F4"/>
    <w:rsid w:val="00342E5A"/>
    <w:rsid w:val="003612E6"/>
    <w:rsid w:val="00365921"/>
    <w:rsid w:val="003671DF"/>
    <w:rsid w:val="00367D86"/>
    <w:rsid w:val="00372B1D"/>
    <w:rsid w:val="00374007"/>
    <w:rsid w:val="0038030B"/>
    <w:rsid w:val="0038033D"/>
    <w:rsid w:val="00381780"/>
    <w:rsid w:val="00382270"/>
    <w:rsid w:val="00383BB5"/>
    <w:rsid w:val="00386B8C"/>
    <w:rsid w:val="00390785"/>
    <w:rsid w:val="003941BE"/>
    <w:rsid w:val="003A0E66"/>
    <w:rsid w:val="003A1CEE"/>
    <w:rsid w:val="003A4193"/>
    <w:rsid w:val="003A65A7"/>
    <w:rsid w:val="003A6C46"/>
    <w:rsid w:val="003B69C4"/>
    <w:rsid w:val="003C1E38"/>
    <w:rsid w:val="003C284B"/>
    <w:rsid w:val="003C38B6"/>
    <w:rsid w:val="003C5044"/>
    <w:rsid w:val="003D323D"/>
    <w:rsid w:val="003E2297"/>
    <w:rsid w:val="003E2698"/>
    <w:rsid w:val="003F023D"/>
    <w:rsid w:val="003F0C04"/>
    <w:rsid w:val="003F223F"/>
    <w:rsid w:val="003F40BC"/>
    <w:rsid w:val="003F45A6"/>
    <w:rsid w:val="003F495A"/>
    <w:rsid w:val="003F5256"/>
    <w:rsid w:val="00404E8F"/>
    <w:rsid w:val="00407D38"/>
    <w:rsid w:val="004137C7"/>
    <w:rsid w:val="00413E39"/>
    <w:rsid w:val="00416889"/>
    <w:rsid w:val="0041705C"/>
    <w:rsid w:val="00425760"/>
    <w:rsid w:val="00425DA9"/>
    <w:rsid w:val="00427283"/>
    <w:rsid w:val="00427700"/>
    <w:rsid w:val="0043162D"/>
    <w:rsid w:val="00431CF0"/>
    <w:rsid w:val="00433622"/>
    <w:rsid w:val="0044649E"/>
    <w:rsid w:val="00447ED3"/>
    <w:rsid w:val="00451608"/>
    <w:rsid w:val="00453AF1"/>
    <w:rsid w:val="00453E74"/>
    <w:rsid w:val="004544B1"/>
    <w:rsid w:val="00454CAC"/>
    <w:rsid w:val="00457041"/>
    <w:rsid w:val="0045712A"/>
    <w:rsid w:val="00457AE0"/>
    <w:rsid w:val="004619A7"/>
    <w:rsid w:val="00483857"/>
    <w:rsid w:val="00484A39"/>
    <w:rsid w:val="004901E1"/>
    <w:rsid w:val="004935F6"/>
    <w:rsid w:val="00495790"/>
    <w:rsid w:val="004960C2"/>
    <w:rsid w:val="004B11F6"/>
    <w:rsid w:val="004B65BA"/>
    <w:rsid w:val="004C1B12"/>
    <w:rsid w:val="004C6C36"/>
    <w:rsid w:val="004C7E97"/>
    <w:rsid w:val="004D6D39"/>
    <w:rsid w:val="004D7050"/>
    <w:rsid w:val="004E2486"/>
    <w:rsid w:val="004E4831"/>
    <w:rsid w:val="004E484E"/>
    <w:rsid w:val="004E5311"/>
    <w:rsid w:val="004E5449"/>
    <w:rsid w:val="004E6715"/>
    <w:rsid w:val="004E67EA"/>
    <w:rsid w:val="004F5B1D"/>
    <w:rsid w:val="004F659B"/>
    <w:rsid w:val="00507CD2"/>
    <w:rsid w:val="00510FB0"/>
    <w:rsid w:val="00512317"/>
    <w:rsid w:val="00512876"/>
    <w:rsid w:val="0051353D"/>
    <w:rsid w:val="00514BED"/>
    <w:rsid w:val="00522DF4"/>
    <w:rsid w:val="00522EC1"/>
    <w:rsid w:val="0052472C"/>
    <w:rsid w:val="005251CC"/>
    <w:rsid w:val="0052520B"/>
    <w:rsid w:val="00530124"/>
    <w:rsid w:val="00531541"/>
    <w:rsid w:val="005323AA"/>
    <w:rsid w:val="00533BAD"/>
    <w:rsid w:val="0053742E"/>
    <w:rsid w:val="00541204"/>
    <w:rsid w:val="00542166"/>
    <w:rsid w:val="00542694"/>
    <w:rsid w:val="00547D48"/>
    <w:rsid w:val="00552DCE"/>
    <w:rsid w:val="00554A87"/>
    <w:rsid w:val="00555329"/>
    <w:rsid w:val="00555BB3"/>
    <w:rsid w:val="00556F5A"/>
    <w:rsid w:val="00557EF6"/>
    <w:rsid w:val="00562339"/>
    <w:rsid w:val="0056427E"/>
    <w:rsid w:val="0057010C"/>
    <w:rsid w:val="00570B53"/>
    <w:rsid w:val="005766AF"/>
    <w:rsid w:val="005874A5"/>
    <w:rsid w:val="0058757A"/>
    <w:rsid w:val="00592838"/>
    <w:rsid w:val="005943DC"/>
    <w:rsid w:val="00594A3A"/>
    <w:rsid w:val="005957A6"/>
    <w:rsid w:val="005A0D03"/>
    <w:rsid w:val="005A5D67"/>
    <w:rsid w:val="005B431C"/>
    <w:rsid w:val="005B52B8"/>
    <w:rsid w:val="005B7160"/>
    <w:rsid w:val="005C2168"/>
    <w:rsid w:val="005C4ECC"/>
    <w:rsid w:val="005D116A"/>
    <w:rsid w:val="005D3A4D"/>
    <w:rsid w:val="005D4385"/>
    <w:rsid w:val="005D7624"/>
    <w:rsid w:val="005E664C"/>
    <w:rsid w:val="005F359E"/>
    <w:rsid w:val="005F4F1C"/>
    <w:rsid w:val="005F5AB8"/>
    <w:rsid w:val="0060203E"/>
    <w:rsid w:val="00604C63"/>
    <w:rsid w:val="00605181"/>
    <w:rsid w:val="00605691"/>
    <w:rsid w:val="00606CC5"/>
    <w:rsid w:val="0061036A"/>
    <w:rsid w:val="006124AA"/>
    <w:rsid w:val="006130F8"/>
    <w:rsid w:val="00620AC2"/>
    <w:rsid w:val="006226FE"/>
    <w:rsid w:val="0062280C"/>
    <w:rsid w:val="006254EB"/>
    <w:rsid w:val="00626AEE"/>
    <w:rsid w:val="00631687"/>
    <w:rsid w:val="0063484B"/>
    <w:rsid w:val="00637543"/>
    <w:rsid w:val="00642395"/>
    <w:rsid w:val="00642C24"/>
    <w:rsid w:val="00643801"/>
    <w:rsid w:val="006438F8"/>
    <w:rsid w:val="006521F3"/>
    <w:rsid w:val="006530B0"/>
    <w:rsid w:val="00653E65"/>
    <w:rsid w:val="0065422C"/>
    <w:rsid w:val="0065434F"/>
    <w:rsid w:val="00655EDC"/>
    <w:rsid w:val="00664A0A"/>
    <w:rsid w:val="0066586D"/>
    <w:rsid w:val="00665B51"/>
    <w:rsid w:val="00667895"/>
    <w:rsid w:val="00671CEB"/>
    <w:rsid w:val="00671FFF"/>
    <w:rsid w:val="00677398"/>
    <w:rsid w:val="0068156D"/>
    <w:rsid w:val="006916F1"/>
    <w:rsid w:val="00691A3C"/>
    <w:rsid w:val="00691B9D"/>
    <w:rsid w:val="006920A6"/>
    <w:rsid w:val="00692476"/>
    <w:rsid w:val="00695E6D"/>
    <w:rsid w:val="006A0581"/>
    <w:rsid w:val="006A1214"/>
    <w:rsid w:val="006A7E3B"/>
    <w:rsid w:val="006B2F1D"/>
    <w:rsid w:val="006B6CB3"/>
    <w:rsid w:val="006B7AEE"/>
    <w:rsid w:val="006C17FF"/>
    <w:rsid w:val="006C2055"/>
    <w:rsid w:val="006C4395"/>
    <w:rsid w:val="006C6741"/>
    <w:rsid w:val="006D325C"/>
    <w:rsid w:val="006D7FE7"/>
    <w:rsid w:val="006E01ED"/>
    <w:rsid w:val="006E2D53"/>
    <w:rsid w:val="006F25F5"/>
    <w:rsid w:val="006F3B02"/>
    <w:rsid w:val="006F4CFD"/>
    <w:rsid w:val="00702DF0"/>
    <w:rsid w:val="007051AA"/>
    <w:rsid w:val="007073D6"/>
    <w:rsid w:val="0070797F"/>
    <w:rsid w:val="00713344"/>
    <w:rsid w:val="00715B3B"/>
    <w:rsid w:val="007232F2"/>
    <w:rsid w:val="0072343D"/>
    <w:rsid w:val="00723773"/>
    <w:rsid w:val="00724795"/>
    <w:rsid w:val="00725EE3"/>
    <w:rsid w:val="0073177B"/>
    <w:rsid w:val="00735A44"/>
    <w:rsid w:val="0073717A"/>
    <w:rsid w:val="0073759B"/>
    <w:rsid w:val="0074416C"/>
    <w:rsid w:val="00752BC6"/>
    <w:rsid w:val="007532EC"/>
    <w:rsid w:val="007578C7"/>
    <w:rsid w:val="0076041A"/>
    <w:rsid w:val="00762268"/>
    <w:rsid w:val="00763766"/>
    <w:rsid w:val="00763A82"/>
    <w:rsid w:val="00765BC8"/>
    <w:rsid w:val="00765BE0"/>
    <w:rsid w:val="00771C48"/>
    <w:rsid w:val="0077210C"/>
    <w:rsid w:val="00773D18"/>
    <w:rsid w:val="00775D22"/>
    <w:rsid w:val="0078589C"/>
    <w:rsid w:val="007875F4"/>
    <w:rsid w:val="007909A7"/>
    <w:rsid w:val="007A14B3"/>
    <w:rsid w:val="007A182C"/>
    <w:rsid w:val="007A1EBA"/>
    <w:rsid w:val="007A267D"/>
    <w:rsid w:val="007A7A0E"/>
    <w:rsid w:val="007B6E0D"/>
    <w:rsid w:val="007C5CA5"/>
    <w:rsid w:val="007C66BD"/>
    <w:rsid w:val="007D0B06"/>
    <w:rsid w:val="007D1E73"/>
    <w:rsid w:val="007D391F"/>
    <w:rsid w:val="007D5050"/>
    <w:rsid w:val="007D7EC6"/>
    <w:rsid w:val="007E1035"/>
    <w:rsid w:val="007E2E0B"/>
    <w:rsid w:val="007F0852"/>
    <w:rsid w:val="007F0E37"/>
    <w:rsid w:val="007F38F4"/>
    <w:rsid w:val="007F6AF2"/>
    <w:rsid w:val="00801424"/>
    <w:rsid w:val="00802229"/>
    <w:rsid w:val="00806C6E"/>
    <w:rsid w:val="00812482"/>
    <w:rsid w:val="00817FF3"/>
    <w:rsid w:val="0082001A"/>
    <w:rsid w:val="00833F84"/>
    <w:rsid w:val="00835469"/>
    <w:rsid w:val="00841DF4"/>
    <w:rsid w:val="00842E25"/>
    <w:rsid w:val="00846A38"/>
    <w:rsid w:val="0084786F"/>
    <w:rsid w:val="00852CFD"/>
    <w:rsid w:val="0085437E"/>
    <w:rsid w:val="00864D75"/>
    <w:rsid w:val="00865773"/>
    <w:rsid w:val="008711B0"/>
    <w:rsid w:val="008732D9"/>
    <w:rsid w:val="00876635"/>
    <w:rsid w:val="00877331"/>
    <w:rsid w:val="00880016"/>
    <w:rsid w:val="00880BDA"/>
    <w:rsid w:val="008823E5"/>
    <w:rsid w:val="00884D11"/>
    <w:rsid w:val="00886344"/>
    <w:rsid w:val="008875BC"/>
    <w:rsid w:val="00890C32"/>
    <w:rsid w:val="0089112D"/>
    <w:rsid w:val="0089261E"/>
    <w:rsid w:val="00897808"/>
    <w:rsid w:val="008A07A1"/>
    <w:rsid w:val="008A35C3"/>
    <w:rsid w:val="008A7DF2"/>
    <w:rsid w:val="008B0F38"/>
    <w:rsid w:val="008B2B5A"/>
    <w:rsid w:val="008B38F5"/>
    <w:rsid w:val="008C1055"/>
    <w:rsid w:val="008C273A"/>
    <w:rsid w:val="008C388E"/>
    <w:rsid w:val="008C5406"/>
    <w:rsid w:val="008C5923"/>
    <w:rsid w:val="008C6F04"/>
    <w:rsid w:val="008D3BAD"/>
    <w:rsid w:val="008D5087"/>
    <w:rsid w:val="008D517A"/>
    <w:rsid w:val="008D5A5E"/>
    <w:rsid w:val="008D5A6D"/>
    <w:rsid w:val="008E2A28"/>
    <w:rsid w:val="008E2BBB"/>
    <w:rsid w:val="008E34C0"/>
    <w:rsid w:val="008E4FFF"/>
    <w:rsid w:val="008E5D65"/>
    <w:rsid w:val="008F2B7B"/>
    <w:rsid w:val="008F5977"/>
    <w:rsid w:val="009008B1"/>
    <w:rsid w:val="00902BAD"/>
    <w:rsid w:val="00906D49"/>
    <w:rsid w:val="0091183D"/>
    <w:rsid w:val="00911DC6"/>
    <w:rsid w:val="0091369E"/>
    <w:rsid w:val="00920360"/>
    <w:rsid w:val="0092231E"/>
    <w:rsid w:val="00927881"/>
    <w:rsid w:val="0093288A"/>
    <w:rsid w:val="00933220"/>
    <w:rsid w:val="00936A74"/>
    <w:rsid w:val="00942112"/>
    <w:rsid w:val="009478E5"/>
    <w:rsid w:val="009507B1"/>
    <w:rsid w:val="00951E10"/>
    <w:rsid w:val="00957A6A"/>
    <w:rsid w:val="00957F46"/>
    <w:rsid w:val="0096559F"/>
    <w:rsid w:val="00970865"/>
    <w:rsid w:val="00974936"/>
    <w:rsid w:val="009803DD"/>
    <w:rsid w:val="00992839"/>
    <w:rsid w:val="0099786C"/>
    <w:rsid w:val="00997B94"/>
    <w:rsid w:val="009A7FC0"/>
    <w:rsid w:val="009B5DA3"/>
    <w:rsid w:val="009B763C"/>
    <w:rsid w:val="009D0243"/>
    <w:rsid w:val="009D1236"/>
    <w:rsid w:val="009D163C"/>
    <w:rsid w:val="009D26ED"/>
    <w:rsid w:val="009D32C8"/>
    <w:rsid w:val="009E74E1"/>
    <w:rsid w:val="009F1DF0"/>
    <w:rsid w:val="009F4ACB"/>
    <w:rsid w:val="009F783D"/>
    <w:rsid w:val="00A06E27"/>
    <w:rsid w:val="00A176AB"/>
    <w:rsid w:val="00A17EAA"/>
    <w:rsid w:val="00A24247"/>
    <w:rsid w:val="00A2610F"/>
    <w:rsid w:val="00A306CB"/>
    <w:rsid w:val="00A3123C"/>
    <w:rsid w:val="00A31797"/>
    <w:rsid w:val="00A4158C"/>
    <w:rsid w:val="00A442B9"/>
    <w:rsid w:val="00A44DDE"/>
    <w:rsid w:val="00A45663"/>
    <w:rsid w:val="00A53F70"/>
    <w:rsid w:val="00A541E9"/>
    <w:rsid w:val="00A56260"/>
    <w:rsid w:val="00A56A5E"/>
    <w:rsid w:val="00A57C69"/>
    <w:rsid w:val="00A65E02"/>
    <w:rsid w:val="00A73DB6"/>
    <w:rsid w:val="00A744D2"/>
    <w:rsid w:val="00A8197A"/>
    <w:rsid w:val="00A83C8F"/>
    <w:rsid w:val="00A85721"/>
    <w:rsid w:val="00A91451"/>
    <w:rsid w:val="00A968A3"/>
    <w:rsid w:val="00AA2731"/>
    <w:rsid w:val="00AA3745"/>
    <w:rsid w:val="00AA3852"/>
    <w:rsid w:val="00AA45EE"/>
    <w:rsid w:val="00AB1412"/>
    <w:rsid w:val="00AB3CAF"/>
    <w:rsid w:val="00AC0F4B"/>
    <w:rsid w:val="00AC2A5C"/>
    <w:rsid w:val="00AC511A"/>
    <w:rsid w:val="00AC6756"/>
    <w:rsid w:val="00AD22B8"/>
    <w:rsid w:val="00AD2BC3"/>
    <w:rsid w:val="00AD3697"/>
    <w:rsid w:val="00AD6156"/>
    <w:rsid w:val="00AE05BD"/>
    <w:rsid w:val="00AE2FF2"/>
    <w:rsid w:val="00AF1441"/>
    <w:rsid w:val="00B10CB4"/>
    <w:rsid w:val="00B15178"/>
    <w:rsid w:val="00B16797"/>
    <w:rsid w:val="00B226A9"/>
    <w:rsid w:val="00B2296A"/>
    <w:rsid w:val="00B23836"/>
    <w:rsid w:val="00B32649"/>
    <w:rsid w:val="00B33766"/>
    <w:rsid w:val="00B3392C"/>
    <w:rsid w:val="00B345F1"/>
    <w:rsid w:val="00B34C19"/>
    <w:rsid w:val="00B3635F"/>
    <w:rsid w:val="00B36F8F"/>
    <w:rsid w:val="00B375F6"/>
    <w:rsid w:val="00B475C2"/>
    <w:rsid w:val="00B524BA"/>
    <w:rsid w:val="00B55994"/>
    <w:rsid w:val="00B56795"/>
    <w:rsid w:val="00B60A6E"/>
    <w:rsid w:val="00B6632F"/>
    <w:rsid w:val="00B67414"/>
    <w:rsid w:val="00B71B03"/>
    <w:rsid w:val="00B732C3"/>
    <w:rsid w:val="00B7368F"/>
    <w:rsid w:val="00B737BD"/>
    <w:rsid w:val="00B74514"/>
    <w:rsid w:val="00B80215"/>
    <w:rsid w:val="00B81A3F"/>
    <w:rsid w:val="00B83498"/>
    <w:rsid w:val="00B90D29"/>
    <w:rsid w:val="00B95B80"/>
    <w:rsid w:val="00BA519C"/>
    <w:rsid w:val="00BC0987"/>
    <w:rsid w:val="00BC1B49"/>
    <w:rsid w:val="00BC3ADB"/>
    <w:rsid w:val="00BC66C2"/>
    <w:rsid w:val="00BC6CAF"/>
    <w:rsid w:val="00BC7A68"/>
    <w:rsid w:val="00BD3553"/>
    <w:rsid w:val="00BD624C"/>
    <w:rsid w:val="00BE47A2"/>
    <w:rsid w:val="00BE5084"/>
    <w:rsid w:val="00BE6C48"/>
    <w:rsid w:val="00BF087F"/>
    <w:rsid w:val="00BF097A"/>
    <w:rsid w:val="00BF6268"/>
    <w:rsid w:val="00BF78A9"/>
    <w:rsid w:val="00C022D8"/>
    <w:rsid w:val="00C02F66"/>
    <w:rsid w:val="00C14057"/>
    <w:rsid w:val="00C14A77"/>
    <w:rsid w:val="00C16842"/>
    <w:rsid w:val="00C21429"/>
    <w:rsid w:val="00C24A33"/>
    <w:rsid w:val="00C25447"/>
    <w:rsid w:val="00C2773A"/>
    <w:rsid w:val="00C376AB"/>
    <w:rsid w:val="00C446D3"/>
    <w:rsid w:val="00C513B6"/>
    <w:rsid w:val="00C53608"/>
    <w:rsid w:val="00C62D62"/>
    <w:rsid w:val="00C701FD"/>
    <w:rsid w:val="00C747FB"/>
    <w:rsid w:val="00C806FA"/>
    <w:rsid w:val="00C86BF7"/>
    <w:rsid w:val="00C9028E"/>
    <w:rsid w:val="00C9156C"/>
    <w:rsid w:val="00C95C4C"/>
    <w:rsid w:val="00C95C8D"/>
    <w:rsid w:val="00CA144C"/>
    <w:rsid w:val="00CA36D5"/>
    <w:rsid w:val="00CA4B07"/>
    <w:rsid w:val="00CA747B"/>
    <w:rsid w:val="00CB0EEE"/>
    <w:rsid w:val="00CB1412"/>
    <w:rsid w:val="00CB56EB"/>
    <w:rsid w:val="00CC0E27"/>
    <w:rsid w:val="00CC5505"/>
    <w:rsid w:val="00CC5D41"/>
    <w:rsid w:val="00CD2F66"/>
    <w:rsid w:val="00CD5B2B"/>
    <w:rsid w:val="00CD76EB"/>
    <w:rsid w:val="00CD7DB9"/>
    <w:rsid w:val="00CE6D22"/>
    <w:rsid w:val="00CE6FAB"/>
    <w:rsid w:val="00CF0148"/>
    <w:rsid w:val="00CF2B68"/>
    <w:rsid w:val="00CF71A1"/>
    <w:rsid w:val="00CF73B9"/>
    <w:rsid w:val="00CF7B9B"/>
    <w:rsid w:val="00D02706"/>
    <w:rsid w:val="00D10ED8"/>
    <w:rsid w:val="00D20AD2"/>
    <w:rsid w:val="00D246C7"/>
    <w:rsid w:val="00D26C2A"/>
    <w:rsid w:val="00D309B8"/>
    <w:rsid w:val="00D31290"/>
    <w:rsid w:val="00D315CF"/>
    <w:rsid w:val="00D377A8"/>
    <w:rsid w:val="00D4373D"/>
    <w:rsid w:val="00D462A5"/>
    <w:rsid w:val="00D46D48"/>
    <w:rsid w:val="00D518A2"/>
    <w:rsid w:val="00D53650"/>
    <w:rsid w:val="00D55616"/>
    <w:rsid w:val="00D615E5"/>
    <w:rsid w:val="00D616C5"/>
    <w:rsid w:val="00D61F12"/>
    <w:rsid w:val="00D63AEE"/>
    <w:rsid w:val="00D67600"/>
    <w:rsid w:val="00D90938"/>
    <w:rsid w:val="00D9187C"/>
    <w:rsid w:val="00D928DE"/>
    <w:rsid w:val="00D9366B"/>
    <w:rsid w:val="00D95276"/>
    <w:rsid w:val="00D95CE8"/>
    <w:rsid w:val="00D97F9B"/>
    <w:rsid w:val="00DA3173"/>
    <w:rsid w:val="00DA668B"/>
    <w:rsid w:val="00DA682D"/>
    <w:rsid w:val="00DB3A7A"/>
    <w:rsid w:val="00DB7BD7"/>
    <w:rsid w:val="00DC0AEB"/>
    <w:rsid w:val="00DC4726"/>
    <w:rsid w:val="00DC4ACF"/>
    <w:rsid w:val="00DC4DCE"/>
    <w:rsid w:val="00DC5F40"/>
    <w:rsid w:val="00DD0350"/>
    <w:rsid w:val="00DD0D69"/>
    <w:rsid w:val="00DD11C1"/>
    <w:rsid w:val="00DD1DE8"/>
    <w:rsid w:val="00DD465B"/>
    <w:rsid w:val="00DE026D"/>
    <w:rsid w:val="00DE0B6D"/>
    <w:rsid w:val="00DE1C87"/>
    <w:rsid w:val="00DE3BFE"/>
    <w:rsid w:val="00DE5614"/>
    <w:rsid w:val="00DE6824"/>
    <w:rsid w:val="00DE6C71"/>
    <w:rsid w:val="00DF0A48"/>
    <w:rsid w:val="00DF4FD8"/>
    <w:rsid w:val="00DF5210"/>
    <w:rsid w:val="00DF646C"/>
    <w:rsid w:val="00E0160A"/>
    <w:rsid w:val="00E054CC"/>
    <w:rsid w:val="00E0576E"/>
    <w:rsid w:val="00E110E9"/>
    <w:rsid w:val="00E11B52"/>
    <w:rsid w:val="00E12922"/>
    <w:rsid w:val="00E14B8B"/>
    <w:rsid w:val="00E20C1B"/>
    <w:rsid w:val="00E2594F"/>
    <w:rsid w:val="00E25E39"/>
    <w:rsid w:val="00E27D8D"/>
    <w:rsid w:val="00E34817"/>
    <w:rsid w:val="00E424E1"/>
    <w:rsid w:val="00E51077"/>
    <w:rsid w:val="00E51785"/>
    <w:rsid w:val="00E547E3"/>
    <w:rsid w:val="00E54FF0"/>
    <w:rsid w:val="00E56013"/>
    <w:rsid w:val="00E57276"/>
    <w:rsid w:val="00E67CE0"/>
    <w:rsid w:val="00E71BD5"/>
    <w:rsid w:val="00E9296D"/>
    <w:rsid w:val="00E9657F"/>
    <w:rsid w:val="00E96D4F"/>
    <w:rsid w:val="00E96E22"/>
    <w:rsid w:val="00EA1092"/>
    <w:rsid w:val="00EB0BFA"/>
    <w:rsid w:val="00EB1F28"/>
    <w:rsid w:val="00EB5A58"/>
    <w:rsid w:val="00EC0D4C"/>
    <w:rsid w:val="00EC3C86"/>
    <w:rsid w:val="00EC5E26"/>
    <w:rsid w:val="00ED4220"/>
    <w:rsid w:val="00ED56C8"/>
    <w:rsid w:val="00EE31C8"/>
    <w:rsid w:val="00EE32A8"/>
    <w:rsid w:val="00EE37C2"/>
    <w:rsid w:val="00EE4A31"/>
    <w:rsid w:val="00EE60BD"/>
    <w:rsid w:val="00EF0B65"/>
    <w:rsid w:val="00EF4248"/>
    <w:rsid w:val="00EF5B3A"/>
    <w:rsid w:val="00F0071D"/>
    <w:rsid w:val="00F012E8"/>
    <w:rsid w:val="00F01639"/>
    <w:rsid w:val="00F050B4"/>
    <w:rsid w:val="00F068A8"/>
    <w:rsid w:val="00F10823"/>
    <w:rsid w:val="00F11463"/>
    <w:rsid w:val="00F11B56"/>
    <w:rsid w:val="00F11DF1"/>
    <w:rsid w:val="00F1551E"/>
    <w:rsid w:val="00F16770"/>
    <w:rsid w:val="00F1715E"/>
    <w:rsid w:val="00F252C0"/>
    <w:rsid w:val="00F25556"/>
    <w:rsid w:val="00F31F44"/>
    <w:rsid w:val="00F32634"/>
    <w:rsid w:val="00F326DF"/>
    <w:rsid w:val="00F334AD"/>
    <w:rsid w:val="00F35AD2"/>
    <w:rsid w:val="00F366F4"/>
    <w:rsid w:val="00F508FB"/>
    <w:rsid w:val="00F5264C"/>
    <w:rsid w:val="00F56CF7"/>
    <w:rsid w:val="00F62673"/>
    <w:rsid w:val="00F6452C"/>
    <w:rsid w:val="00F659AA"/>
    <w:rsid w:val="00F7463A"/>
    <w:rsid w:val="00F759B3"/>
    <w:rsid w:val="00F772D3"/>
    <w:rsid w:val="00F80971"/>
    <w:rsid w:val="00F907B9"/>
    <w:rsid w:val="00F9517D"/>
    <w:rsid w:val="00F97A16"/>
    <w:rsid w:val="00FA1788"/>
    <w:rsid w:val="00FA47C7"/>
    <w:rsid w:val="00FA625C"/>
    <w:rsid w:val="00FA62AF"/>
    <w:rsid w:val="00FA66DB"/>
    <w:rsid w:val="00FB1184"/>
    <w:rsid w:val="00FB1AA5"/>
    <w:rsid w:val="00FB5AAC"/>
    <w:rsid w:val="00FB6D33"/>
    <w:rsid w:val="00FB6F41"/>
    <w:rsid w:val="00FC0BC1"/>
    <w:rsid w:val="00FD3DD6"/>
    <w:rsid w:val="00FD4E11"/>
    <w:rsid w:val="00FD559B"/>
    <w:rsid w:val="00FE2E08"/>
    <w:rsid w:val="00FE4661"/>
    <w:rsid w:val="00FE6695"/>
    <w:rsid w:val="00FE6F4B"/>
    <w:rsid w:val="00FF1CF3"/>
    <w:rsid w:val="00FF2715"/>
    <w:rsid w:val="00FF28FE"/>
    <w:rsid w:val="00FF2C6D"/>
    <w:rsid w:val="00FF343F"/>
    <w:rsid w:val="00FF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14:docId w14:val="349D0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52C"/>
    <w:pPr>
      <w:spacing w:after="200"/>
    </w:pPr>
    <w:rPr>
      <w:rFonts w:ascii="Calibri" w:hAnsi="Calibri"/>
      <w:sz w:val="22"/>
      <w:szCs w:val="24"/>
    </w:rPr>
  </w:style>
  <w:style w:type="paragraph" w:styleId="Heading1">
    <w:name w:val="heading 1"/>
    <w:basedOn w:val="Normal"/>
    <w:next w:val="Normal"/>
    <w:link w:val="Heading1Char"/>
    <w:qFormat/>
    <w:rsid w:val="002B3B0A"/>
    <w:pPr>
      <w:keepNext/>
      <w:spacing w:after="360"/>
      <w:contextualSpacing/>
      <w:outlineLvl w:val="0"/>
    </w:pPr>
    <w:rPr>
      <w:rFonts w:ascii="Futura Std Light" w:hAnsi="Futura Std Light" w:cs="Arial"/>
      <w:b/>
      <w:bCs/>
      <w:color w:val="004712" w:themeColor="accent1"/>
      <w:kern w:val="40"/>
      <w:sz w:val="48"/>
      <w:szCs w:val="32"/>
    </w:rPr>
  </w:style>
  <w:style w:type="paragraph" w:styleId="Heading2">
    <w:name w:val="heading 2"/>
    <w:basedOn w:val="Normal"/>
    <w:next w:val="Normal"/>
    <w:link w:val="Heading2Char"/>
    <w:qFormat/>
    <w:rsid w:val="002B3B0A"/>
    <w:pPr>
      <w:keepNext/>
      <w:spacing w:before="240" w:after="40"/>
      <w:contextualSpacing/>
      <w:outlineLvl w:val="1"/>
    </w:pPr>
    <w:rPr>
      <w:rFonts w:ascii="Futura Std Medium" w:hAnsi="Futura Std Medium" w:cs="Arial"/>
      <w:bCs/>
      <w:iCs/>
      <w:color w:val="004712" w:themeColor="accent1"/>
      <w:sz w:val="30"/>
      <w:szCs w:val="28"/>
    </w:rPr>
  </w:style>
  <w:style w:type="paragraph" w:styleId="Heading3">
    <w:name w:val="heading 3"/>
    <w:basedOn w:val="Normal"/>
    <w:next w:val="Normal"/>
    <w:link w:val="Heading3Char"/>
    <w:qFormat/>
    <w:rsid w:val="002B3B0A"/>
    <w:pPr>
      <w:keepNext/>
      <w:spacing w:before="240" w:after="20"/>
      <w:contextualSpacing/>
      <w:outlineLvl w:val="2"/>
    </w:pPr>
    <w:rPr>
      <w:rFonts w:cs="Arial"/>
      <w:b/>
      <w:bCs/>
      <w:color w:val="004712" w:themeColor="accent1"/>
      <w:sz w:val="24"/>
      <w:szCs w:val="26"/>
    </w:rPr>
  </w:style>
  <w:style w:type="paragraph" w:styleId="Heading4">
    <w:name w:val="heading 4"/>
    <w:basedOn w:val="Normal"/>
    <w:next w:val="Normal"/>
    <w:qFormat/>
    <w:rsid w:val="002B3B0A"/>
    <w:pPr>
      <w:keepNext/>
      <w:spacing w:before="200"/>
      <w:outlineLvl w:val="3"/>
    </w:pPr>
    <w:rPr>
      <w:b/>
      <w:bCs/>
      <w:color w:val="004712" w:themeColor="accen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5B80"/>
    <w:pPr>
      <w:spacing w:after="40"/>
      <w:jc w:val="right"/>
      <w:outlineLvl w:val="0"/>
    </w:pPr>
    <w:rPr>
      <w:rFonts w:ascii="Futura Std Medium" w:hAnsi="Futura Std Medium" w:cs="Arial"/>
      <w:bCs/>
      <w:color w:val="FFFFFF"/>
      <w:kern w:val="48"/>
      <w:sz w:val="48"/>
      <w:szCs w:val="32"/>
    </w:rPr>
  </w:style>
  <w:style w:type="paragraph" w:styleId="Subtitle">
    <w:name w:val="Subtitle"/>
    <w:qFormat/>
    <w:rsid w:val="00B95B80"/>
    <w:pPr>
      <w:jc w:val="right"/>
      <w:outlineLvl w:val="1"/>
    </w:pPr>
    <w:rPr>
      <w:rFonts w:ascii="Futura Std Medium" w:hAnsi="Futura Std Medium" w:cs="Arial"/>
      <w:bCs/>
      <w:iCs/>
      <w:color w:val="FFFFFF"/>
      <w:sz w:val="30"/>
      <w:szCs w:val="28"/>
    </w:rPr>
  </w:style>
  <w:style w:type="paragraph" w:styleId="Footer">
    <w:name w:val="footer"/>
    <w:basedOn w:val="Normal"/>
    <w:link w:val="FooterChar"/>
    <w:uiPriority w:val="99"/>
    <w:rsid w:val="001131CD"/>
    <w:pPr>
      <w:tabs>
        <w:tab w:val="center" w:pos="4153"/>
        <w:tab w:val="right" w:pos="8306"/>
      </w:tabs>
      <w:spacing w:after="0"/>
      <w:jc w:val="right"/>
    </w:pPr>
    <w:rPr>
      <w:rFonts w:ascii="Futura Std Medium" w:hAnsi="Futura Std Medium"/>
      <w:color w:val="606060"/>
      <w:sz w:val="16"/>
    </w:rPr>
  </w:style>
  <w:style w:type="paragraph" w:customStyle="1" w:styleId="Contents">
    <w:name w:val="Contents"/>
    <w:basedOn w:val="Normal"/>
    <w:rsid w:val="009D26ED"/>
    <w:pPr>
      <w:pBdr>
        <w:bottom w:val="single" w:sz="4" w:space="1" w:color="606060"/>
      </w:pBdr>
      <w:spacing w:after="360"/>
      <w:contextualSpacing/>
    </w:pPr>
    <w:rPr>
      <w:rFonts w:ascii="Futura Std Medium" w:hAnsi="Futura Std Medium"/>
      <w:color w:val="005187"/>
      <w:sz w:val="48"/>
    </w:rPr>
  </w:style>
  <w:style w:type="paragraph" w:styleId="TOC1">
    <w:name w:val="toc 1"/>
    <w:basedOn w:val="Normal"/>
    <w:next w:val="Normal"/>
    <w:autoRedefine/>
    <w:uiPriority w:val="39"/>
    <w:rsid w:val="009D26ED"/>
  </w:style>
  <w:style w:type="paragraph" w:styleId="NoSpacing">
    <w:name w:val="No Spacing"/>
    <w:basedOn w:val="Normal"/>
    <w:qFormat/>
    <w:rsid w:val="00B95B80"/>
    <w:pPr>
      <w:spacing w:after="0"/>
    </w:pPr>
  </w:style>
  <w:style w:type="table" w:customStyle="1" w:styleId="QuantumBasicTable">
    <w:name w:val="Quantum Basic Table"/>
    <w:basedOn w:val="TableNormal"/>
    <w:rsid w:val="009E74E1"/>
    <w:pPr>
      <w:spacing w:before="40" w:after="40"/>
    </w:pPr>
    <w:rPr>
      <w:rFonts w:ascii="Calibri" w:hAnsi="Calibri"/>
      <w:sz w:val="22"/>
    </w:rPr>
    <w:tblPr>
      <w:tblBorders>
        <w:top w:val="single" w:sz="12" w:space="0" w:color="005187"/>
        <w:left w:val="single" w:sz="12" w:space="0" w:color="005187"/>
        <w:bottom w:val="single" w:sz="12" w:space="0" w:color="005187"/>
        <w:right w:val="single" w:sz="12" w:space="0" w:color="005187"/>
        <w:insideH w:val="single" w:sz="12" w:space="0" w:color="005187"/>
        <w:insideV w:val="single" w:sz="12" w:space="0" w:color="005187"/>
      </w:tblBorders>
    </w:tblPr>
    <w:tcPr>
      <w:vAlign w:val="center"/>
    </w:tcPr>
    <w:tblStylePr w:type="firstRow">
      <w:rPr>
        <w:b/>
        <w:color w:val="FFFFFF" w:themeColor="background1"/>
      </w:rPr>
      <w:tblPr/>
      <w:tcPr>
        <w:tcBorders>
          <w:top w:val="single" w:sz="4" w:space="0" w:color="004712" w:themeColor="accent1"/>
          <w:left w:val="single" w:sz="4" w:space="0" w:color="004712" w:themeColor="accent1"/>
          <w:bottom w:val="single" w:sz="4" w:space="0" w:color="004712" w:themeColor="accent1"/>
          <w:right w:val="single" w:sz="4" w:space="0" w:color="004712" w:themeColor="accent1"/>
          <w:insideH w:val="nil"/>
          <w:insideV w:val="single" w:sz="4" w:space="0" w:color="004712" w:themeColor="accent1"/>
          <w:tl2br w:val="nil"/>
          <w:tr2bl w:val="nil"/>
        </w:tcBorders>
        <w:shd w:val="clear" w:color="auto" w:fill="004712" w:themeFill="accent1"/>
      </w:tcPr>
    </w:tblStylePr>
  </w:style>
  <w:style w:type="table" w:customStyle="1" w:styleId="QuantumBandedTable">
    <w:name w:val="Quantum Banded Table"/>
    <w:basedOn w:val="TableNormal"/>
    <w:rsid w:val="00A57C69"/>
    <w:pPr>
      <w:spacing w:before="120" w:after="120"/>
    </w:pPr>
    <w:rPr>
      <w:rFonts w:ascii="Calibri" w:hAnsi="Calibri"/>
      <w:sz w:val="22"/>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vAlign w:val="center"/>
    </w:tcPr>
    <w:tblStylePr w:type="firstRow">
      <w:pPr>
        <w:wordWrap/>
        <w:spacing w:beforeLines="0" w:before="40" w:beforeAutospacing="0" w:afterLines="0" w:after="40" w:afterAutospacing="0" w:line="240" w:lineRule="auto"/>
      </w:pPr>
      <w:rPr>
        <w:b/>
        <w:color w:val="FFFFFF"/>
      </w:rPr>
      <w:tblPr/>
      <w:tcPr>
        <w:tc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nil"/>
          <w:insideV w:val="single" w:sz="6" w:space="0" w:color="FFFFFF" w:themeColor="background1"/>
          <w:tl2br w:val="nil"/>
          <w:tr2bl w:val="nil"/>
        </w:tcBorders>
        <w:shd w:val="clear" w:color="auto" w:fill="004712" w:themeFill="accent1"/>
      </w:tcPr>
    </w:tblStylePr>
    <w:tblStylePr w:type="band1Horz">
      <w:pPr>
        <w:wordWrap/>
        <w:spacing w:beforeLines="0" w:before="40" w:beforeAutospacing="0" w:afterLines="0" w:after="40" w:afterAutospacing="0"/>
      </w:pPr>
      <w:tblPr/>
      <w:tcPr>
        <w:shd w:val="clear" w:color="auto" w:fill="E8EEE8" w:themeFill="accent2"/>
      </w:tcPr>
    </w:tblStylePr>
    <w:tblStylePr w:type="band2Horz">
      <w:pPr>
        <w:wordWrap/>
        <w:spacing w:beforeLines="0" w:before="40" w:beforeAutospacing="0" w:afterLines="0" w:after="40" w:afterAutospacing="0"/>
      </w:pPr>
      <w:rPr>
        <w:color w:val="auto"/>
      </w:rPr>
      <w:tblPr/>
      <w:tcPr>
        <w:shd w:val="clear" w:color="auto" w:fill="F2F6F2" w:themeFill="accent3"/>
      </w:tcPr>
    </w:tblStylePr>
  </w:style>
  <w:style w:type="paragraph" w:styleId="ListBullet">
    <w:name w:val="List Bullet"/>
    <w:basedOn w:val="Normal"/>
    <w:qFormat/>
    <w:rsid w:val="004C7E97"/>
    <w:pPr>
      <w:numPr>
        <w:numId w:val="1"/>
      </w:numPr>
      <w:contextualSpacing/>
    </w:pPr>
  </w:style>
  <w:style w:type="paragraph" w:styleId="ListNumber">
    <w:name w:val="List Number"/>
    <w:basedOn w:val="Normal"/>
    <w:qFormat/>
    <w:rsid w:val="004C7E97"/>
    <w:pPr>
      <w:numPr>
        <w:numId w:val="2"/>
      </w:numPr>
    </w:pPr>
  </w:style>
  <w:style w:type="paragraph" w:styleId="Header">
    <w:name w:val="header"/>
    <w:basedOn w:val="Normal"/>
    <w:link w:val="HeaderChar"/>
    <w:rsid w:val="00C022D8"/>
    <w:pPr>
      <w:tabs>
        <w:tab w:val="center" w:pos="4513"/>
        <w:tab w:val="right" w:pos="9026"/>
      </w:tabs>
    </w:pPr>
  </w:style>
  <w:style w:type="character" w:customStyle="1" w:styleId="HeaderChar">
    <w:name w:val="Header Char"/>
    <w:link w:val="Header"/>
    <w:rsid w:val="00C022D8"/>
    <w:rPr>
      <w:rFonts w:ascii="Calibri" w:hAnsi="Calibri"/>
      <w:sz w:val="22"/>
      <w:szCs w:val="24"/>
    </w:rPr>
  </w:style>
  <w:style w:type="character" w:customStyle="1" w:styleId="Heading1Char">
    <w:name w:val="Heading 1 Char"/>
    <w:link w:val="Heading1"/>
    <w:rsid w:val="002B3B0A"/>
    <w:rPr>
      <w:rFonts w:ascii="Futura Std Light" w:hAnsi="Futura Std Light" w:cs="Arial"/>
      <w:b/>
      <w:bCs/>
      <w:color w:val="004712" w:themeColor="accent1"/>
      <w:kern w:val="40"/>
      <w:sz w:val="48"/>
      <w:szCs w:val="32"/>
    </w:rPr>
  </w:style>
  <w:style w:type="character" w:styleId="Emphasis">
    <w:name w:val="Emphasis"/>
    <w:qFormat/>
    <w:rsid w:val="00B95B80"/>
    <w:rPr>
      <w:i/>
      <w:iCs/>
    </w:rPr>
  </w:style>
  <w:style w:type="paragraph" w:styleId="ListParagraph">
    <w:name w:val="List Paragraph"/>
    <w:aliases w:val="PRI Bullets,List Paragraph1,Paragraphe de liste,Numbered Para 1,Dot pt,No Spacing1,List Paragraph Char Char Char,Indicator Text,Bullet 1,Bullet Points,MAIN CONTENT,List Paragraph12,F5 List Paragraph,OBC Bullet,List Paragraph11,L,3,Level1"/>
    <w:basedOn w:val="Normal"/>
    <w:link w:val="ListParagraphChar"/>
    <w:uiPriority w:val="34"/>
    <w:qFormat/>
    <w:rsid w:val="00B95B80"/>
    <w:pPr>
      <w:ind w:left="720"/>
      <w:contextualSpacing/>
    </w:pPr>
  </w:style>
  <w:style w:type="paragraph" w:customStyle="1" w:styleId="H1-NotShowninContents">
    <w:name w:val="H1 - Not Shown in Contents"/>
    <w:basedOn w:val="Heading1"/>
    <w:next w:val="Normal"/>
    <w:qFormat/>
    <w:rsid w:val="00E20C1B"/>
  </w:style>
  <w:style w:type="character" w:styleId="PageNumber">
    <w:name w:val="page number"/>
    <w:basedOn w:val="DefaultParagraphFont"/>
    <w:rsid w:val="00BC6CAF"/>
  </w:style>
  <w:style w:type="table" w:customStyle="1" w:styleId="TableGrid1">
    <w:name w:val="Table Grid1"/>
    <w:basedOn w:val="TableNormal"/>
    <w:uiPriority w:val="99"/>
    <w:rsid w:val="00BC6CAF"/>
    <w:rPr>
      <w:rFonts w:ascii="Calibri" w:hAnsi="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C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bold"/>
    <w:basedOn w:val="Normal"/>
    <w:qFormat/>
    <w:rsid w:val="001B4573"/>
    <w:pPr>
      <w:tabs>
        <w:tab w:val="left" w:pos="567"/>
      </w:tabs>
      <w:overflowPunct w:val="0"/>
      <w:autoSpaceDE w:val="0"/>
      <w:autoSpaceDN w:val="0"/>
      <w:adjustRightInd w:val="0"/>
      <w:spacing w:before="200" w:line="300" w:lineRule="auto"/>
      <w:textAlignment w:val="baseline"/>
    </w:pPr>
    <w:rPr>
      <w:rFonts w:ascii="Arial" w:hAnsi="Arial"/>
      <w:b/>
      <w:kern w:val="16"/>
      <w:sz w:val="20"/>
      <w:szCs w:val="20"/>
    </w:rPr>
  </w:style>
  <w:style w:type="paragraph" w:styleId="BalloonText">
    <w:name w:val="Balloon Text"/>
    <w:basedOn w:val="Normal"/>
    <w:link w:val="BalloonTextChar"/>
    <w:rsid w:val="001B4573"/>
    <w:pPr>
      <w:spacing w:after="0"/>
    </w:pPr>
    <w:rPr>
      <w:rFonts w:ascii="Tahoma" w:hAnsi="Tahoma" w:cs="Tahoma"/>
      <w:sz w:val="16"/>
      <w:szCs w:val="16"/>
    </w:rPr>
  </w:style>
  <w:style w:type="character" w:customStyle="1" w:styleId="BalloonTextChar">
    <w:name w:val="Balloon Text Char"/>
    <w:basedOn w:val="DefaultParagraphFont"/>
    <w:link w:val="BalloonText"/>
    <w:rsid w:val="001B4573"/>
    <w:rPr>
      <w:rFonts w:ascii="Tahoma" w:hAnsi="Tahoma" w:cs="Tahoma"/>
      <w:sz w:val="16"/>
      <w:szCs w:val="16"/>
    </w:rPr>
  </w:style>
  <w:style w:type="character" w:styleId="Hyperlink">
    <w:name w:val="Hyperlink"/>
    <w:basedOn w:val="DefaultParagraphFont"/>
    <w:uiPriority w:val="99"/>
    <w:unhideWhenUsed/>
    <w:rsid w:val="007532EC"/>
    <w:rPr>
      <w:color w:val="000000" w:themeColor="hyperlink"/>
      <w:u w:val="single"/>
    </w:rPr>
  </w:style>
  <w:style w:type="character" w:styleId="CommentReference">
    <w:name w:val="annotation reference"/>
    <w:basedOn w:val="DefaultParagraphFont"/>
    <w:semiHidden/>
    <w:unhideWhenUsed/>
    <w:rsid w:val="00DC0AEB"/>
    <w:rPr>
      <w:sz w:val="16"/>
      <w:szCs w:val="16"/>
    </w:rPr>
  </w:style>
  <w:style w:type="paragraph" w:styleId="CommentText">
    <w:name w:val="annotation text"/>
    <w:basedOn w:val="Normal"/>
    <w:link w:val="CommentTextChar"/>
    <w:unhideWhenUsed/>
    <w:rsid w:val="00DC0AEB"/>
    <w:rPr>
      <w:sz w:val="20"/>
      <w:szCs w:val="20"/>
    </w:rPr>
  </w:style>
  <w:style w:type="character" w:customStyle="1" w:styleId="CommentTextChar">
    <w:name w:val="Comment Text Char"/>
    <w:basedOn w:val="DefaultParagraphFont"/>
    <w:link w:val="CommentText"/>
    <w:rsid w:val="00DC0AEB"/>
    <w:rPr>
      <w:rFonts w:ascii="Calibri" w:hAnsi="Calibri"/>
    </w:rPr>
  </w:style>
  <w:style w:type="paragraph" w:styleId="CommentSubject">
    <w:name w:val="annotation subject"/>
    <w:basedOn w:val="CommentText"/>
    <w:next w:val="CommentText"/>
    <w:link w:val="CommentSubjectChar"/>
    <w:semiHidden/>
    <w:unhideWhenUsed/>
    <w:rsid w:val="00DC0AEB"/>
    <w:rPr>
      <w:b/>
      <w:bCs/>
    </w:rPr>
  </w:style>
  <w:style w:type="character" w:customStyle="1" w:styleId="CommentSubjectChar">
    <w:name w:val="Comment Subject Char"/>
    <w:basedOn w:val="CommentTextChar"/>
    <w:link w:val="CommentSubject"/>
    <w:semiHidden/>
    <w:rsid w:val="00DC0AEB"/>
    <w:rPr>
      <w:rFonts w:ascii="Calibri" w:hAnsi="Calibri"/>
      <w:b/>
      <w:bCs/>
    </w:rPr>
  </w:style>
  <w:style w:type="paragraph" w:styleId="Revision">
    <w:name w:val="Revision"/>
    <w:hidden/>
    <w:uiPriority w:val="99"/>
    <w:semiHidden/>
    <w:rsid w:val="00D928DE"/>
    <w:rPr>
      <w:rFonts w:ascii="Calibri" w:hAnsi="Calibri"/>
      <w:sz w:val="22"/>
      <w:szCs w:val="24"/>
    </w:rPr>
  </w:style>
  <w:style w:type="paragraph" w:styleId="NormalWeb">
    <w:name w:val="Normal (Web)"/>
    <w:basedOn w:val="Normal"/>
    <w:uiPriority w:val="99"/>
    <w:semiHidden/>
    <w:unhideWhenUsed/>
    <w:rsid w:val="009478E5"/>
    <w:pPr>
      <w:spacing w:before="100" w:beforeAutospacing="1" w:after="100" w:afterAutospacing="1"/>
    </w:pPr>
    <w:rPr>
      <w:rFonts w:ascii="Times New Roman" w:eastAsiaTheme="minorEastAsia" w:hAnsi="Times New Roman"/>
      <w:sz w:val="24"/>
    </w:rPr>
  </w:style>
  <w:style w:type="paragraph" w:customStyle="1" w:styleId="Tabletextlf">
    <w:name w:val="_Table text lf"/>
    <w:basedOn w:val="Normal"/>
    <w:qFormat/>
    <w:rsid w:val="00D97F9B"/>
    <w:pPr>
      <w:spacing w:after="0" w:line="280" w:lineRule="atLeast"/>
    </w:pPr>
    <w:rPr>
      <w:rFonts w:ascii="Arial" w:hAnsi="Arial"/>
      <w:sz w:val="18"/>
    </w:rPr>
  </w:style>
  <w:style w:type="character" w:customStyle="1" w:styleId="FooterChar">
    <w:name w:val="Footer Char"/>
    <w:basedOn w:val="DefaultParagraphFont"/>
    <w:link w:val="Footer"/>
    <w:uiPriority w:val="99"/>
    <w:rsid w:val="0052520B"/>
    <w:rPr>
      <w:rFonts w:ascii="Futura Std Medium" w:hAnsi="Futura Std Medium"/>
      <w:color w:val="606060"/>
      <w:sz w:val="16"/>
      <w:szCs w:val="24"/>
    </w:rPr>
  </w:style>
  <w:style w:type="character" w:styleId="IntenseEmphasis">
    <w:name w:val="Intense Emphasis"/>
    <w:basedOn w:val="DefaultParagraphFont"/>
    <w:uiPriority w:val="21"/>
    <w:qFormat/>
    <w:rsid w:val="002B3B0A"/>
    <w:rPr>
      <w:i/>
      <w:iCs/>
      <w:color w:val="004712" w:themeColor="accent1"/>
    </w:rPr>
  </w:style>
  <w:style w:type="paragraph" w:styleId="IntenseQuote">
    <w:name w:val="Intense Quote"/>
    <w:basedOn w:val="Normal"/>
    <w:next w:val="Normal"/>
    <w:link w:val="IntenseQuoteChar"/>
    <w:uiPriority w:val="30"/>
    <w:qFormat/>
    <w:rsid w:val="002B3B0A"/>
    <w:pPr>
      <w:pBdr>
        <w:top w:val="single" w:sz="4" w:space="10" w:color="004712" w:themeColor="accent1"/>
        <w:bottom w:val="single" w:sz="4" w:space="10" w:color="004712" w:themeColor="accent1"/>
      </w:pBdr>
      <w:spacing w:before="360" w:after="360"/>
      <w:ind w:left="864" w:right="864"/>
      <w:jc w:val="center"/>
    </w:pPr>
    <w:rPr>
      <w:i/>
      <w:iCs/>
      <w:color w:val="004712" w:themeColor="accent1"/>
    </w:rPr>
  </w:style>
  <w:style w:type="character" w:customStyle="1" w:styleId="IntenseQuoteChar">
    <w:name w:val="Intense Quote Char"/>
    <w:basedOn w:val="DefaultParagraphFont"/>
    <w:link w:val="IntenseQuote"/>
    <w:uiPriority w:val="30"/>
    <w:rsid w:val="002B3B0A"/>
    <w:rPr>
      <w:rFonts w:ascii="Calibri" w:hAnsi="Calibri"/>
      <w:i/>
      <w:iCs/>
      <w:color w:val="004712" w:themeColor="accent1"/>
      <w:sz w:val="22"/>
      <w:szCs w:val="24"/>
    </w:rPr>
  </w:style>
  <w:style w:type="character" w:styleId="IntenseReference">
    <w:name w:val="Intense Reference"/>
    <w:basedOn w:val="DefaultParagraphFont"/>
    <w:uiPriority w:val="32"/>
    <w:qFormat/>
    <w:rsid w:val="002B3B0A"/>
    <w:rPr>
      <w:b/>
      <w:bCs/>
      <w:smallCaps/>
      <w:color w:val="004712" w:themeColor="accent1"/>
      <w:spacing w:val="5"/>
    </w:rPr>
  </w:style>
  <w:style w:type="character" w:customStyle="1" w:styleId="Heading3Char">
    <w:name w:val="Heading 3 Char"/>
    <w:basedOn w:val="DefaultParagraphFont"/>
    <w:link w:val="Heading3"/>
    <w:rsid w:val="00454CAC"/>
    <w:rPr>
      <w:rFonts w:ascii="Calibri" w:hAnsi="Calibri" w:cs="Arial"/>
      <w:b/>
      <w:bCs/>
      <w:color w:val="004712" w:themeColor="accent1"/>
      <w:sz w:val="24"/>
      <w:szCs w:val="26"/>
    </w:rPr>
  </w:style>
  <w:style w:type="paragraph" w:customStyle="1" w:styleId="Default">
    <w:name w:val="Default"/>
    <w:rsid w:val="00EE32A8"/>
    <w:pPr>
      <w:autoSpaceDE w:val="0"/>
      <w:autoSpaceDN w:val="0"/>
      <w:adjustRightInd w:val="0"/>
    </w:pPr>
    <w:rPr>
      <w:rFonts w:ascii="Calibri" w:hAnsi="Calibri" w:cs="Calibri"/>
      <w:color w:val="000000"/>
      <w:sz w:val="24"/>
      <w:szCs w:val="24"/>
    </w:rPr>
  </w:style>
  <w:style w:type="paragraph" w:customStyle="1" w:styleId="Normal2">
    <w:name w:val="Normal2"/>
    <w:basedOn w:val="Normal"/>
    <w:rsid w:val="00EC3C86"/>
    <w:pPr>
      <w:tabs>
        <w:tab w:val="left" w:pos="720"/>
      </w:tabs>
      <w:spacing w:before="240" w:after="0"/>
      <w:ind w:left="720"/>
      <w:jc w:val="both"/>
    </w:pPr>
    <w:rPr>
      <w:rFonts w:ascii="Times New Roman" w:hAnsi="Times New Roman"/>
      <w:szCs w:val="20"/>
    </w:rPr>
  </w:style>
  <w:style w:type="character" w:customStyle="1" w:styleId="Heading2Char">
    <w:name w:val="Heading 2 Char"/>
    <w:basedOn w:val="DefaultParagraphFont"/>
    <w:link w:val="Heading2"/>
    <w:rsid w:val="00EC3C86"/>
    <w:rPr>
      <w:rFonts w:ascii="Futura Std Medium" w:hAnsi="Futura Std Medium" w:cs="Arial"/>
      <w:bCs/>
      <w:iCs/>
      <w:color w:val="004712" w:themeColor="accent1"/>
      <w:sz w:val="30"/>
      <w:szCs w:val="28"/>
    </w:rPr>
  </w:style>
  <w:style w:type="character" w:customStyle="1" w:styleId="ListParagraphChar">
    <w:name w:val="List Paragraph Char"/>
    <w:aliases w:val="PRI Bullets Char,List Paragraph1 Char,Paragraphe de liste Char,Numbered Para 1 Char,Dot pt Char,No Spacing1 Char,List Paragraph Char Char Char Char,Indicator Text Char,Bullet 1 Char,Bullet Points Char,MAIN CONTENT Char,L Char,3 Char"/>
    <w:link w:val="ListParagraph"/>
    <w:uiPriority w:val="34"/>
    <w:locked/>
    <w:rsid w:val="001E20CB"/>
    <w:rPr>
      <w:rFonts w:ascii="Calibri" w:hAnsi="Calibri"/>
      <w:sz w:val="22"/>
      <w:szCs w:val="24"/>
    </w:rPr>
  </w:style>
  <w:style w:type="character" w:styleId="UnresolvedMention">
    <w:name w:val="Unresolved Mention"/>
    <w:basedOn w:val="DefaultParagraphFont"/>
    <w:uiPriority w:val="99"/>
    <w:semiHidden/>
    <w:unhideWhenUsed/>
    <w:rsid w:val="00CD7DB9"/>
    <w:rPr>
      <w:color w:val="605E5C"/>
      <w:shd w:val="clear" w:color="auto" w:fill="E1DFDD"/>
    </w:rPr>
  </w:style>
  <w:style w:type="character" w:styleId="FollowedHyperlink">
    <w:name w:val="FollowedHyperlink"/>
    <w:basedOn w:val="DefaultParagraphFont"/>
    <w:semiHidden/>
    <w:unhideWhenUsed/>
    <w:rsid w:val="00B71B03"/>
    <w:rPr>
      <w:color w:val="004712" w:themeColor="followedHyperlink"/>
      <w:u w:val="single"/>
    </w:rPr>
  </w:style>
  <w:style w:type="numbering" w:customStyle="1" w:styleId="Style1">
    <w:name w:val="Style1"/>
    <w:uiPriority w:val="99"/>
    <w:rsid w:val="001930B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88060">
      <w:bodyDiv w:val="1"/>
      <w:marLeft w:val="0"/>
      <w:marRight w:val="0"/>
      <w:marTop w:val="0"/>
      <w:marBottom w:val="0"/>
      <w:divBdr>
        <w:top w:val="none" w:sz="0" w:space="0" w:color="auto"/>
        <w:left w:val="none" w:sz="0" w:space="0" w:color="auto"/>
        <w:bottom w:val="none" w:sz="0" w:space="0" w:color="auto"/>
        <w:right w:val="none" w:sz="0" w:space="0" w:color="auto"/>
      </w:divBdr>
    </w:div>
    <w:div w:id="1825392171">
      <w:bodyDiv w:val="1"/>
      <w:marLeft w:val="0"/>
      <w:marRight w:val="0"/>
      <w:marTop w:val="0"/>
      <w:marBottom w:val="0"/>
      <w:divBdr>
        <w:top w:val="none" w:sz="0" w:space="0" w:color="auto"/>
        <w:left w:val="none" w:sz="0" w:space="0" w:color="auto"/>
        <w:bottom w:val="none" w:sz="0" w:space="0" w:color="auto"/>
        <w:right w:val="none" w:sz="0" w:space="0" w:color="auto"/>
      </w:divBdr>
    </w:div>
    <w:div w:id="2070374694">
      <w:bodyDiv w:val="1"/>
      <w:marLeft w:val="0"/>
      <w:marRight w:val="0"/>
      <w:marTop w:val="0"/>
      <w:marBottom w:val="0"/>
      <w:divBdr>
        <w:top w:val="none" w:sz="0" w:space="0" w:color="auto"/>
        <w:left w:val="none" w:sz="0" w:space="0" w:color="auto"/>
        <w:bottom w:val="none" w:sz="0" w:space="0" w:color="auto"/>
        <w:right w:val="none" w:sz="0" w:space="0" w:color="auto"/>
      </w:divBdr>
    </w:div>
    <w:div w:id="21229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file:///C:\ProgramData\Quantum\Dynamix.Net\Images\qacont.png" TargetMode="External"/></Relationships>
</file>

<file path=word/theme/theme1.xml><?xml version="1.0" encoding="utf-8"?>
<a:theme xmlns:a="http://schemas.openxmlformats.org/drawingml/2006/main" name="Quantum Word Theme">
  <a:themeElements>
    <a:clrScheme name="Quantum - Investment Consultancy">
      <a:dk1>
        <a:srgbClr val="000000"/>
      </a:dk1>
      <a:lt1>
        <a:srgbClr val="FFFFFF"/>
      </a:lt1>
      <a:dk2>
        <a:srgbClr val="FFFFFF"/>
      </a:dk2>
      <a:lt2>
        <a:srgbClr val="E8EEE8"/>
      </a:lt2>
      <a:accent1>
        <a:srgbClr val="004712"/>
      </a:accent1>
      <a:accent2>
        <a:srgbClr val="E8EEE8"/>
      </a:accent2>
      <a:accent3>
        <a:srgbClr val="F2F6F2"/>
      </a:accent3>
      <a:accent4>
        <a:srgbClr val="005187"/>
      </a:accent4>
      <a:accent5>
        <a:srgbClr val="AAB3C3"/>
      </a:accent5>
      <a:accent6>
        <a:srgbClr val="5F6062"/>
      </a:accent6>
      <a:hlink>
        <a:srgbClr val="000000"/>
      </a:hlink>
      <a:folHlink>
        <a:srgbClr val="004712"/>
      </a:folHlink>
    </a:clrScheme>
    <a:fontScheme name="Quantum">
      <a:majorFont>
        <a:latin typeface="Futura Std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E6728-A491-421E-8882-CCFC397A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3747</Words>
  <Characters>20312</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2021-07-29T16:12:00Z</dcterms:created>
  <dcterms:modified xsi:type="dcterms:W3CDTF">2021-07-29T16:16:00Z</dcterms:modified>
</cp:coreProperties>
</file>