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59" w:type="dxa"/>
        <w:tblInd w:w="108" w:type="dxa"/>
        <w:tblLayout w:type="fixed"/>
        <w:tblLook w:val="01E0" w:firstRow="1" w:lastRow="1" w:firstColumn="1" w:lastColumn="1" w:noHBand="0" w:noVBand="0"/>
      </w:tblPr>
      <w:tblGrid>
        <w:gridCol w:w="3401"/>
        <w:gridCol w:w="5558"/>
      </w:tblGrid>
      <w:tr w:rsidR="00FA4172" w14:paraId="0A616BCF" w14:textId="77777777">
        <w:trPr>
          <w:trHeight w:val="1340"/>
        </w:trPr>
        <w:tc>
          <w:tcPr>
            <w:tcW w:w="3401" w:type="dxa"/>
            <w:tcBorders>
              <w:top w:val="single" w:sz="4" w:space="0" w:color="000000"/>
              <w:left w:val="single" w:sz="4" w:space="0" w:color="000000"/>
              <w:bottom w:val="single" w:sz="4" w:space="0" w:color="000000"/>
              <w:right w:val="single" w:sz="4" w:space="0" w:color="000000"/>
            </w:tcBorders>
          </w:tcPr>
          <w:p w14:paraId="0A616BCB" w14:textId="77777777" w:rsidR="00FA4172" w:rsidRDefault="00A96CEC">
            <w:pPr>
              <w:widowControl w:val="0"/>
              <w:tabs>
                <w:tab w:val="left" w:pos="426"/>
              </w:tabs>
              <w:spacing w:before="0"/>
              <w:jc w:val="center"/>
              <w:textAlignment w:val="baseline"/>
              <w:outlineLvl w:val="1"/>
              <w:rPr>
                <w:rFonts w:eastAsia="Times New Roman"/>
                <w:b/>
                <w:bCs/>
                <w:lang w:eastAsia="en-GB"/>
              </w:rPr>
            </w:pPr>
            <w:r>
              <w:rPr>
                <w:noProof/>
              </w:rPr>
              <w:drawing>
                <wp:inline distT="0" distB="0" distL="0" distR="0" wp14:anchorId="0A616C5C" wp14:editId="0A616C5D">
                  <wp:extent cx="1419225" cy="600075"/>
                  <wp:effectExtent l="0" t="0" r="0" b="0"/>
                  <wp:docPr id="1" name="Picture 0" descr="C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N Logo.JPG"/>
                          <pic:cNvPicPr>
                            <a:picLocks noChangeAspect="1" noChangeArrowheads="1"/>
                          </pic:cNvPicPr>
                        </pic:nvPicPr>
                        <pic:blipFill>
                          <a:blip r:embed="rId10"/>
                          <a:stretch>
                            <a:fillRect/>
                          </a:stretch>
                        </pic:blipFill>
                        <pic:spPr bwMode="auto">
                          <a:xfrm>
                            <a:off x="0" y="0"/>
                            <a:ext cx="1419225" cy="600075"/>
                          </a:xfrm>
                          <a:prstGeom prst="rect">
                            <a:avLst/>
                          </a:prstGeom>
                          <a:noFill/>
                        </pic:spPr>
                      </pic:pic>
                    </a:graphicData>
                  </a:graphic>
                </wp:inline>
              </w:drawing>
            </w:r>
          </w:p>
        </w:tc>
        <w:tc>
          <w:tcPr>
            <w:tcW w:w="5557" w:type="dxa"/>
            <w:tcBorders>
              <w:top w:val="single" w:sz="4" w:space="0" w:color="000000"/>
              <w:left w:val="single" w:sz="4" w:space="0" w:color="000000"/>
              <w:bottom w:val="single" w:sz="4" w:space="0" w:color="000000"/>
              <w:right w:val="single" w:sz="4" w:space="0" w:color="000000"/>
            </w:tcBorders>
          </w:tcPr>
          <w:p w14:paraId="0A616BCC" w14:textId="77777777" w:rsidR="00FA4172" w:rsidRDefault="00FA4172">
            <w:pPr>
              <w:widowControl w:val="0"/>
              <w:spacing w:before="0" w:after="0" w:line="276" w:lineRule="auto"/>
              <w:jc w:val="center"/>
              <w:rPr>
                <w:rFonts w:eastAsia="Times New Roman"/>
                <w:b/>
                <w:sz w:val="22"/>
                <w:szCs w:val="20"/>
                <w:lang w:eastAsia="en-GB"/>
              </w:rPr>
            </w:pPr>
          </w:p>
          <w:p w14:paraId="0A616BCD" w14:textId="77777777" w:rsidR="00FA4172" w:rsidRDefault="00A96CEC">
            <w:pPr>
              <w:widowControl w:val="0"/>
              <w:spacing w:before="0" w:after="0" w:line="276" w:lineRule="auto"/>
              <w:jc w:val="center"/>
              <w:rPr>
                <w:rFonts w:eastAsia="Times New Roman"/>
                <w:b/>
                <w:lang w:eastAsia="en-GB"/>
              </w:rPr>
            </w:pPr>
            <w:r>
              <w:rPr>
                <w:rFonts w:eastAsia="Times New Roman"/>
                <w:b/>
                <w:lang w:eastAsia="en-GB"/>
              </w:rPr>
              <w:t>Financial Strategy</w:t>
            </w:r>
          </w:p>
          <w:p w14:paraId="0A616BCE" w14:textId="6B5DB9E8" w:rsidR="00FA4172" w:rsidRDefault="00A96CEC">
            <w:pPr>
              <w:widowControl w:val="0"/>
              <w:spacing w:before="0" w:after="0" w:line="276" w:lineRule="auto"/>
              <w:jc w:val="center"/>
              <w:rPr>
                <w:rFonts w:eastAsia="Times New Roman"/>
                <w:b/>
                <w:lang w:eastAsia="en-GB"/>
              </w:rPr>
            </w:pPr>
            <w:r>
              <w:rPr>
                <w:rFonts w:eastAsia="Times New Roman"/>
                <w:b/>
                <w:lang w:eastAsia="en-GB"/>
              </w:rPr>
              <w:t>2025 - 2028</w:t>
            </w:r>
          </w:p>
        </w:tc>
      </w:tr>
      <w:tr w:rsidR="00FA4172" w14:paraId="0A616BD2" w14:textId="77777777">
        <w:trPr>
          <w:trHeight w:val="341"/>
        </w:trPr>
        <w:tc>
          <w:tcPr>
            <w:tcW w:w="3401" w:type="dxa"/>
            <w:tcBorders>
              <w:top w:val="single" w:sz="4" w:space="0" w:color="000000"/>
              <w:left w:val="single" w:sz="4" w:space="0" w:color="000000"/>
              <w:bottom w:val="single" w:sz="4" w:space="0" w:color="000000"/>
              <w:right w:val="single" w:sz="4" w:space="0" w:color="000000"/>
            </w:tcBorders>
          </w:tcPr>
          <w:p w14:paraId="0A616BD0" w14:textId="77777777" w:rsidR="00FA4172" w:rsidRDefault="00A96CEC">
            <w:pPr>
              <w:widowControl w:val="0"/>
              <w:tabs>
                <w:tab w:val="left" w:pos="426"/>
              </w:tabs>
              <w:spacing w:before="0"/>
              <w:jc w:val="left"/>
              <w:textAlignment w:val="baseline"/>
              <w:outlineLvl w:val="1"/>
              <w:rPr>
                <w:rFonts w:eastAsia="Times New Roman"/>
                <w:b/>
                <w:bCs/>
                <w:lang w:eastAsia="en-GB"/>
              </w:rPr>
            </w:pPr>
            <w:r>
              <w:rPr>
                <w:rFonts w:eastAsia="Times New Roman"/>
                <w:b/>
                <w:bCs/>
                <w:lang w:eastAsia="en-GB"/>
              </w:rPr>
              <w:t>Author:</w:t>
            </w:r>
          </w:p>
        </w:tc>
        <w:tc>
          <w:tcPr>
            <w:tcW w:w="5557" w:type="dxa"/>
            <w:tcBorders>
              <w:top w:val="single" w:sz="4" w:space="0" w:color="000000"/>
              <w:left w:val="single" w:sz="4" w:space="0" w:color="000000"/>
              <w:bottom w:val="single" w:sz="4" w:space="0" w:color="000000"/>
              <w:right w:val="single" w:sz="4" w:space="0" w:color="000000"/>
            </w:tcBorders>
          </w:tcPr>
          <w:p w14:paraId="0A616BD1" w14:textId="77777777" w:rsidR="00FA4172" w:rsidRDefault="00A96CEC">
            <w:pPr>
              <w:widowControl w:val="0"/>
              <w:tabs>
                <w:tab w:val="left" w:pos="426"/>
              </w:tabs>
              <w:spacing w:before="0"/>
              <w:jc w:val="left"/>
              <w:textAlignment w:val="baseline"/>
              <w:outlineLvl w:val="1"/>
              <w:rPr>
                <w:rFonts w:eastAsia="Times New Roman"/>
                <w:bCs/>
                <w:lang w:eastAsia="en-GB"/>
              </w:rPr>
            </w:pPr>
            <w:r>
              <w:rPr>
                <w:rFonts w:eastAsia="Times New Roman"/>
                <w:bCs/>
                <w:lang w:eastAsia="en-GB"/>
              </w:rPr>
              <w:t>Peter Stonell updated by Debra Blakey and Dorinda Jack</w:t>
            </w:r>
          </w:p>
        </w:tc>
      </w:tr>
      <w:tr w:rsidR="00FA4172" w14:paraId="0A616BD5" w14:textId="77777777">
        <w:trPr>
          <w:trHeight w:val="341"/>
        </w:trPr>
        <w:tc>
          <w:tcPr>
            <w:tcW w:w="3401" w:type="dxa"/>
            <w:tcBorders>
              <w:top w:val="single" w:sz="4" w:space="0" w:color="000000"/>
              <w:left w:val="single" w:sz="4" w:space="0" w:color="000000"/>
              <w:bottom w:val="single" w:sz="4" w:space="0" w:color="000000"/>
              <w:right w:val="single" w:sz="4" w:space="0" w:color="000000"/>
            </w:tcBorders>
          </w:tcPr>
          <w:p w14:paraId="0A616BD3" w14:textId="77777777" w:rsidR="00FA4172" w:rsidRDefault="00A96CEC">
            <w:pPr>
              <w:widowControl w:val="0"/>
              <w:tabs>
                <w:tab w:val="left" w:pos="426"/>
              </w:tabs>
              <w:spacing w:before="0"/>
              <w:jc w:val="left"/>
              <w:textAlignment w:val="baseline"/>
              <w:outlineLvl w:val="1"/>
              <w:rPr>
                <w:rFonts w:eastAsia="Times New Roman"/>
                <w:b/>
                <w:bCs/>
                <w:lang w:eastAsia="en-GB"/>
              </w:rPr>
            </w:pPr>
            <w:r>
              <w:rPr>
                <w:rFonts w:eastAsia="Times New Roman"/>
                <w:b/>
                <w:bCs/>
                <w:lang w:eastAsia="en-GB"/>
              </w:rPr>
              <w:t>Last approved by Trustees:</w:t>
            </w:r>
          </w:p>
        </w:tc>
        <w:tc>
          <w:tcPr>
            <w:tcW w:w="5557" w:type="dxa"/>
            <w:tcBorders>
              <w:top w:val="single" w:sz="4" w:space="0" w:color="000000"/>
              <w:left w:val="single" w:sz="4" w:space="0" w:color="000000"/>
              <w:bottom w:val="single" w:sz="4" w:space="0" w:color="000000"/>
              <w:right w:val="single" w:sz="4" w:space="0" w:color="000000"/>
            </w:tcBorders>
          </w:tcPr>
          <w:p w14:paraId="0A616BD4" w14:textId="05B1E57B" w:rsidR="00FA4172" w:rsidRDefault="00A96CEC">
            <w:pPr>
              <w:widowControl w:val="0"/>
              <w:tabs>
                <w:tab w:val="left" w:pos="426"/>
              </w:tabs>
              <w:spacing w:before="0"/>
              <w:jc w:val="left"/>
              <w:textAlignment w:val="baseline"/>
              <w:outlineLvl w:val="1"/>
              <w:rPr>
                <w:rFonts w:eastAsia="Times New Roman"/>
                <w:bCs/>
                <w:lang w:eastAsia="en-GB"/>
              </w:rPr>
            </w:pPr>
            <w:r>
              <w:rPr>
                <w:rFonts w:eastAsia="Times New Roman"/>
                <w:bCs/>
                <w:lang w:eastAsia="en-GB"/>
              </w:rPr>
              <w:t>15 October 2020</w:t>
            </w:r>
          </w:p>
        </w:tc>
      </w:tr>
      <w:tr w:rsidR="00FA4172" w14:paraId="0A616BD8" w14:textId="77777777">
        <w:trPr>
          <w:trHeight w:val="341"/>
        </w:trPr>
        <w:tc>
          <w:tcPr>
            <w:tcW w:w="3401" w:type="dxa"/>
            <w:tcBorders>
              <w:top w:val="single" w:sz="4" w:space="0" w:color="000000"/>
              <w:left w:val="single" w:sz="4" w:space="0" w:color="000000"/>
              <w:bottom w:val="single" w:sz="4" w:space="0" w:color="000000"/>
              <w:right w:val="single" w:sz="4" w:space="0" w:color="000000"/>
            </w:tcBorders>
          </w:tcPr>
          <w:p w14:paraId="0A616BD6" w14:textId="77777777" w:rsidR="00FA4172" w:rsidRDefault="00A96CEC">
            <w:pPr>
              <w:widowControl w:val="0"/>
              <w:tabs>
                <w:tab w:val="left" w:pos="426"/>
              </w:tabs>
              <w:spacing w:before="0"/>
              <w:jc w:val="left"/>
              <w:textAlignment w:val="baseline"/>
              <w:outlineLvl w:val="1"/>
              <w:rPr>
                <w:rFonts w:eastAsia="Times New Roman"/>
                <w:b/>
                <w:bCs/>
                <w:lang w:eastAsia="en-GB"/>
              </w:rPr>
            </w:pPr>
            <w:r>
              <w:rPr>
                <w:rFonts w:eastAsia="Times New Roman"/>
                <w:b/>
                <w:bCs/>
                <w:lang w:eastAsia="en-GB"/>
              </w:rPr>
              <w:t>Approved by Trustees:</w:t>
            </w:r>
          </w:p>
        </w:tc>
        <w:tc>
          <w:tcPr>
            <w:tcW w:w="5557" w:type="dxa"/>
            <w:tcBorders>
              <w:top w:val="single" w:sz="4" w:space="0" w:color="000000"/>
              <w:left w:val="single" w:sz="4" w:space="0" w:color="000000"/>
              <w:bottom w:val="single" w:sz="4" w:space="0" w:color="000000"/>
              <w:right w:val="single" w:sz="4" w:space="0" w:color="000000"/>
            </w:tcBorders>
          </w:tcPr>
          <w:p w14:paraId="0A616BD7" w14:textId="14BD5E40" w:rsidR="00FA4172" w:rsidRDefault="00FA4172">
            <w:pPr>
              <w:widowControl w:val="0"/>
              <w:tabs>
                <w:tab w:val="left" w:pos="426"/>
              </w:tabs>
              <w:spacing w:before="0"/>
              <w:jc w:val="left"/>
              <w:textAlignment w:val="baseline"/>
              <w:outlineLvl w:val="1"/>
              <w:rPr>
                <w:rFonts w:eastAsia="Times New Roman"/>
                <w:bCs/>
                <w:lang w:eastAsia="en-GB"/>
              </w:rPr>
            </w:pPr>
          </w:p>
        </w:tc>
      </w:tr>
      <w:tr w:rsidR="00FA4172" w14:paraId="0A616BDB" w14:textId="77777777">
        <w:trPr>
          <w:trHeight w:val="341"/>
        </w:trPr>
        <w:tc>
          <w:tcPr>
            <w:tcW w:w="3401" w:type="dxa"/>
            <w:tcBorders>
              <w:top w:val="single" w:sz="4" w:space="0" w:color="000000"/>
              <w:left w:val="single" w:sz="4" w:space="0" w:color="000000"/>
              <w:bottom w:val="single" w:sz="4" w:space="0" w:color="000000"/>
              <w:right w:val="single" w:sz="4" w:space="0" w:color="000000"/>
            </w:tcBorders>
          </w:tcPr>
          <w:p w14:paraId="0A616BD9" w14:textId="77777777" w:rsidR="00FA4172" w:rsidRDefault="00A96CEC">
            <w:pPr>
              <w:widowControl w:val="0"/>
              <w:tabs>
                <w:tab w:val="left" w:pos="426"/>
              </w:tabs>
              <w:spacing w:before="0"/>
              <w:jc w:val="left"/>
              <w:textAlignment w:val="baseline"/>
              <w:outlineLvl w:val="1"/>
              <w:rPr>
                <w:rFonts w:eastAsia="Times New Roman"/>
                <w:b/>
                <w:bCs/>
                <w:lang w:eastAsia="en-GB"/>
              </w:rPr>
            </w:pPr>
            <w:r>
              <w:rPr>
                <w:rFonts w:eastAsia="Times New Roman"/>
                <w:b/>
                <w:bCs/>
                <w:lang w:eastAsia="en-GB"/>
              </w:rPr>
              <w:t>Date next Review due:</w:t>
            </w:r>
          </w:p>
        </w:tc>
        <w:tc>
          <w:tcPr>
            <w:tcW w:w="5557" w:type="dxa"/>
            <w:tcBorders>
              <w:top w:val="single" w:sz="4" w:space="0" w:color="000000"/>
              <w:left w:val="single" w:sz="4" w:space="0" w:color="000000"/>
              <w:bottom w:val="single" w:sz="4" w:space="0" w:color="000000"/>
              <w:right w:val="single" w:sz="4" w:space="0" w:color="000000"/>
            </w:tcBorders>
          </w:tcPr>
          <w:p w14:paraId="0A616BDA" w14:textId="3FD58A6D" w:rsidR="00FA4172" w:rsidRDefault="00A96CEC">
            <w:pPr>
              <w:widowControl w:val="0"/>
              <w:tabs>
                <w:tab w:val="left" w:pos="426"/>
              </w:tabs>
              <w:spacing w:before="0"/>
              <w:jc w:val="left"/>
              <w:textAlignment w:val="baseline"/>
              <w:outlineLvl w:val="1"/>
              <w:rPr>
                <w:rFonts w:eastAsia="Times New Roman"/>
                <w:bCs/>
                <w:lang w:eastAsia="en-GB"/>
              </w:rPr>
            </w:pPr>
            <w:r>
              <w:rPr>
                <w:rFonts w:eastAsia="Times New Roman"/>
                <w:bCs/>
                <w:lang w:eastAsia="en-GB"/>
              </w:rPr>
              <w:t>February 2026</w:t>
            </w:r>
          </w:p>
        </w:tc>
      </w:tr>
    </w:tbl>
    <w:p w14:paraId="0A616BDC" w14:textId="77777777" w:rsidR="00FA4172" w:rsidRDefault="00FA4172"/>
    <w:p w14:paraId="0A616BDD" w14:textId="77777777" w:rsidR="00FA4172" w:rsidRDefault="00A96CEC">
      <w:pPr>
        <w:pStyle w:val="ListParagraph"/>
        <w:numPr>
          <w:ilvl w:val="0"/>
          <w:numId w:val="2"/>
        </w:numPr>
        <w:ind w:left="0"/>
        <w:contextualSpacing w:val="0"/>
        <w:rPr>
          <w:b/>
          <w:bCs/>
        </w:rPr>
      </w:pPr>
      <w:r>
        <w:rPr>
          <w:b/>
          <w:bCs/>
        </w:rPr>
        <w:t>Introduction and means of review</w:t>
      </w:r>
    </w:p>
    <w:p w14:paraId="0A616BDE" w14:textId="7E2C54E1" w:rsidR="00FA4172" w:rsidRDefault="00A96CEC">
      <w:pPr>
        <w:pStyle w:val="ListParagraph"/>
        <w:numPr>
          <w:ilvl w:val="1"/>
          <w:numId w:val="2"/>
        </w:numPr>
        <w:ind w:left="714" w:hanging="357"/>
        <w:contextualSpacing w:val="0"/>
      </w:pPr>
      <w:r>
        <w:t>This document seeks to outline the financial strategy for Carers Northumberland (CN) for the period 1 April 2025 – 31 March 2028 agreed by the Trustee Board.</w:t>
      </w:r>
    </w:p>
    <w:p w14:paraId="0A616BDF" w14:textId="05C1416A" w:rsidR="00FA4172" w:rsidRDefault="00A96CEC">
      <w:pPr>
        <w:pStyle w:val="ListParagraph"/>
        <w:numPr>
          <w:ilvl w:val="1"/>
          <w:numId w:val="2"/>
        </w:numPr>
        <w:ind w:left="714" w:hanging="357"/>
        <w:contextualSpacing w:val="0"/>
      </w:pPr>
      <w:r>
        <w:t xml:space="preserve">The strategy  reviewed annually by the Financial Strategy Group (FSG). </w:t>
      </w:r>
    </w:p>
    <w:p w14:paraId="0A616BE0" w14:textId="77777777" w:rsidR="00FA4172" w:rsidRDefault="00A96CEC">
      <w:pPr>
        <w:pStyle w:val="ListParagraph"/>
        <w:numPr>
          <w:ilvl w:val="1"/>
          <w:numId w:val="2"/>
        </w:numPr>
        <w:ind w:left="714" w:hanging="357"/>
        <w:contextualSpacing w:val="0"/>
      </w:pPr>
      <w:r>
        <w:t>The FSG will meet regularly in accordance with its Terms of Reference.  Its primary function is to oversee CN’s finances.  The FSG has the remit to advise and make recommendations to the Trustee Board on financial matters.</w:t>
      </w:r>
    </w:p>
    <w:p w14:paraId="0A616BE1" w14:textId="77777777" w:rsidR="00FA4172" w:rsidRDefault="00A96CEC">
      <w:pPr>
        <w:pStyle w:val="ListParagraph"/>
        <w:numPr>
          <w:ilvl w:val="1"/>
          <w:numId w:val="2"/>
        </w:numPr>
        <w:ind w:left="714" w:hanging="357"/>
        <w:contextualSpacing w:val="0"/>
      </w:pPr>
      <w:r>
        <w:t>The Trustee Board is responsible for financial decision making.</w:t>
      </w:r>
    </w:p>
    <w:p w14:paraId="0A616BE2" w14:textId="77777777" w:rsidR="00FA4172" w:rsidRDefault="00A96CEC">
      <w:pPr>
        <w:pStyle w:val="ListParagraph"/>
        <w:numPr>
          <w:ilvl w:val="0"/>
          <w:numId w:val="2"/>
        </w:numPr>
        <w:ind w:left="0"/>
        <w:contextualSpacing w:val="0"/>
        <w:rPr>
          <w:b/>
          <w:bCs/>
        </w:rPr>
      </w:pPr>
      <w:r>
        <w:rPr>
          <w:b/>
          <w:bCs/>
        </w:rPr>
        <w:t>Funding Strategy</w:t>
      </w:r>
    </w:p>
    <w:p w14:paraId="0A616BE3" w14:textId="77777777" w:rsidR="00FA4172" w:rsidRDefault="00A96CEC">
      <w:r>
        <w:t>The Trustee Board’s funding strategy is to establish an annual budget which ensures:</w:t>
      </w:r>
    </w:p>
    <w:p w14:paraId="0A616BE4" w14:textId="77777777" w:rsidR="00FA4172" w:rsidRDefault="00A96CEC">
      <w:pPr>
        <w:pStyle w:val="ListParagraph"/>
        <w:numPr>
          <w:ilvl w:val="2"/>
          <w:numId w:val="3"/>
        </w:numPr>
        <w:ind w:left="714" w:hanging="357"/>
        <w:contextualSpacing w:val="0"/>
      </w:pPr>
      <w:r>
        <w:t>that budgeted expenditure on core activities is limited to the amount of anticipated core funding</w:t>
      </w:r>
    </w:p>
    <w:p w14:paraId="0A616BE5" w14:textId="77777777" w:rsidR="00FA4172" w:rsidRDefault="00A96CEC">
      <w:pPr>
        <w:pStyle w:val="ListParagraph"/>
        <w:numPr>
          <w:ilvl w:val="2"/>
          <w:numId w:val="3"/>
        </w:numPr>
        <w:ind w:left="714" w:hanging="357"/>
        <w:contextualSpacing w:val="0"/>
      </w:pPr>
      <w:r>
        <w:t>all projects undertaken are subject to “full cost recovery”, including a contribution to the core costs of delivering the project.</w:t>
      </w:r>
    </w:p>
    <w:p w14:paraId="0A616BE6" w14:textId="77777777" w:rsidR="00FA4172" w:rsidRDefault="00A96CEC">
      <w:pPr>
        <w:pStyle w:val="ListParagraph"/>
        <w:numPr>
          <w:ilvl w:val="0"/>
          <w:numId w:val="2"/>
        </w:numPr>
        <w:ind w:left="0"/>
        <w:contextualSpacing w:val="0"/>
        <w:rPr>
          <w:b/>
          <w:bCs/>
        </w:rPr>
      </w:pPr>
      <w:r>
        <w:rPr>
          <w:b/>
          <w:bCs/>
        </w:rPr>
        <w:t>Funding Streams and Income generation</w:t>
      </w:r>
    </w:p>
    <w:p w14:paraId="0A616BE7" w14:textId="77777777" w:rsidR="00FA4172" w:rsidRDefault="00A96CEC">
      <w:r>
        <w:t xml:space="preserve">Core funds in the form of grants will be agreed annually between Carers Northumberland and </w:t>
      </w:r>
    </w:p>
    <w:p w14:paraId="0A616BE8" w14:textId="61F734C8" w:rsidR="00FA4172" w:rsidRDefault="00A96CEC">
      <w:pPr>
        <w:pStyle w:val="ListParagraph"/>
        <w:numPr>
          <w:ilvl w:val="0"/>
          <w:numId w:val="1"/>
        </w:numPr>
        <w:ind w:left="1077" w:hanging="357"/>
        <w:contextualSpacing w:val="0"/>
        <w:rPr>
          <w:rFonts w:eastAsia="Calibri"/>
          <w:b/>
          <w:bCs/>
        </w:rPr>
      </w:pPr>
      <w:r>
        <w:t>Northumberland County Council</w:t>
      </w:r>
    </w:p>
    <w:p w14:paraId="0A616BE9" w14:textId="63B0BC1D" w:rsidR="00FA4172" w:rsidRDefault="00A96CEC">
      <w:pPr>
        <w:pStyle w:val="ListParagraph"/>
        <w:numPr>
          <w:ilvl w:val="0"/>
          <w:numId w:val="1"/>
        </w:numPr>
        <w:ind w:left="1077" w:hanging="357"/>
        <w:contextualSpacing w:val="0"/>
        <w:rPr>
          <w:b/>
          <w:bCs/>
        </w:rPr>
      </w:pPr>
      <w:r>
        <w:t>North East and North Cumbria Integrated Care Board</w:t>
      </w:r>
    </w:p>
    <w:p w14:paraId="0A616BEA" w14:textId="0E2D8E1D" w:rsidR="00FA4172" w:rsidRDefault="00A96CEC">
      <w:pPr>
        <w:pStyle w:val="ListParagraph"/>
        <w:numPr>
          <w:ilvl w:val="0"/>
          <w:numId w:val="1"/>
        </w:numPr>
        <w:ind w:left="1077" w:hanging="357"/>
        <w:contextualSpacing w:val="0"/>
        <w:rPr>
          <w:b/>
          <w:bCs/>
        </w:rPr>
      </w:pPr>
      <w:r>
        <w:t>Cumbria, Northumberland and Tyne And Wear NHS Foundation Trust</w:t>
      </w:r>
    </w:p>
    <w:p w14:paraId="0A616BEB" w14:textId="77777777" w:rsidR="00FA4172" w:rsidRDefault="00A96CEC">
      <w:r>
        <w:t>Opportunities for project funding (as grants) for additional carer support services will be pursued as they arise, where the Trustee Board agrees they meet the aims and objectives of the charity.</w:t>
      </w:r>
    </w:p>
    <w:p w14:paraId="0A616BEC" w14:textId="77777777" w:rsidR="00FA4172" w:rsidRDefault="00A96CEC">
      <w:r>
        <w:t>Opportunities for diverse income generation will be considered where they offer a realistic and sustainable funding stream without affecting core work.</w:t>
      </w:r>
    </w:p>
    <w:p w14:paraId="0A616BED" w14:textId="77777777" w:rsidR="00FA4172" w:rsidRDefault="00A96CEC">
      <w:pPr>
        <w:rPr>
          <w:b/>
          <w:bCs/>
        </w:rPr>
      </w:pPr>
      <w:r>
        <w:rPr>
          <w:b/>
          <w:bCs/>
        </w:rPr>
        <w:t>4) Financial Sustainability</w:t>
      </w:r>
    </w:p>
    <w:p w14:paraId="0A616BEE" w14:textId="77777777" w:rsidR="00FA4172" w:rsidRDefault="00A96CEC">
      <w:r>
        <w:lastRenderedPageBreak/>
        <w:t>The Trustee Board also needs to consider the medium and longer term financial sustainability of the organisation.  It further considers what contingency actions might be required if known funding falls short of forecasted future budgets.</w:t>
      </w:r>
    </w:p>
    <w:p w14:paraId="0A616BEF" w14:textId="05857E0F" w:rsidR="00FA4172" w:rsidRDefault="00A96CEC">
      <w:r>
        <w:t>The  process of  ensuring financial sustainability  involves on-going monitoring  of funding applications (both independent and with partners), alongside regular engagement with statutory funders who provide key core funding.</w:t>
      </w:r>
    </w:p>
    <w:p w14:paraId="0A616BF0" w14:textId="77777777" w:rsidR="00FA4172" w:rsidRDefault="00A96CEC">
      <w:r>
        <w:t>All funding opportunities will be considered where they align with organisational aims, objectives, ethos, and values, and do not detract from, or risk, the ongoing core service provision.</w:t>
      </w:r>
    </w:p>
    <w:p w14:paraId="0A616BF1" w14:textId="77777777" w:rsidR="00FA4172" w:rsidRDefault="00A96CEC">
      <w:r>
        <w:t>In order to plan for each financial year, a financial stability timeline is attached in Appendix 1.  The purpose of the timeline is to be clear on the financial planning required for the subsequent financial year.</w:t>
      </w:r>
    </w:p>
    <w:p w14:paraId="0A616BF2" w14:textId="77777777" w:rsidR="00FA4172" w:rsidRDefault="00A96CEC">
      <w:pPr>
        <w:rPr>
          <w:b/>
          <w:bCs/>
        </w:rPr>
      </w:pPr>
      <w:r>
        <w:rPr>
          <w:b/>
          <w:bCs/>
        </w:rPr>
        <w:t>5) Financial Contingency Planning</w:t>
      </w:r>
    </w:p>
    <w:p w14:paraId="0A616BF3" w14:textId="0F6B563C" w:rsidR="00FA4172" w:rsidRDefault="00A96CEC">
      <w:r>
        <w:t>Rigorous monitoring of the financial situation as detailed above is expected to ensure that the organisation has the funding it requires to continue to offer core services to carers as a minimum.  However, it is important that there is a contingency plan in place with a timeline for key decision should future budgets show a deficit which can no longer be managed.  The plan for this is attached in Appendix 2.</w:t>
      </w:r>
    </w:p>
    <w:p w14:paraId="0A616BF4" w14:textId="77777777" w:rsidR="00FA4172" w:rsidRDefault="00A96CEC">
      <w:pPr>
        <w:pStyle w:val="ListParagraph"/>
        <w:numPr>
          <w:ilvl w:val="0"/>
          <w:numId w:val="2"/>
        </w:numPr>
        <w:ind w:left="0"/>
        <w:contextualSpacing w:val="0"/>
      </w:pPr>
      <w:r>
        <w:rPr>
          <w:b/>
          <w:bCs/>
        </w:rPr>
        <w:t>Reserves Policy</w:t>
      </w:r>
    </w:p>
    <w:p w14:paraId="0A616BF5" w14:textId="77777777" w:rsidR="00FA4172" w:rsidRDefault="00A96CEC">
      <w:pPr>
        <w:pStyle w:val="ListParagraph"/>
        <w:ind w:left="0"/>
        <w:contextualSpacing w:val="0"/>
      </w:pPr>
      <w:r>
        <w:t>Carers Northumberland has a Reserves Policy which is reviewed and agreed annually by the Trustee Board ahead of setting the budget for the next operational year.</w:t>
      </w:r>
    </w:p>
    <w:p w14:paraId="0A616BF6" w14:textId="77777777" w:rsidR="00FA4172" w:rsidRDefault="00A96CEC">
      <w:pPr>
        <w:pStyle w:val="ListParagraph"/>
        <w:numPr>
          <w:ilvl w:val="0"/>
          <w:numId w:val="2"/>
        </w:numPr>
        <w:ind w:left="0"/>
        <w:contextualSpacing w:val="0"/>
        <w:rPr>
          <w:rFonts w:eastAsia="Calibri"/>
        </w:rPr>
      </w:pPr>
      <w:r>
        <w:rPr>
          <w:b/>
          <w:bCs/>
        </w:rPr>
        <w:t>Investment Policy</w:t>
      </w:r>
    </w:p>
    <w:p w14:paraId="0A616BF7" w14:textId="77777777" w:rsidR="00FA4172" w:rsidRDefault="00A96CEC">
      <w:pPr>
        <w:pStyle w:val="ListParagraph"/>
        <w:ind w:left="0"/>
        <w:contextualSpacing w:val="0"/>
        <w:rPr>
          <w:rFonts w:eastAsia="Calibri"/>
        </w:rPr>
      </w:pPr>
      <w:r>
        <w:t>The investment policy is documented within the Reserves Policy and is reviewed at least annually by the Board.  The FSG will monitor the ongoing suitability of investment products and advise the Board of any recommended changes.</w:t>
      </w:r>
    </w:p>
    <w:p w14:paraId="0A616BF8" w14:textId="77777777" w:rsidR="00FA4172" w:rsidRDefault="00A96CEC">
      <w:r>
        <w:rPr>
          <w:b/>
          <w:bCs/>
        </w:rPr>
        <w:t>Financial Risks</w:t>
      </w:r>
    </w:p>
    <w:p w14:paraId="0A616BF9" w14:textId="77777777" w:rsidR="00FA4172" w:rsidRDefault="00A96CEC">
      <w:pPr>
        <w:pStyle w:val="ListParagraph"/>
        <w:ind w:left="0"/>
        <w:contextualSpacing w:val="0"/>
      </w:pPr>
      <w:r>
        <w:t>Financial risks will be captured and monitored via the Organisational Risk Register, which is considered at every Trustee Board meeting.  The FSG will consider financial risk when making recommendations to the board.</w:t>
      </w:r>
    </w:p>
    <w:p w14:paraId="0A616BFA" w14:textId="77777777" w:rsidR="00FA4172" w:rsidRDefault="00A96CEC">
      <w:r>
        <w:t>The aim of risk assessment is to identify potential risks and their potential impact and consequences to Carers Northumberland.   Following which, action will be taken to remove or ameliorate the risk.</w:t>
      </w:r>
    </w:p>
    <w:p w14:paraId="0A616BFB" w14:textId="77777777" w:rsidR="00FA4172" w:rsidRDefault="00FA4172"/>
    <w:p w14:paraId="0A616BFC" w14:textId="77777777" w:rsidR="00FA4172" w:rsidRDefault="00FA4172"/>
    <w:p w14:paraId="0A616BFD" w14:textId="77777777" w:rsidR="00FA4172" w:rsidRDefault="00FA4172"/>
    <w:p w14:paraId="0A616BFE" w14:textId="77777777" w:rsidR="00FA4172" w:rsidRDefault="00FA4172"/>
    <w:p w14:paraId="0A616BFF" w14:textId="77777777" w:rsidR="00FA4172" w:rsidRDefault="00FA4172"/>
    <w:p w14:paraId="0A616C00" w14:textId="77777777" w:rsidR="00FA4172" w:rsidRDefault="00FA4172"/>
    <w:p w14:paraId="0A616C01" w14:textId="77777777" w:rsidR="00FA4172" w:rsidRDefault="00FA4172"/>
    <w:p w14:paraId="0A616C02" w14:textId="77777777" w:rsidR="00FA4172" w:rsidRDefault="00A96CEC">
      <w:pPr>
        <w:rPr>
          <w:b/>
          <w:bCs/>
        </w:rPr>
      </w:pPr>
      <w:r>
        <w:rPr>
          <w:b/>
          <w:bCs/>
        </w:rPr>
        <w:lastRenderedPageBreak/>
        <w:t>Appendix 1.</w:t>
      </w:r>
    </w:p>
    <w:p w14:paraId="0A616C03" w14:textId="77777777" w:rsidR="00FA4172" w:rsidRDefault="00A96CEC">
      <w:pPr>
        <w:rPr>
          <w:b/>
          <w:bCs/>
        </w:rPr>
      </w:pPr>
      <w:r>
        <w:rPr>
          <w:b/>
          <w:bCs/>
        </w:rPr>
        <w:t>Financial Sustainability Timeline</w:t>
      </w:r>
    </w:p>
    <w:tbl>
      <w:tblPr>
        <w:tblStyle w:val="TableGrid"/>
        <w:tblW w:w="9010" w:type="dxa"/>
        <w:tblLayout w:type="fixed"/>
        <w:tblLook w:val="04A0" w:firstRow="1" w:lastRow="0" w:firstColumn="1" w:lastColumn="0" w:noHBand="0" w:noVBand="1"/>
      </w:tblPr>
      <w:tblGrid>
        <w:gridCol w:w="988"/>
        <w:gridCol w:w="2125"/>
        <w:gridCol w:w="5897"/>
      </w:tblGrid>
      <w:tr w:rsidR="00FA4172" w14:paraId="0A616C07" w14:textId="77777777">
        <w:tc>
          <w:tcPr>
            <w:tcW w:w="988" w:type="dxa"/>
          </w:tcPr>
          <w:p w14:paraId="0A616C04" w14:textId="77777777" w:rsidR="00FA4172" w:rsidRDefault="00FA4172">
            <w:pPr>
              <w:spacing w:before="0" w:after="0"/>
              <w:rPr>
                <w:rFonts w:eastAsia="Calibri"/>
              </w:rPr>
            </w:pPr>
          </w:p>
        </w:tc>
        <w:tc>
          <w:tcPr>
            <w:tcW w:w="2125" w:type="dxa"/>
          </w:tcPr>
          <w:p w14:paraId="0A616C05" w14:textId="77777777" w:rsidR="00FA4172" w:rsidRDefault="00A96CEC">
            <w:pPr>
              <w:spacing w:before="0" w:after="0"/>
              <w:rPr>
                <w:b/>
                <w:bCs/>
              </w:rPr>
            </w:pPr>
            <w:r>
              <w:rPr>
                <w:rFonts w:eastAsia="Calibri"/>
                <w:b/>
                <w:bCs/>
              </w:rPr>
              <w:t>When</w:t>
            </w:r>
          </w:p>
        </w:tc>
        <w:tc>
          <w:tcPr>
            <w:tcW w:w="5897" w:type="dxa"/>
          </w:tcPr>
          <w:p w14:paraId="0A616C06" w14:textId="77777777" w:rsidR="00FA4172" w:rsidRDefault="00A96CEC">
            <w:pPr>
              <w:spacing w:before="0" w:after="0"/>
              <w:rPr>
                <w:b/>
                <w:bCs/>
              </w:rPr>
            </w:pPr>
            <w:r>
              <w:rPr>
                <w:rFonts w:eastAsia="Calibri"/>
                <w:b/>
                <w:bCs/>
              </w:rPr>
              <w:t>Action</w:t>
            </w:r>
          </w:p>
        </w:tc>
      </w:tr>
      <w:tr w:rsidR="00FA4172" w14:paraId="0A616C0B" w14:textId="77777777">
        <w:tc>
          <w:tcPr>
            <w:tcW w:w="988" w:type="dxa"/>
          </w:tcPr>
          <w:p w14:paraId="0A616C08" w14:textId="77777777" w:rsidR="00FA4172" w:rsidRPr="00F56C82" w:rsidRDefault="00A96CEC">
            <w:pPr>
              <w:spacing w:before="0" w:after="0"/>
              <w:rPr>
                <w:rFonts w:eastAsia="Calibri"/>
                <w:b/>
                <w:bCs/>
              </w:rPr>
            </w:pPr>
            <w:r w:rsidRPr="00F56C82">
              <w:rPr>
                <w:rFonts w:eastAsia="Calibri"/>
                <w:b/>
                <w:bCs/>
              </w:rPr>
              <w:t>1</w:t>
            </w:r>
          </w:p>
        </w:tc>
        <w:tc>
          <w:tcPr>
            <w:tcW w:w="2125" w:type="dxa"/>
          </w:tcPr>
          <w:p w14:paraId="0A616C09" w14:textId="77777777" w:rsidR="00FA4172" w:rsidRPr="00F56C82" w:rsidRDefault="00A96CEC">
            <w:pPr>
              <w:spacing w:before="0" w:after="0"/>
              <w:rPr>
                <w:rFonts w:eastAsia="Calibri"/>
                <w:b/>
                <w:bCs/>
              </w:rPr>
            </w:pPr>
            <w:r w:rsidRPr="00F56C82">
              <w:rPr>
                <w:rFonts w:eastAsia="Calibri"/>
                <w:b/>
                <w:bCs/>
              </w:rPr>
              <w:t>February/March</w:t>
            </w:r>
          </w:p>
        </w:tc>
        <w:tc>
          <w:tcPr>
            <w:tcW w:w="5897" w:type="dxa"/>
          </w:tcPr>
          <w:p w14:paraId="0A616C0A" w14:textId="77777777" w:rsidR="00FA4172" w:rsidRDefault="00A96CEC">
            <w:pPr>
              <w:spacing w:before="0" w:after="0"/>
              <w:rPr>
                <w:rFonts w:eastAsia="Calibri"/>
              </w:rPr>
            </w:pPr>
            <w:r>
              <w:rPr>
                <w:rFonts w:eastAsia="Calibri"/>
              </w:rPr>
              <w:t>An Operational Plan and Budget is agreed for the upcoming financial year based on anticipated income.</w:t>
            </w:r>
          </w:p>
        </w:tc>
      </w:tr>
      <w:tr w:rsidR="00FA4172" w14:paraId="0A616C0F" w14:textId="77777777">
        <w:tc>
          <w:tcPr>
            <w:tcW w:w="988" w:type="dxa"/>
          </w:tcPr>
          <w:p w14:paraId="0A616C0C" w14:textId="77777777" w:rsidR="00FA4172" w:rsidRPr="00F56C82" w:rsidRDefault="00A96CEC">
            <w:pPr>
              <w:spacing w:before="0" w:after="0"/>
              <w:rPr>
                <w:rFonts w:eastAsia="Calibri"/>
                <w:b/>
                <w:bCs/>
              </w:rPr>
            </w:pPr>
            <w:r w:rsidRPr="00F56C82">
              <w:rPr>
                <w:rFonts w:eastAsia="Calibri"/>
                <w:b/>
                <w:bCs/>
              </w:rPr>
              <w:t>2</w:t>
            </w:r>
          </w:p>
        </w:tc>
        <w:tc>
          <w:tcPr>
            <w:tcW w:w="2125" w:type="dxa"/>
          </w:tcPr>
          <w:p w14:paraId="0A616C0D" w14:textId="77777777" w:rsidR="00FA4172" w:rsidRPr="00F56C82" w:rsidRDefault="00A96CEC">
            <w:pPr>
              <w:spacing w:before="0" w:after="0"/>
              <w:rPr>
                <w:rFonts w:eastAsia="Calibri"/>
                <w:b/>
                <w:bCs/>
              </w:rPr>
            </w:pPr>
            <w:r w:rsidRPr="00F56C82">
              <w:rPr>
                <w:rFonts w:eastAsia="Calibri"/>
                <w:b/>
                <w:bCs/>
              </w:rPr>
              <w:t>April</w:t>
            </w:r>
          </w:p>
        </w:tc>
        <w:tc>
          <w:tcPr>
            <w:tcW w:w="5897" w:type="dxa"/>
          </w:tcPr>
          <w:p w14:paraId="0A616C0E" w14:textId="77777777" w:rsidR="00FA4172" w:rsidRDefault="00A96CEC">
            <w:pPr>
              <w:spacing w:before="0" w:after="0"/>
              <w:rPr>
                <w:rFonts w:eastAsia="Calibri"/>
              </w:rPr>
            </w:pPr>
            <w:r>
              <w:rPr>
                <w:rFonts w:eastAsia="Calibri"/>
              </w:rPr>
              <w:t>Annual funding from the local authority and health service commissioners is confirmed and the amount is clarified in both the in-year approved budget and future budget forecasts.</w:t>
            </w:r>
          </w:p>
        </w:tc>
      </w:tr>
      <w:tr w:rsidR="00FA4172" w14:paraId="0A616C13" w14:textId="77777777">
        <w:tc>
          <w:tcPr>
            <w:tcW w:w="988" w:type="dxa"/>
          </w:tcPr>
          <w:p w14:paraId="0A616C10" w14:textId="77777777" w:rsidR="00FA4172" w:rsidRDefault="00FA4172">
            <w:pPr>
              <w:spacing w:before="0" w:after="0"/>
              <w:rPr>
                <w:rFonts w:eastAsia="Calibri"/>
              </w:rPr>
            </w:pPr>
          </w:p>
        </w:tc>
        <w:tc>
          <w:tcPr>
            <w:tcW w:w="2125" w:type="dxa"/>
          </w:tcPr>
          <w:p w14:paraId="0A616C11" w14:textId="77777777" w:rsidR="00FA4172" w:rsidRDefault="00FA4172">
            <w:pPr>
              <w:spacing w:before="0" w:after="0"/>
              <w:rPr>
                <w:rFonts w:eastAsia="Calibri"/>
              </w:rPr>
            </w:pPr>
          </w:p>
        </w:tc>
        <w:tc>
          <w:tcPr>
            <w:tcW w:w="5897" w:type="dxa"/>
          </w:tcPr>
          <w:p w14:paraId="0A616C12" w14:textId="77777777" w:rsidR="00FA4172" w:rsidRDefault="00A96CEC">
            <w:pPr>
              <w:spacing w:before="0" w:after="0"/>
              <w:rPr>
                <w:rFonts w:eastAsia="Calibri"/>
              </w:rPr>
            </w:pPr>
            <w:r>
              <w:rPr>
                <w:rFonts w:eastAsia="Calibri"/>
              </w:rPr>
              <w:t>If funding meets the approved budget expectation then standard monitoring is ongoing.</w:t>
            </w:r>
          </w:p>
        </w:tc>
      </w:tr>
      <w:tr w:rsidR="00FA4172" w14:paraId="0A616C17" w14:textId="77777777">
        <w:tc>
          <w:tcPr>
            <w:tcW w:w="988" w:type="dxa"/>
          </w:tcPr>
          <w:p w14:paraId="0A616C14" w14:textId="77777777" w:rsidR="00FA4172" w:rsidRDefault="00FA4172">
            <w:pPr>
              <w:spacing w:before="0" w:after="0"/>
              <w:rPr>
                <w:rFonts w:eastAsia="Calibri"/>
              </w:rPr>
            </w:pPr>
          </w:p>
        </w:tc>
        <w:tc>
          <w:tcPr>
            <w:tcW w:w="2125" w:type="dxa"/>
          </w:tcPr>
          <w:p w14:paraId="0A616C15" w14:textId="77777777" w:rsidR="00FA4172" w:rsidRDefault="00FA4172">
            <w:pPr>
              <w:spacing w:before="0" w:after="0"/>
              <w:rPr>
                <w:rFonts w:eastAsia="Calibri"/>
              </w:rPr>
            </w:pPr>
          </w:p>
        </w:tc>
        <w:tc>
          <w:tcPr>
            <w:tcW w:w="5897" w:type="dxa"/>
          </w:tcPr>
          <w:p w14:paraId="0A616C16" w14:textId="77777777" w:rsidR="00FA4172" w:rsidRDefault="00A96CEC">
            <w:pPr>
              <w:spacing w:before="0" w:after="0"/>
              <w:rPr>
                <w:rFonts w:eastAsia="Calibri"/>
              </w:rPr>
            </w:pPr>
            <w:r>
              <w:rPr>
                <w:rFonts w:eastAsia="Calibri"/>
              </w:rPr>
              <w:t>If funding does not meet the immediate needs of the approved budget, then mitigations as per the risk register will be invoked.</w:t>
            </w:r>
          </w:p>
        </w:tc>
      </w:tr>
      <w:tr w:rsidR="00FA4172" w14:paraId="0A616C1B" w14:textId="77777777">
        <w:tc>
          <w:tcPr>
            <w:tcW w:w="988" w:type="dxa"/>
          </w:tcPr>
          <w:p w14:paraId="0A616C18" w14:textId="77777777" w:rsidR="00FA4172" w:rsidRDefault="00FA4172">
            <w:pPr>
              <w:spacing w:before="0" w:after="0"/>
              <w:rPr>
                <w:rFonts w:eastAsia="Calibri"/>
              </w:rPr>
            </w:pPr>
          </w:p>
        </w:tc>
        <w:tc>
          <w:tcPr>
            <w:tcW w:w="2125" w:type="dxa"/>
          </w:tcPr>
          <w:p w14:paraId="0A616C19" w14:textId="77777777" w:rsidR="00FA4172" w:rsidRDefault="00FA4172">
            <w:pPr>
              <w:spacing w:before="0" w:after="0"/>
              <w:rPr>
                <w:rFonts w:eastAsia="Calibri"/>
              </w:rPr>
            </w:pPr>
          </w:p>
        </w:tc>
        <w:tc>
          <w:tcPr>
            <w:tcW w:w="5897" w:type="dxa"/>
          </w:tcPr>
          <w:p w14:paraId="0A616C1A" w14:textId="77777777" w:rsidR="00FA4172" w:rsidRDefault="00A96CEC">
            <w:pPr>
              <w:spacing w:before="0" w:after="0"/>
              <w:rPr>
                <w:rFonts w:eastAsia="Calibri"/>
              </w:rPr>
            </w:pPr>
            <w:r>
              <w:rPr>
                <w:rFonts w:eastAsia="Calibri"/>
              </w:rPr>
              <w:t>Where current funding suggests that future budget expectation will not be met, then the funding sustainability contingency plan will be invoked.</w:t>
            </w:r>
          </w:p>
        </w:tc>
      </w:tr>
      <w:tr w:rsidR="00FA4172" w14:paraId="0A616C22" w14:textId="77777777">
        <w:tc>
          <w:tcPr>
            <w:tcW w:w="988" w:type="dxa"/>
          </w:tcPr>
          <w:p w14:paraId="0A616C1C" w14:textId="77777777" w:rsidR="00FA4172" w:rsidRPr="00F56C82" w:rsidRDefault="00A96CEC">
            <w:pPr>
              <w:spacing w:before="0" w:after="0"/>
              <w:rPr>
                <w:rFonts w:eastAsia="Calibri"/>
                <w:b/>
                <w:bCs/>
              </w:rPr>
            </w:pPr>
            <w:r w:rsidRPr="00F56C82">
              <w:rPr>
                <w:rFonts w:eastAsia="Calibri"/>
                <w:b/>
                <w:bCs/>
              </w:rPr>
              <w:t>3</w:t>
            </w:r>
          </w:p>
        </w:tc>
        <w:tc>
          <w:tcPr>
            <w:tcW w:w="2125" w:type="dxa"/>
          </w:tcPr>
          <w:p w14:paraId="0A616C1D" w14:textId="77777777" w:rsidR="00FA4172" w:rsidRPr="00F56C82" w:rsidRDefault="00A96CEC">
            <w:pPr>
              <w:spacing w:before="0" w:after="0"/>
              <w:rPr>
                <w:rFonts w:eastAsia="Calibri"/>
                <w:b/>
                <w:bCs/>
              </w:rPr>
            </w:pPr>
            <w:r w:rsidRPr="00F56C82">
              <w:rPr>
                <w:rFonts w:eastAsia="Calibri"/>
                <w:b/>
                <w:bCs/>
              </w:rPr>
              <w:t>May/June</w:t>
            </w:r>
          </w:p>
        </w:tc>
        <w:tc>
          <w:tcPr>
            <w:tcW w:w="5897" w:type="dxa"/>
          </w:tcPr>
          <w:p w14:paraId="0A616C1E" w14:textId="77777777" w:rsidR="00FA4172" w:rsidRDefault="00A96CEC">
            <w:pPr>
              <w:spacing w:before="0" w:after="0"/>
              <w:rPr>
                <w:rFonts w:eastAsia="Calibri"/>
              </w:rPr>
            </w:pPr>
            <w:r>
              <w:rPr>
                <w:rFonts w:eastAsia="Calibri"/>
              </w:rPr>
              <w:t>Appropriate work begins to influence the funding required for the following and future years.  This will not be necessary if:</w:t>
            </w:r>
          </w:p>
          <w:p w14:paraId="0A616C1F" w14:textId="77777777" w:rsidR="00FA4172" w:rsidRDefault="00A96CEC">
            <w:pPr>
              <w:spacing w:before="0" w:after="0"/>
              <w:rPr>
                <w:rFonts w:eastAsia="Calibri"/>
              </w:rPr>
            </w:pPr>
            <w:r>
              <w:rPr>
                <w:rFonts w:eastAsia="Calibri"/>
              </w:rPr>
              <w:t>a) the current income has been guaranteed for two or more years</w:t>
            </w:r>
          </w:p>
          <w:p w14:paraId="0A616C20" w14:textId="77777777" w:rsidR="00FA4172" w:rsidRDefault="00A96CEC">
            <w:pPr>
              <w:spacing w:before="0" w:after="0"/>
              <w:rPr>
                <w:rFonts w:eastAsia="Calibri"/>
              </w:rPr>
            </w:pPr>
            <w:r>
              <w:rPr>
                <w:rFonts w:eastAsia="Calibri"/>
              </w:rPr>
              <w:t>b) the current income stream, if maintained, covers the budget forecast for two or more years</w:t>
            </w:r>
          </w:p>
          <w:p w14:paraId="0A616C21" w14:textId="77777777" w:rsidR="00FA4172" w:rsidRDefault="00A96CEC">
            <w:pPr>
              <w:spacing w:before="0" w:after="0"/>
              <w:rPr>
                <w:rFonts w:eastAsia="Calibri"/>
              </w:rPr>
            </w:pPr>
            <w:r>
              <w:rPr>
                <w:rFonts w:eastAsia="Calibri"/>
              </w:rPr>
              <w:t>c) the organisations’ free reserves cover the budget forecast for two years or more.</w:t>
            </w:r>
          </w:p>
        </w:tc>
      </w:tr>
      <w:tr w:rsidR="00FA4172" w14:paraId="0A616C26" w14:textId="77777777">
        <w:tc>
          <w:tcPr>
            <w:tcW w:w="988" w:type="dxa"/>
          </w:tcPr>
          <w:p w14:paraId="0A616C23" w14:textId="77777777" w:rsidR="00FA4172" w:rsidRPr="00F56C82" w:rsidRDefault="00A96CEC">
            <w:pPr>
              <w:spacing w:before="0" w:after="0"/>
              <w:rPr>
                <w:rFonts w:eastAsia="Calibri"/>
                <w:b/>
                <w:bCs/>
              </w:rPr>
            </w:pPr>
            <w:r w:rsidRPr="00F56C82">
              <w:rPr>
                <w:rFonts w:eastAsia="Calibri"/>
                <w:b/>
                <w:bCs/>
              </w:rPr>
              <w:t>4</w:t>
            </w:r>
          </w:p>
        </w:tc>
        <w:tc>
          <w:tcPr>
            <w:tcW w:w="2125" w:type="dxa"/>
          </w:tcPr>
          <w:p w14:paraId="0A616C24" w14:textId="77777777" w:rsidR="00FA4172" w:rsidRPr="00F56C82" w:rsidRDefault="00A96CEC">
            <w:pPr>
              <w:spacing w:before="0" w:after="0"/>
              <w:rPr>
                <w:rFonts w:eastAsia="Calibri"/>
                <w:b/>
                <w:bCs/>
              </w:rPr>
            </w:pPr>
            <w:r w:rsidRPr="00F56C82">
              <w:rPr>
                <w:rFonts w:eastAsia="Calibri"/>
                <w:b/>
                <w:bCs/>
              </w:rPr>
              <w:t>Ongoing</w:t>
            </w:r>
          </w:p>
        </w:tc>
        <w:tc>
          <w:tcPr>
            <w:tcW w:w="5897" w:type="dxa"/>
          </w:tcPr>
          <w:p w14:paraId="0A616C25" w14:textId="77777777" w:rsidR="00FA4172" w:rsidRDefault="00A96CEC">
            <w:pPr>
              <w:spacing w:before="0" w:after="0"/>
              <w:rPr>
                <w:rFonts w:eastAsia="Calibri"/>
              </w:rPr>
            </w:pPr>
            <w:r>
              <w:rPr>
                <w:rFonts w:eastAsia="Calibri"/>
              </w:rPr>
              <w:t>Every opportunity is taken to apply for additional funding where the organisation meets the relevant funders’ criteria.</w:t>
            </w:r>
          </w:p>
        </w:tc>
      </w:tr>
    </w:tbl>
    <w:p w14:paraId="0A616C27" w14:textId="77777777" w:rsidR="00FA4172" w:rsidRDefault="00FA4172"/>
    <w:p w14:paraId="0A616C28" w14:textId="77777777" w:rsidR="00FA4172" w:rsidRDefault="00FA4172"/>
    <w:p w14:paraId="0A616C29" w14:textId="77777777" w:rsidR="00FA4172" w:rsidRDefault="00FA4172"/>
    <w:p w14:paraId="0A616C2A" w14:textId="77777777" w:rsidR="00FA4172" w:rsidRDefault="00FA4172"/>
    <w:p w14:paraId="0A616C2B" w14:textId="77777777" w:rsidR="00FA4172" w:rsidRDefault="00FA4172"/>
    <w:p w14:paraId="0A616C2C" w14:textId="77777777" w:rsidR="00FA4172" w:rsidRDefault="00FA4172"/>
    <w:p w14:paraId="0A616C2D" w14:textId="77777777" w:rsidR="00FA4172" w:rsidRDefault="00FA4172"/>
    <w:p w14:paraId="0A616C2E" w14:textId="77777777" w:rsidR="00FA4172" w:rsidRDefault="00FA4172"/>
    <w:p w14:paraId="0A616C2F" w14:textId="77777777" w:rsidR="00FA4172" w:rsidRDefault="00FA4172"/>
    <w:p w14:paraId="0A616C30" w14:textId="77777777" w:rsidR="00FA4172" w:rsidRDefault="00FA4172"/>
    <w:p w14:paraId="0A616C31" w14:textId="77777777" w:rsidR="00FA4172" w:rsidRDefault="00FA4172"/>
    <w:p w14:paraId="0A616C32" w14:textId="77777777" w:rsidR="00FA4172" w:rsidRDefault="00FA4172"/>
    <w:p w14:paraId="0A616C33" w14:textId="77777777" w:rsidR="00FA4172" w:rsidRDefault="00A96CEC">
      <w:pPr>
        <w:rPr>
          <w:b/>
          <w:bCs/>
        </w:rPr>
      </w:pPr>
      <w:r>
        <w:rPr>
          <w:b/>
          <w:bCs/>
        </w:rPr>
        <w:lastRenderedPageBreak/>
        <w:t>Appendix 2.</w:t>
      </w:r>
    </w:p>
    <w:p w14:paraId="0A616C34" w14:textId="77777777" w:rsidR="00FA4172" w:rsidRDefault="00A96CEC">
      <w:pPr>
        <w:rPr>
          <w:b/>
          <w:bCs/>
        </w:rPr>
      </w:pPr>
      <w:r>
        <w:rPr>
          <w:b/>
          <w:bCs/>
        </w:rPr>
        <w:t>Funding Sustainability Contingency Plan</w:t>
      </w:r>
    </w:p>
    <w:tbl>
      <w:tblPr>
        <w:tblStyle w:val="TableGrid"/>
        <w:tblW w:w="9010" w:type="dxa"/>
        <w:tblLayout w:type="fixed"/>
        <w:tblLook w:val="04A0" w:firstRow="1" w:lastRow="0" w:firstColumn="1" w:lastColumn="0" w:noHBand="0" w:noVBand="1"/>
      </w:tblPr>
      <w:tblGrid>
        <w:gridCol w:w="988"/>
        <w:gridCol w:w="2268"/>
        <w:gridCol w:w="5754"/>
      </w:tblGrid>
      <w:tr w:rsidR="00FA4172" w14:paraId="0A616C38" w14:textId="77777777">
        <w:tc>
          <w:tcPr>
            <w:tcW w:w="988" w:type="dxa"/>
          </w:tcPr>
          <w:p w14:paraId="0A616C35" w14:textId="77777777" w:rsidR="00FA4172" w:rsidRDefault="00FA4172">
            <w:pPr>
              <w:spacing w:before="0" w:after="0"/>
              <w:rPr>
                <w:rFonts w:eastAsia="Calibri"/>
              </w:rPr>
            </w:pPr>
          </w:p>
        </w:tc>
        <w:tc>
          <w:tcPr>
            <w:tcW w:w="2268" w:type="dxa"/>
          </w:tcPr>
          <w:p w14:paraId="0A616C36" w14:textId="77777777" w:rsidR="00FA4172" w:rsidRDefault="00A96CEC">
            <w:pPr>
              <w:spacing w:before="0" w:after="0"/>
              <w:rPr>
                <w:b/>
                <w:bCs/>
              </w:rPr>
            </w:pPr>
            <w:r>
              <w:rPr>
                <w:rFonts w:eastAsia="Calibri"/>
                <w:b/>
                <w:bCs/>
              </w:rPr>
              <w:t xml:space="preserve">When </w:t>
            </w:r>
          </w:p>
        </w:tc>
        <w:tc>
          <w:tcPr>
            <w:tcW w:w="5754" w:type="dxa"/>
          </w:tcPr>
          <w:p w14:paraId="0A616C37" w14:textId="77777777" w:rsidR="00FA4172" w:rsidRDefault="00A96CEC">
            <w:pPr>
              <w:spacing w:before="0" w:after="0"/>
              <w:rPr>
                <w:b/>
                <w:bCs/>
              </w:rPr>
            </w:pPr>
            <w:r>
              <w:rPr>
                <w:rFonts w:eastAsia="Calibri"/>
                <w:b/>
                <w:bCs/>
              </w:rPr>
              <w:t>Action</w:t>
            </w:r>
          </w:p>
        </w:tc>
      </w:tr>
      <w:tr w:rsidR="00FA4172" w14:paraId="0A616C41" w14:textId="77777777">
        <w:tc>
          <w:tcPr>
            <w:tcW w:w="988" w:type="dxa"/>
          </w:tcPr>
          <w:p w14:paraId="0A616C39" w14:textId="77777777" w:rsidR="00FA4172" w:rsidRPr="00F56C82" w:rsidRDefault="00A96CEC">
            <w:pPr>
              <w:spacing w:before="0" w:after="0"/>
              <w:rPr>
                <w:rFonts w:eastAsia="Calibri"/>
                <w:b/>
                <w:bCs/>
              </w:rPr>
            </w:pPr>
            <w:r w:rsidRPr="00F56C82">
              <w:rPr>
                <w:rFonts w:eastAsia="Calibri"/>
                <w:b/>
                <w:bCs/>
              </w:rPr>
              <w:t>1</w:t>
            </w:r>
          </w:p>
        </w:tc>
        <w:tc>
          <w:tcPr>
            <w:tcW w:w="2268" w:type="dxa"/>
          </w:tcPr>
          <w:p w14:paraId="0A616C3A" w14:textId="77777777" w:rsidR="00FA4172" w:rsidRPr="00F56C82" w:rsidRDefault="00A96CEC">
            <w:pPr>
              <w:spacing w:before="0" w:after="0"/>
              <w:rPr>
                <w:rFonts w:eastAsia="Calibri"/>
                <w:b/>
                <w:bCs/>
              </w:rPr>
            </w:pPr>
            <w:r w:rsidRPr="00F56C82">
              <w:rPr>
                <w:rFonts w:eastAsia="Calibri"/>
                <w:b/>
                <w:bCs/>
              </w:rPr>
              <w:t>April/May</w:t>
            </w:r>
          </w:p>
        </w:tc>
        <w:tc>
          <w:tcPr>
            <w:tcW w:w="5754" w:type="dxa"/>
          </w:tcPr>
          <w:p w14:paraId="0A616C3B" w14:textId="77777777" w:rsidR="00FA4172" w:rsidRDefault="00A96CEC">
            <w:pPr>
              <w:spacing w:before="0" w:after="0"/>
              <w:rPr>
                <w:rFonts w:eastAsia="Calibri"/>
              </w:rPr>
            </w:pPr>
            <w:r>
              <w:rPr>
                <w:rFonts w:eastAsia="Calibri"/>
              </w:rPr>
              <w:t>Confirm the impact of known/anticipated funding awards on the budget forecast for the next three years, and identify the probable date when:</w:t>
            </w:r>
          </w:p>
          <w:p w14:paraId="0A616C3C" w14:textId="77777777" w:rsidR="00FA4172" w:rsidRDefault="00A96CEC">
            <w:pPr>
              <w:spacing w:before="0" w:after="0"/>
              <w:rPr>
                <w:rFonts w:eastAsia="Calibri"/>
              </w:rPr>
            </w:pPr>
            <w:r>
              <w:rPr>
                <w:rFonts w:eastAsia="Calibri"/>
              </w:rPr>
              <w:t>a) the forecasted budget moves into deficit AND</w:t>
            </w:r>
          </w:p>
          <w:p w14:paraId="0A616C3D" w14:textId="77777777" w:rsidR="00FA4172" w:rsidRDefault="00A96CEC">
            <w:pPr>
              <w:spacing w:before="0" w:after="0"/>
              <w:rPr>
                <w:rFonts w:eastAsia="Calibri"/>
              </w:rPr>
            </w:pPr>
            <w:r>
              <w:rPr>
                <w:rFonts w:eastAsia="Calibri"/>
              </w:rPr>
              <w:t>b) the free reserves are NIL</w:t>
            </w:r>
          </w:p>
          <w:p w14:paraId="0A616C3E" w14:textId="77777777" w:rsidR="00FA4172" w:rsidRDefault="00FA4172">
            <w:pPr>
              <w:spacing w:before="0" w:after="0"/>
              <w:rPr>
                <w:rFonts w:eastAsia="Calibri"/>
              </w:rPr>
            </w:pPr>
          </w:p>
          <w:p w14:paraId="0A616C3F" w14:textId="77777777" w:rsidR="00FA4172" w:rsidRDefault="00A96CEC">
            <w:pPr>
              <w:spacing w:before="0" w:after="0"/>
              <w:rPr>
                <w:rFonts w:eastAsia="Calibri"/>
              </w:rPr>
            </w:pPr>
            <w:r>
              <w:rPr>
                <w:rFonts w:eastAsia="Calibri"/>
              </w:rPr>
              <w:t>This date will be known as D-Date</w:t>
            </w:r>
          </w:p>
          <w:p w14:paraId="0A616C40" w14:textId="77777777" w:rsidR="00FA4172" w:rsidRDefault="00FA4172">
            <w:pPr>
              <w:spacing w:before="0" w:after="0"/>
              <w:rPr>
                <w:rFonts w:eastAsia="Calibri"/>
              </w:rPr>
            </w:pPr>
          </w:p>
        </w:tc>
      </w:tr>
      <w:tr w:rsidR="00FA4172" w14:paraId="0A616C45" w14:textId="77777777">
        <w:tc>
          <w:tcPr>
            <w:tcW w:w="988" w:type="dxa"/>
          </w:tcPr>
          <w:p w14:paraId="0A616C42" w14:textId="77777777" w:rsidR="00FA4172" w:rsidRDefault="00FA4172">
            <w:pPr>
              <w:spacing w:before="0" w:after="0"/>
              <w:rPr>
                <w:rFonts w:eastAsia="Calibri"/>
              </w:rPr>
            </w:pPr>
          </w:p>
        </w:tc>
        <w:tc>
          <w:tcPr>
            <w:tcW w:w="2268" w:type="dxa"/>
          </w:tcPr>
          <w:p w14:paraId="0A616C43" w14:textId="77777777" w:rsidR="00FA4172" w:rsidRDefault="00FA4172">
            <w:pPr>
              <w:spacing w:before="0" w:after="0"/>
              <w:rPr>
                <w:rFonts w:eastAsia="Calibri"/>
              </w:rPr>
            </w:pPr>
          </w:p>
        </w:tc>
        <w:tc>
          <w:tcPr>
            <w:tcW w:w="5754" w:type="dxa"/>
          </w:tcPr>
          <w:p w14:paraId="0A616C44" w14:textId="77777777" w:rsidR="00FA4172" w:rsidRDefault="00A96CEC">
            <w:pPr>
              <w:spacing w:before="0" w:after="0"/>
              <w:rPr>
                <w:rFonts w:eastAsia="Calibri"/>
              </w:rPr>
            </w:pPr>
            <w:r>
              <w:rPr>
                <w:rFonts w:eastAsia="Calibri"/>
              </w:rPr>
              <w:t>Further action is unlikely to be required unless both scenarios are met.</w:t>
            </w:r>
          </w:p>
        </w:tc>
      </w:tr>
      <w:tr w:rsidR="00FA4172" w14:paraId="0A616C49" w14:textId="77777777">
        <w:tc>
          <w:tcPr>
            <w:tcW w:w="988" w:type="dxa"/>
          </w:tcPr>
          <w:p w14:paraId="0A616C46" w14:textId="77777777" w:rsidR="00FA4172" w:rsidRPr="00F56C82" w:rsidRDefault="00A96CEC">
            <w:pPr>
              <w:spacing w:before="0" w:after="0"/>
              <w:rPr>
                <w:rFonts w:eastAsia="Calibri"/>
                <w:b/>
                <w:bCs/>
              </w:rPr>
            </w:pPr>
            <w:r w:rsidRPr="00F56C82">
              <w:rPr>
                <w:rFonts w:eastAsia="Calibri"/>
                <w:b/>
                <w:bCs/>
              </w:rPr>
              <w:t>2</w:t>
            </w:r>
          </w:p>
        </w:tc>
        <w:tc>
          <w:tcPr>
            <w:tcW w:w="2268" w:type="dxa"/>
          </w:tcPr>
          <w:p w14:paraId="0A616C47" w14:textId="77777777" w:rsidR="00FA4172" w:rsidRPr="00F56C82" w:rsidRDefault="00A96CEC">
            <w:pPr>
              <w:spacing w:before="0" w:after="0"/>
              <w:rPr>
                <w:rFonts w:eastAsia="Calibri"/>
                <w:b/>
                <w:bCs/>
              </w:rPr>
            </w:pPr>
            <w:r w:rsidRPr="00F56C82">
              <w:rPr>
                <w:rFonts w:eastAsia="Calibri"/>
                <w:b/>
                <w:bCs/>
              </w:rPr>
              <w:t>Ongoing</w:t>
            </w:r>
          </w:p>
        </w:tc>
        <w:tc>
          <w:tcPr>
            <w:tcW w:w="5754" w:type="dxa"/>
          </w:tcPr>
          <w:p w14:paraId="0A616C48" w14:textId="77777777" w:rsidR="00FA4172" w:rsidRDefault="00A96CEC">
            <w:pPr>
              <w:spacing w:before="0" w:after="0"/>
              <w:rPr>
                <w:rFonts w:eastAsia="Calibri"/>
              </w:rPr>
            </w:pPr>
            <w:r>
              <w:rPr>
                <w:rFonts w:eastAsia="Calibri"/>
              </w:rPr>
              <w:t>Every opportunity is taken to apply for additional funding where the organisation meets the relevant funders’ criteria.</w:t>
            </w:r>
          </w:p>
        </w:tc>
      </w:tr>
      <w:tr w:rsidR="00FA4172" w14:paraId="0A616C4D" w14:textId="77777777">
        <w:tc>
          <w:tcPr>
            <w:tcW w:w="988" w:type="dxa"/>
          </w:tcPr>
          <w:p w14:paraId="0A616C4A" w14:textId="77777777" w:rsidR="00FA4172" w:rsidRPr="00F56C82" w:rsidRDefault="00A96CEC">
            <w:pPr>
              <w:spacing w:before="0" w:after="0"/>
              <w:rPr>
                <w:rFonts w:eastAsia="Calibri"/>
                <w:b/>
                <w:bCs/>
              </w:rPr>
            </w:pPr>
            <w:r w:rsidRPr="00F56C82">
              <w:rPr>
                <w:rFonts w:eastAsia="Calibri"/>
                <w:b/>
                <w:bCs/>
              </w:rPr>
              <w:t>3</w:t>
            </w:r>
          </w:p>
        </w:tc>
        <w:tc>
          <w:tcPr>
            <w:tcW w:w="2268" w:type="dxa"/>
          </w:tcPr>
          <w:p w14:paraId="0A616C4B" w14:textId="77777777" w:rsidR="00FA4172" w:rsidRPr="00F56C82" w:rsidRDefault="00A96CEC">
            <w:pPr>
              <w:spacing w:before="0" w:after="0"/>
              <w:rPr>
                <w:rFonts w:eastAsia="Calibri"/>
                <w:b/>
                <w:bCs/>
              </w:rPr>
            </w:pPr>
            <w:r w:rsidRPr="00F56C82">
              <w:rPr>
                <w:rFonts w:eastAsia="Calibri"/>
                <w:b/>
                <w:bCs/>
              </w:rPr>
              <w:t>May</w:t>
            </w:r>
          </w:p>
        </w:tc>
        <w:tc>
          <w:tcPr>
            <w:tcW w:w="5754" w:type="dxa"/>
          </w:tcPr>
          <w:p w14:paraId="0A616C4C" w14:textId="77777777" w:rsidR="00FA4172" w:rsidRDefault="00A96CEC">
            <w:pPr>
              <w:spacing w:before="0" w:after="0"/>
              <w:rPr>
                <w:rFonts w:eastAsia="Calibri"/>
              </w:rPr>
            </w:pPr>
            <w:r>
              <w:rPr>
                <w:rFonts w:eastAsia="Calibri"/>
              </w:rPr>
              <w:t>Immediately commence engagement with core funders to negotiate additional funds and/or agree potential service reductions.</w:t>
            </w:r>
          </w:p>
        </w:tc>
      </w:tr>
      <w:tr w:rsidR="00FA4172" w14:paraId="0A616C51" w14:textId="77777777">
        <w:tc>
          <w:tcPr>
            <w:tcW w:w="988" w:type="dxa"/>
          </w:tcPr>
          <w:p w14:paraId="0A616C4E" w14:textId="77777777" w:rsidR="00FA4172" w:rsidRPr="00F56C82" w:rsidRDefault="00A96CEC">
            <w:pPr>
              <w:spacing w:before="0" w:after="0"/>
              <w:rPr>
                <w:rFonts w:eastAsia="Calibri"/>
                <w:b/>
                <w:bCs/>
              </w:rPr>
            </w:pPr>
            <w:r w:rsidRPr="00F56C82">
              <w:rPr>
                <w:rFonts w:eastAsia="Calibri"/>
                <w:b/>
                <w:bCs/>
              </w:rPr>
              <w:t>4</w:t>
            </w:r>
          </w:p>
        </w:tc>
        <w:tc>
          <w:tcPr>
            <w:tcW w:w="2268" w:type="dxa"/>
          </w:tcPr>
          <w:p w14:paraId="0A616C4F" w14:textId="77777777" w:rsidR="00FA4172" w:rsidRPr="00F56C82" w:rsidRDefault="00A96CEC">
            <w:pPr>
              <w:spacing w:before="0" w:after="0"/>
              <w:rPr>
                <w:rFonts w:eastAsia="Calibri"/>
                <w:b/>
                <w:bCs/>
              </w:rPr>
            </w:pPr>
            <w:r w:rsidRPr="00F56C82">
              <w:rPr>
                <w:rFonts w:eastAsia="Calibri"/>
                <w:b/>
                <w:bCs/>
              </w:rPr>
              <w:t>D-Date minus four months</w:t>
            </w:r>
          </w:p>
        </w:tc>
        <w:tc>
          <w:tcPr>
            <w:tcW w:w="5754" w:type="dxa"/>
          </w:tcPr>
          <w:p w14:paraId="0A616C50" w14:textId="77777777" w:rsidR="00FA4172" w:rsidRDefault="00A96CEC">
            <w:pPr>
              <w:spacing w:before="0" w:after="0"/>
              <w:rPr>
                <w:rFonts w:eastAsia="Calibri"/>
              </w:rPr>
            </w:pPr>
            <w:r>
              <w:rPr>
                <w:rFonts w:eastAsia="Calibri"/>
              </w:rPr>
              <w:t>Design and agree potential alternative operational design structures and service levels.</w:t>
            </w:r>
          </w:p>
        </w:tc>
      </w:tr>
      <w:tr w:rsidR="00FA4172" w14:paraId="0A616C55" w14:textId="77777777">
        <w:tc>
          <w:tcPr>
            <w:tcW w:w="988" w:type="dxa"/>
          </w:tcPr>
          <w:p w14:paraId="0A616C52" w14:textId="77777777" w:rsidR="00FA4172" w:rsidRPr="00F56C82" w:rsidRDefault="00A96CEC">
            <w:pPr>
              <w:spacing w:before="0" w:after="0"/>
              <w:rPr>
                <w:rFonts w:eastAsia="Calibri"/>
                <w:b/>
                <w:bCs/>
              </w:rPr>
            </w:pPr>
            <w:r w:rsidRPr="00F56C82">
              <w:rPr>
                <w:rFonts w:eastAsia="Calibri"/>
                <w:b/>
                <w:bCs/>
              </w:rPr>
              <w:t>5</w:t>
            </w:r>
          </w:p>
        </w:tc>
        <w:tc>
          <w:tcPr>
            <w:tcW w:w="2268" w:type="dxa"/>
          </w:tcPr>
          <w:p w14:paraId="0A616C53" w14:textId="77777777" w:rsidR="00FA4172" w:rsidRPr="00F56C82" w:rsidRDefault="00A96CEC">
            <w:pPr>
              <w:spacing w:before="0" w:after="0"/>
              <w:rPr>
                <w:rFonts w:eastAsia="Calibri"/>
                <w:b/>
                <w:bCs/>
              </w:rPr>
            </w:pPr>
            <w:r w:rsidRPr="00F56C82">
              <w:rPr>
                <w:rFonts w:eastAsia="Calibri"/>
                <w:b/>
                <w:bCs/>
              </w:rPr>
              <w:t>D-Date minus three months</w:t>
            </w:r>
          </w:p>
        </w:tc>
        <w:tc>
          <w:tcPr>
            <w:tcW w:w="5754" w:type="dxa"/>
          </w:tcPr>
          <w:p w14:paraId="0A616C54" w14:textId="77777777" w:rsidR="00FA4172" w:rsidRDefault="00A96CEC">
            <w:pPr>
              <w:spacing w:before="0" w:after="0"/>
              <w:rPr>
                <w:rFonts w:eastAsia="Calibri"/>
              </w:rPr>
            </w:pPr>
            <w:r>
              <w:rPr>
                <w:rFonts w:eastAsia="Calibri"/>
              </w:rPr>
              <w:t>If no additional funding is confirmed then commence restructure consultation with staff.</w:t>
            </w:r>
          </w:p>
        </w:tc>
      </w:tr>
      <w:tr w:rsidR="00FA4172" w14:paraId="0A616C5A" w14:textId="77777777">
        <w:tc>
          <w:tcPr>
            <w:tcW w:w="988" w:type="dxa"/>
          </w:tcPr>
          <w:p w14:paraId="0A616C56" w14:textId="77777777" w:rsidR="00FA4172" w:rsidRPr="00F56C82" w:rsidRDefault="00A96CEC">
            <w:pPr>
              <w:spacing w:before="0" w:after="0"/>
              <w:rPr>
                <w:rFonts w:eastAsia="Calibri"/>
                <w:b/>
                <w:bCs/>
              </w:rPr>
            </w:pPr>
            <w:r w:rsidRPr="00F56C82">
              <w:rPr>
                <w:rFonts w:eastAsia="Calibri"/>
                <w:b/>
                <w:bCs/>
              </w:rPr>
              <w:t xml:space="preserve">6 </w:t>
            </w:r>
          </w:p>
        </w:tc>
        <w:tc>
          <w:tcPr>
            <w:tcW w:w="2268" w:type="dxa"/>
          </w:tcPr>
          <w:p w14:paraId="0A616C57" w14:textId="77777777" w:rsidR="00FA4172" w:rsidRPr="00F56C82" w:rsidRDefault="00A96CEC">
            <w:pPr>
              <w:spacing w:before="0" w:after="0"/>
              <w:rPr>
                <w:rFonts w:eastAsia="Calibri"/>
                <w:b/>
                <w:bCs/>
              </w:rPr>
            </w:pPr>
            <w:r w:rsidRPr="00F56C82">
              <w:rPr>
                <w:rFonts w:eastAsia="Calibri"/>
                <w:b/>
                <w:bCs/>
              </w:rPr>
              <w:t xml:space="preserve">D-Date </w:t>
            </w:r>
          </w:p>
        </w:tc>
        <w:tc>
          <w:tcPr>
            <w:tcW w:w="5754" w:type="dxa"/>
          </w:tcPr>
          <w:p w14:paraId="0A616C58" w14:textId="77777777" w:rsidR="00FA4172" w:rsidRDefault="00A96CEC">
            <w:pPr>
              <w:spacing w:before="0" w:after="0"/>
              <w:rPr>
                <w:rFonts w:eastAsia="Calibri"/>
              </w:rPr>
            </w:pPr>
            <w:r>
              <w:rPr>
                <w:rFonts w:eastAsia="Calibri"/>
              </w:rPr>
              <w:t>Restructure organisation.</w:t>
            </w:r>
          </w:p>
          <w:p w14:paraId="0A616C59" w14:textId="77777777" w:rsidR="00FA4172" w:rsidRDefault="00FA4172">
            <w:pPr>
              <w:spacing w:before="0" w:after="0"/>
              <w:rPr>
                <w:rFonts w:eastAsia="Calibri"/>
              </w:rPr>
            </w:pPr>
          </w:p>
        </w:tc>
      </w:tr>
    </w:tbl>
    <w:p w14:paraId="0A616C5B" w14:textId="77777777" w:rsidR="00FA4172" w:rsidRDefault="00FA4172"/>
    <w:sectPr w:rsidR="00FA4172">
      <w:footerReference w:type="even" r:id="rId11"/>
      <w:footerReference w:type="default" r:id="rId12"/>
      <w:footerReference w:type="first" r:id="rId13"/>
      <w:pgSz w:w="11906" w:h="16838"/>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6C63" w14:textId="77777777" w:rsidR="00A96CEC" w:rsidRDefault="00A96CEC">
      <w:pPr>
        <w:spacing w:before="0" w:after="0"/>
      </w:pPr>
      <w:r>
        <w:separator/>
      </w:r>
    </w:p>
  </w:endnote>
  <w:endnote w:type="continuationSeparator" w:id="0">
    <w:p w14:paraId="0A616C64" w14:textId="77777777" w:rsidR="00A96CEC" w:rsidRDefault="00A96C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6C65" w14:textId="77777777" w:rsidR="00FA4172" w:rsidRDefault="00A96CEC">
    <w:pPr>
      <w:pStyle w:val="Footer"/>
      <w:ind w:right="360"/>
    </w:pPr>
    <w:r>
      <w:rPr>
        <w:noProof/>
      </w:rPr>
      <mc:AlternateContent>
        <mc:Choice Requires="wps">
          <w:drawing>
            <wp:anchor distT="0" distB="0" distL="0" distR="0" simplePos="0" relativeHeight="251658240" behindDoc="0" locked="0" layoutInCell="1" allowOverlap="1" wp14:anchorId="0A616C68" wp14:editId="0A616C69">
              <wp:simplePos x="0" y="0"/>
              <wp:positionH relativeFrom="margin">
                <wp:align>right</wp:align>
              </wp:positionH>
              <wp:positionV relativeFrom="paragraph">
                <wp:posOffset>635</wp:posOffset>
              </wp:positionV>
              <wp:extent cx="14605" cy="14605"/>
              <wp:effectExtent l="0" t="0" r="0" b="0"/>
              <wp:wrapNone/>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sdt>
                          <w:sdtPr>
                            <w:id w:val="1370572589"/>
                            <w:docPartObj>
                              <w:docPartGallery w:val="Page Numbers (Bottom of Page)"/>
                              <w:docPartUnique/>
                            </w:docPartObj>
                          </w:sdtPr>
                          <w:sdtEndPr/>
                          <w:sdtContent>
                            <w:p w14:paraId="0A616C6A" w14:textId="77777777" w:rsidR="00FA4172" w:rsidRDefault="00A96CE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tIns="0" rIns="0" bIns="0" anchor="t">
                      <a:spAutoFit/>
                    </wps:bodyPr>
                  </wps:wsp>
                </a:graphicData>
              </a:graphic>
            </wp:anchor>
          </w:drawing>
        </mc:Choice>
        <mc:Fallback>
          <w:pict>
            <v:shapetype w14:anchorId="0A616C68" id="_x0000_t202" coordsize="21600,21600" o:spt="202" path="m,l,21600r21600,l21600,xe">
              <v:stroke joinstyle="miter"/>
              <v:path gradientshapeok="t" o:connecttype="rect"/>
            </v:shapetype>
            <v:shape id="Frame1" o:spid="_x0000_s1026" type="#_x0000_t202" style="position:absolute;left:0;text-align:left;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sdt>
                    <w:sdtPr>
                      <w:id w:val="1370572589"/>
                      <w:docPartObj>
                        <w:docPartGallery w:val="Page Numbers (Bottom of Page)"/>
                        <w:docPartUnique/>
                      </w:docPartObj>
                    </w:sdtPr>
                    <w:sdtEndPr/>
                    <w:sdtContent>
                      <w:p w14:paraId="0A616C6A" w14:textId="77777777" w:rsidR="00FA4172" w:rsidRDefault="00A96CE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6C66" w14:textId="77777777" w:rsidR="00FA4172" w:rsidRDefault="00FA4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6C67" w14:textId="77777777" w:rsidR="00FA4172" w:rsidRDefault="00FA4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6C61" w14:textId="77777777" w:rsidR="00A96CEC" w:rsidRDefault="00A96CEC">
      <w:pPr>
        <w:spacing w:before="0" w:after="0"/>
      </w:pPr>
      <w:r>
        <w:separator/>
      </w:r>
    </w:p>
  </w:footnote>
  <w:footnote w:type="continuationSeparator" w:id="0">
    <w:p w14:paraId="0A616C62" w14:textId="77777777" w:rsidR="00A96CEC" w:rsidRDefault="00A96CE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6C06"/>
    <w:multiLevelType w:val="multilevel"/>
    <w:tmpl w:val="C92AD3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08329E"/>
    <w:multiLevelType w:val="multilevel"/>
    <w:tmpl w:val="3634D9A8"/>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3C181525"/>
    <w:multiLevelType w:val="multilevel"/>
    <w:tmpl w:val="BD7E410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41563344"/>
    <w:multiLevelType w:val="multilevel"/>
    <w:tmpl w:val="E28A88D4"/>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
      <w:lvlJc w:val="left"/>
      <w:pPr>
        <w:tabs>
          <w:tab w:val="num" w:pos="0"/>
        </w:tabs>
        <w:ind w:left="2880" w:hanging="360"/>
      </w:pPr>
      <w:rPr>
        <w:rFonts w:ascii="Wingdings" w:hAnsi="Wingdings" w:cs="Wingdings"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Wingdings" w:hAnsi="Wingdings" w:cs="Wingdings" w:hint="default"/>
      </w:rPr>
    </w:lvl>
    <w:lvl w:ilvl="7">
      <w:start w:val="1"/>
      <w:numFmt w:val="bullet"/>
      <w:lvlText w:val=""/>
      <w:lvlJc w:val="left"/>
      <w:pPr>
        <w:tabs>
          <w:tab w:val="num" w:pos="0"/>
        </w:tabs>
        <w:ind w:left="7200" w:hanging="360"/>
      </w:pPr>
      <w:rPr>
        <w:rFonts w:ascii="Symbol" w:hAnsi="Symbol" w:cs="Symbol" w:hint="default"/>
      </w:rPr>
    </w:lvl>
    <w:lvl w:ilvl="8">
      <w:start w:val="1"/>
      <w:numFmt w:val="bullet"/>
      <w:lvlText w:val="♦"/>
      <w:lvlJc w:val="left"/>
      <w:pPr>
        <w:tabs>
          <w:tab w:val="num" w:pos="0"/>
        </w:tabs>
        <w:ind w:left="7920" w:hanging="360"/>
      </w:pPr>
      <w:rPr>
        <w:rFonts w:ascii="Courier New" w:hAnsi="Courier New" w:cs="Courier New" w:hint="default"/>
      </w:rPr>
    </w:lvl>
  </w:abstractNum>
  <w:num w:numId="1" w16cid:durableId="2002538348">
    <w:abstractNumId w:val="3"/>
  </w:num>
  <w:num w:numId="2" w16cid:durableId="1588538722">
    <w:abstractNumId w:val="1"/>
  </w:num>
  <w:num w:numId="3" w16cid:durableId="1020281216">
    <w:abstractNumId w:val="2"/>
  </w:num>
  <w:num w:numId="4" w16cid:durableId="71816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72"/>
    <w:rsid w:val="001D3CDD"/>
    <w:rsid w:val="008540AC"/>
    <w:rsid w:val="00A53011"/>
    <w:rsid w:val="00A96CEC"/>
    <w:rsid w:val="00BB0362"/>
    <w:rsid w:val="00F56C82"/>
    <w:rsid w:val="00FA417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6BCB"/>
  <w15:docId w15:val="{56D41448-6CBD-4E4F-9DF4-2AF1D2CC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10F0B"/>
  </w:style>
  <w:style w:type="character" w:customStyle="1" w:styleId="FooterChar">
    <w:name w:val="Footer Char"/>
    <w:basedOn w:val="DefaultParagraphFont"/>
    <w:link w:val="Footer"/>
    <w:uiPriority w:val="99"/>
    <w:qFormat/>
    <w:rsid w:val="00A10F0B"/>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80B86"/>
    <w:rPr>
      <w:rFonts w:ascii="Times New Roman" w:hAnsi="Times New Roman" w:cs="Times New Roman"/>
      <w:sz w:val="18"/>
      <w:szCs w:val="18"/>
    </w:rPr>
  </w:style>
  <w:style w:type="character" w:styleId="PageNumber">
    <w:name w:val="page number"/>
    <w:basedOn w:val="DefaultParagraphFont"/>
    <w:uiPriority w:val="99"/>
    <w:semiHidden/>
    <w:unhideWhenUsed/>
    <w:rsid w:val="00422B17"/>
  </w:style>
  <w:style w:type="character" w:customStyle="1" w:styleId="CommentSubjectChar">
    <w:name w:val="Comment Subject Char"/>
    <w:basedOn w:val="CommentTextChar"/>
    <w:link w:val="CommentSubject"/>
    <w:uiPriority w:val="99"/>
    <w:semiHidden/>
    <w:qFormat/>
    <w:rsid w:val="00102CD9"/>
    <w:rPr>
      <w:b/>
      <w:bCs/>
      <w:sz w:val="20"/>
      <w:szCs w:val="20"/>
    </w:rPr>
  </w:style>
  <w:style w:type="character" w:styleId="LineNumber">
    <w:name w:val="line number"/>
  </w:style>
  <w:style w:type="paragraph" w:customStyle="1" w:styleId="Heading">
    <w:name w:val="Heading"/>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qFormat/>
    <w:pPr>
      <w:suppressLineNumbers/>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14212C"/>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10F0B"/>
    <w:pPr>
      <w:tabs>
        <w:tab w:val="center" w:pos="4513"/>
        <w:tab w:val="right" w:pos="9026"/>
      </w:tabs>
      <w:spacing w:before="0" w:after="0"/>
    </w:pPr>
  </w:style>
  <w:style w:type="paragraph" w:styleId="Footer">
    <w:name w:val="footer"/>
    <w:basedOn w:val="Normal"/>
    <w:link w:val="FooterChar"/>
    <w:uiPriority w:val="99"/>
    <w:unhideWhenUsed/>
    <w:rsid w:val="00A10F0B"/>
    <w:pPr>
      <w:tabs>
        <w:tab w:val="center" w:pos="4513"/>
        <w:tab w:val="right" w:pos="9026"/>
      </w:tabs>
      <w:spacing w:before="0" w:after="0"/>
    </w:pPr>
  </w:style>
  <w:style w:type="paragraph" w:styleId="CommentText">
    <w:name w:val="annotation text"/>
    <w:basedOn w:val="Normal"/>
    <w:link w:val="CommentTextChar"/>
    <w:uiPriority w:val="99"/>
    <w:unhideWhenUsed/>
    <w:rPr>
      <w:sz w:val="20"/>
      <w:szCs w:val="20"/>
    </w:rPr>
  </w:style>
  <w:style w:type="paragraph" w:styleId="BalloonText">
    <w:name w:val="Balloon Text"/>
    <w:basedOn w:val="Normal"/>
    <w:link w:val="BalloonTextChar"/>
    <w:uiPriority w:val="99"/>
    <w:semiHidden/>
    <w:unhideWhenUsed/>
    <w:qFormat/>
    <w:rsid w:val="00380B86"/>
    <w:pPr>
      <w:spacing w:before="0" w:after="0"/>
    </w:pPr>
    <w:rPr>
      <w:rFonts w:ascii="Times New Roman" w:hAnsi="Times New Roman" w:cs="Times New Roman"/>
      <w:sz w:val="18"/>
      <w:szCs w:val="18"/>
    </w:rPr>
  </w:style>
  <w:style w:type="paragraph" w:styleId="Revision">
    <w:name w:val="Revision"/>
    <w:uiPriority w:val="99"/>
    <w:semiHidden/>
    <w:qFormat/>
    <w:rsid w:val="00D640A1"/>
  </w:style>
  <w:style w:type="paragraph" w:styleId="CommentSubject">
    <w:name w:val="annotation subject"/>
    <w:basedOn w:val="CommentText"/>
    <w:next w:val="CommentText"/>
    <w:link w:val="CommentSubjectChar"/>
    <w:uiPriority w:val="99"/>
    <w:semiHidden/>
    <w:unhideWhenUsed/>
    <w:qFormat/>
    <w:rsid w:val="00102CD9"/>
    <w:rPr>
      <w:b/>
      <w:bCs/>
    </w:rPr>
  </w:style>
  <w:style w:type="paragraph" w:customStyle="1" w:styleId="FrameContents">
    <w:name w:val="Frame Contents"/>
    <w:basedOn w:val="Normal"/>
    <w:qFormat/>
  </w:style>
  <w:style w:type="paragraph" w:customStyle="1" w:styleId="Comment">
    <w:name w:val="Comment"/>
    <w:basedOn w:val="Normal"/>
    <w:qFormat/>
    <w:pPr>
      <w:spacing w:before="56" w:after="0"/>
      <w:ind w:left="56" w:right="56"/>
    </w:pPr>
    <w:rPr>
      <w:sz w:val="20"/>
      <w:szCs w:val="20"/>
    </w:rPr>
  </w:style>
  <w:style w:type="table" w:styleId="TableGrid">
    <w:name w:val="Table Grid"/>
    <w:basedOn w:val="TableNormal"/>
    <w:uiPriority w:val="39"/>
    <w:rsid w:val="00BD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EE75628EEAF429FB10A3C036248E7" ma:contentTypeVersion="18" ma:contentTypeDescription="Create a new document." ma:contentTypeScope="" ma:versionID="3a5e1fbddd21e708489112730f9d2322">
  <xsd:schema xmlns:xsd="http://www.w3.org/2001/XMLSchema" xmlns:xs="http://www.w3.org/2001/XMLSchema" xmlns:p="http://schemas.microsoft.com/office/2006/metadata/properties" xmlns:ns2="97e7ec84-1152-47a6-b899-f4d186d2b37c" xmlns:ns3="2ff5f2bf-9899-41e0-8bc3-107a84cd9594" targetNamespace="http://schemas.microsoft.com/office/2006/metadata/properties" ma:root="true" ma:fieldsID="d83440e25734044c6872ff8959f585ca" ns2:_="" ns3:_="">
    <xsd:import namespace="97e7ec84-1152-47a6-b899-f4d186d2b37c"/>
    <xsd:import namespace="2ff5f2bf-9899-41e0-8bc3-107a84cd95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7ec84-1152-47a6-b899-f4d186d2b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ba62ac-dd76-4fb2-b707-90c6af5f0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5f2bf-9899-41e0-8bc3-107a84cd95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71d389-5ed9-49e5-b0e7-8d737e0f6148}" ma:internalName="TaxCatchAll" ma:showField="CatchAllData" ma:web="2ff5f2bf-9899-41e0-8bc3-107a84c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7ec84-1152-47a6-b899-f4d186d2b37c">
      <Terms xmlns="http://schemas.microsoft.com/office/infopath/2007/PartnerControls"/>
    </lcf76f155ced4ddcb4097134ff3c332f>
    <TaxCatchAll xmlns="2ff5f2bf-9899-41e0-8bc3-107a84cd9594" xsi:nil="true"/>
  </documentManagement>
</p:properties>
</file>

<file path=customXml/itemProps1.xml><?xml version="1.0" encoding="utf-8"?>
<ds:datastoreItem xmlns:ds="http://schemas.openxmlformats.org/officeDocument/2006/customXml" ds:itemID="{7AA0E069-4E0C-41BB-BBFA-AFE84A2EA5B6}">
  <ds:schemaRefs>
    <ds:schemaRef ds:uri="http://schemas.microsoft.com/sharepoint/v3/contenttype/forms"/>
  </ds:schemaRefs>
</ds:datastoreItem>
</file>

<file path=customXml/itemProps2.xml><?xml version="1.0" encoding="utf-8"?>
<ds:datastoreItem xmlns:ds="http://schemas.openxmlformats.org/officeDocument/2006/customXml" ds:itemID="{590799CA-4031-499E-9FB0-F7A9769C8946}"/>
</file>

<file path=customXml/itemProps3.xml><?xml version="1.0" encoding="utf-8"?>
<ds:datastoreItem xmlns:ds="http://schemas.openxmlformats.org/officeDocument/2006/customXml" ds:itemID="{3D08E7CE-0069-4790-8067-BED1DBE84BDB}">
  <ds:schemaRefs>
    <ds:schemaRef ds:uri="http://schemas.microsoft.com/office/2006/metadata/properties"/>
    <ds:schemaRef ds:uri="http://schemas.microsoft.com/office/infopath/2007/PartnerControls"/>
    <ds:schemaRef ds:uri="97e7ec84-1152-47a6-b899-f4d186d2b37c"/>
    <ds:schemaRef ds:uri="2ff5f2bf-9899-41e0-8bc3-107a84cd95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Blakey</dc:creator>
  <cp:lastModifiedBy>Debra Blakey</cp:lastModifiedBy>
  <cp:revision>3</cp:revision>
  <dcterms:created xsi:type="dcterms:W3CDTF">2025-02-06T13:56:00Z</dcterms:created>
  <dcterms:modified xsi:type="dcterms:W3CDTF">2025-02-06T13:57:00Z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2020-11-27T15:55:00Z</dcterms:created>
  <dc:creator>Peter Stonell</dc:creator>
  <dc:description/>
  <dc:language>en-GB</dc:language>
  <cp:lastModifiedBy/>
  <dcterms:modified xsi:type="dcterms:W3CDTF">2025-02-02T14:03:47Z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0x010100305EE75628EEAF429FB10A3C036248E7</vt:lpwstr>
  </property>
  <property fmtid="{D5CDD505-2E9C-101B-9397-08002B2CF9AE}" pid="3" name="MediaServiceImageTags">
    <vt:lpwstr/>
  </property>
</Properties>
</file>