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557"/>
      </w:tblGrid>
      <w:tr w:rsidR="00DC7E2A" w:rsidRPr="00DC7E2A" w14:paraId="5F474713" w14:textId="77777777" w:rsidTr="00DC7E2A">
        <w:trPr>
          <w:trHeight w:val="1340"/>
        </w:trPr>
        <w:tc>
          <w:tcPr>
            <w:tcW w:w="3402" w:type="dxa"/>
            <w:tcBorders>
              <w:top w:val="single" w:sz="4" w:space="0" w:color="auto"/>
              <w:left w:val="single" w:sz="4" w:space="0" w:color="auto"/>
              <w:bottom w:val="single" w:sz="4" w:space="0" w:color="auto"/>
              <w:right w:val="single" w:sz="4" w:space="0" w:color="auto"/>
            </w:tcBorders>
            <w:hideMark/>
          </w:tcPr>
          <w:p w14:paraId="713B3991" w14:textId="77777777" w:rsidR="00DC7E2A" w:rsidRPr="00DC7E2A" w:rsidRDefault="00DC7E2A" w:rsidP="00DC7E2A">
            <w:pPr>
              <w:widowControl w:val="0"/>
              <w:tabs>
                <w:tab w:val="left" w:pos="426"/>
              </w:tabs>
              <w:overflowPunct w:val="0"/>
              <w:autoSpaceDE w:val="0"/>
              <w:autoSpaceDN w:val="0"/>
              <w:adjustRightInd w:val="0"/>
              <w:spacing w:before="0"/>
              <w:jc w:val="center"/>
              <w:textAlignment w:val="baseline"/>
              <w:outlineLvl w:val="1"/>
              <w:rPr>
                <w:rFonts w:eastAsia="Times New Roman"/>
                <w:b/>
                <w:bCs/>
                <w:lang w:eastAsia="en-GB"/>
              </w:rPr>
            </w:pPr>
            <w:r w:rsidRPr="00DC7E2A">
              <w:rPr>
                <w:rFonts w:eastAsia="Times New Roman"/>
                <w:b/>
                <w:bCs/>
                <w:noProof/>
                <w:lang w:eastAsia="en-GB"/>
              </w:rPr>
              <w:drawing>
                <wp:inline distT="0" distB="0" distL="0" distR="0" wp14:anchorId="397DE3E8" wp14:editId="2D9D0251">
                  <wp:extent cx="1419225" cy="600075"/>
                  <wp:effectExtent l="19050" t="0" r="9525" b="0"/>
                  <wp:docPr id="2" name="Picture 0" descr="C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N Logo.JPG"/>
                          <pic:cNvPicPr>
                            <a:picLocks noChangeAspect="1" noChangeArrowheads="1"/>
                          </pic:cNvPicPr>
                        </pic:nvPicPr>
                        <pic:blipFill>
                          <a:blip r:embed="rId10"/>
                          <a:srcRect/>
                          <a:stretch>
                            <a:fillRect/>
                          </a:stretch>
                        </pic:blipFill>
                        <pic:spPr bwMode="auto">
                          <a:xfrm>
                            <a:off x="0" y="0"/>
                            <a:ext cx="1419225" cy="600075"/>
                          </a:xfrm>
                          <a:prstGeom prst="rect">
                            <a:avLst/>
                          </a:prstGeom>
                          <a:noFill/>
                          <a:ln w="9525">
                            <a:noFill/>
                            <a:miter lim="800000"/>
                            <a:headEnd/>
                            <a:tailEnd/>
                          </a:ln>
                        </pic:spPr>
                      </pic:pic>
                    </a:graphicData>
                  </a:graphic>
                </wp:inline>
              </w:drawing>
            </w:r>
          </w:p>
        </w:tc>
        <w:tc>
          <w:tcPr>
            <w:tcW w:w="5557" w:type="dxa"/>
            <w:tcBorders>
              <w:top w:val="single" w:sz="4" w:space="0" w:color="auto"/>
              <w:left w:val="single" w:sz="4" w:space="0" w:color="auto"/>
              <w:bottom w:val="single" w:sz="4" w:space="0" w:color="auto"/>
              <w:right w:val="single" w:sz="4" w:space="0" w:color="auto"/>
            </w:tcBorders>
          </w:tcPr>
          <w:p w14:paraId="081C7580" w14:textId="77777777" w:rsidR="00DC7E2A" w:rsidRPr="00DC7E2A" w:rsidRDefault="00DC7E2A" w:rsidP="00DC7E2A">
            <w:pPr>
              <w:widowControl w:val="0"/>
              <w:overflowPunct w:val="0"/>
              <w:autoSpaceDE w:val="0"/>
              <w:autoSpaceDN w:val="0"/>
              <w:adjustRightInd w:val="0"/>
              <w:spacing w:before="0" w:after="0" w:line="276" w:lineRule="auto"/>
              <w:jc w:val="center"/>
              <w:rPr>
                <w:rFonts w:eastAsia="Times New Roman"/>
                <w:b/>
                <w:sz w:val="22"/>
                <w:szCs w:val="20"/>
                <w:lang w:eastAsia="en-GB"/>
              </w:rPr>
            </w:pPr>
          </w:p>
          <w:p w14:paraId="0D44631C" w14:textId="77777777" w:rsidR="00DC7E2A" w:rsidRDefault="00DC7E2A" w:rsidP="00DC7E2A">
            <w:pPr>
              <w:widowControl w:val="0"/>
              <w:overflowPunct w:val="0"/>
              <w:autoSpaceDE w:val="0"/>
              <w:autoSpaceDN w:val="0"/>
              <w:adjustRightInd w:val="0"/>
              <w:spacing w:before="0" w:after="0" w:line="276" w:lineRule="auto"/>
              <w:jc w:val="center"/>
              <w:rPr>
                <w:rFonts w:eastAsia="Times New Roman"/>
                <w:b/>
                <w:lang w:eastAsia="en-GB"/>
              </w:rPr>
            </w:pPr>
            <w:r>
              <w:rPr>
                <w:rFonts w:eastAsia="Times New Roman"/>
                <w:b/>
                <w:lang w:eastAsia="en-GB"/>
              </w:rPr>
              <w:t>Financial Strategy</w:t>
            </w:r>
          </w:p>
          <w:p w14:paraId="46D472DC" w14:textId="0E9775DB" w:rsidR="00DC7E2A" w:rsidRPr="00DC7E2A" w:rsidRDefault="00DC7E2A" w:rsidP="00DC7E2A">
            <w:pPr>
              <w:widowControl w:val="0"/>
              <w:overflowPunct w:val="0"/>
              <w:autoSpaceDE w:val="0"/>
              <w:autoSpaceDN w:val="0"/>
              <w:adjustRightInd w:val="0"/>
              <w:spacing w:before="0" w:after="0" w:line="276" w:lineRule="auto"/>
              <w:jc w:val="center"/>
              <w:rPr>
                <w:rFonts w:eastAsia="Times New Roman"/>
                <w:b/>
                <w:lang w:eastAsia="en-GB"/>
              </w:rPr>
            </w:pPr>
            <w:r>
              <w:rPr>
                <w:rFonts w:eastAsia="Times New Roman"/>
                <w:b/>
                <w:lang w:eastAsia="en-GB"/>
              </w:rPr>
              <w:t>2020 -2024</w:t>
            </w:r>
          </w:p>
        </w:tc>
      </w:tr>
      <w:tr w:rsidR="00DC7E2A" w:rsidRPr="00DC7E2A" w14:paraId="30FE0D07" w14:textId="77777777" w:rsidTr="00DC7E2A">
        <w:trPr>
          <w:trHeight w:val="341"/>
        </w:trPr>
        <w:tc>
          <w:tcPr>
            <w:tcW w:w="3402" w:type="dxa"/>
            <w:tcBorders>
              <w:top w:val="single" w:sz="4" w:space="0" w:color="auto"/>
              <w:left w:val="single" w:sz="4" w:space="0" w:color="auto"/>
              <w:bottom w:val="single" w:sz="4" w:space="0" w:color="auto"/>
              <w:right w:val="single" w:sz="4" w:space="0" w:color="auto"/>
            </w:tcBorders>
            <w:hideMark/>
          </w:tcPr>
          <w:p w14:paraId="4C7E85FC" w14:textId="77777777" w:rsidR="00DC7E2A" w:rsidRPr="00DC7E2A" w:rsidRDefault="00DC7E2A" w:rsidP="00DC7E2A">
            <w:pPr>
              <w:widowControl w:val="0"/>
              <w:tabs>
                <w:tab w:val="left" w:pos="426"/>
              </w:tabs>
              <w:overflowPunct w:val="0"/>
              <w:autoSpaceDE w:val="0"/>
              <w:autoSpaceDN w:val="0"/>
              <w:adjustRightInd w:val="0"/>
              <w:spacing w:before="0"/>
              <w:jc w:val="left"/>
              <w:textAlignment w:val="baseline"/>
              <w:outlineLvl w:val="1"/>
              <w:rPr>
                <w:rFonts w:eastAsia="Times New Roman"/>
                <w:b/>
                <w:bCs/>
                <w:lang w:eastAsia="en-GB"/>
              </w:rPr>
            </w:pPr>
            <w:r w:rsidRPr="00DC7E2A">
              <w:rPr>
                <w:rFonts w:eastAsia="Times New Roman"/>
                <w:b/>
                <w:bCs/>
                <w:lang w:eastAsia="en-GB"/>
              </w:rPr>
              <w:t>Author:</w:t>
            </w:r>
          </w:p>
        </w:tc>
        <w:tc>
          <w:tcPr>
            <w:tcW w:w="5557" w:type="dxa"/>
            <w:tcBorders>
              <w:top w:val="single" w:sz="4" w:space="0" w:color="auto"/>
              <w:left w:val="single" w:sz="4" w:space="0" w:color="auto"/>
              <w:bottom w:val="single" w:sz="4" w:space="0" w:color="auto"/>
              <w:right w:val="single" w:sz="4" w:space="0" w:color="auto"/>
            </w:tcBorders>
            <w:hideMark/>
          </w:tcPr>
          <w:p w14:paraId="2CE6E579" w14:textId="52B302B9" w:rsidR="00DC7E2A" w:rsidRPr="00DC7E2A" w:rsidRDefault="00DC7E2A" w:rsidP="00DC7E2A">
            <w:pPr>
              <w:widowControl w:val="0"/>
              <w:tabs>
                <w:tab w:val="left" w:pos="426"/>
              </w:tabs>
              <w:overflowPunct w:val="0"/>
              <w:autoSpaceDE w:val="0"/>
              <w:autoSpaceDN w:val="0"/>
              <w:adjustRightInd w:val="0"/>
              <w:spacing w:before="0"/>
              <w:jc w:val="left"/>
              <w:textAlignment w:val="baseline"/>
              <w:outlineLvl w:val="1"/>
              <w:rPr>
                <w:rFonts w:eastAsia="Times New Roman"/>
                <w:bCs/>
                <w:lang w:eastAsia="en-GB"/>
              </w:rPr>
            </w:pPr>
            <w:r>
              <w:rPr>
                <w:rFonts w:eastAsia="Times New Roman"/>
                <w:bCs/>
                <w:lang w:eastAsia="en-GB"/>
              </w:rPr>
              <w:t>Peter Stonell</w:t>
            </w:r>
          </w:p>
        </w:tc>
      </w:tr>
      <w:tr w:rsidR="00DC7E2A" w:rsidRPr="00DC7E2A" w14:paraId="63E2A59C" w14:textId="77777777" w:rsidTr="00DC7E2A">
        <w:trPr>
          <w:trHeight w:val="341"/>
        </w:trPr>
        <w:tc>
          <w:tcPr>
            <w:tcW w:w="3402" w:type="dxa"/>
            <w:tcBorders>
              <w:top w:val="single" w:sz="4" w:space="0" w:color="auto"/>
              <w:left w:val="single" w:sz="4" w:space="0" w:color="auto"/>
              <w:bottom w:val="single" w:sz="4" w:space="0" w:color="auto"/>
              <w:right w:val="single" w:sz="4" w:space="0" w:color="auto"/>
            </w:tcBorders>
          </w:tcPr>
          <w:p w14:paraId="1D46969E" w14:textId="77777777" w:rsidR="00DC7E2A" w:rsidRPr="00DC7E2A" w:rsidRDefault="00DC7E2A" w:rsidP="00DC7E2A">
            <w:pPr>
              <w:widowControl w:val="0"/>
              <w:tabs>
                <w:tab w:val="left" w:pos="426"/>
              </w:tabs>
              <w:overflowPunct w:val="0"/>
              <w:autoSpaceDE w:val="0"/>
              <w:autoSpaceDN w:val="0"/>
              <w:adjustRightInd w:val="0"/>
              <w:spacing w:before="0"/>
              <w:jc w:val="left"/>
              <w:textAlignment w:val="baseline"/>
              <w:outlineLvl w:val="1"/>
              <w:rPr>
                <w:rFonts w:eastAsia="Times New Roman"/>
                <w:b/>
                <w:bCs/>
                <w:lang w:eastAsia="en-GB"/>
              </w:rPr>
            </w:pPr>
            <w:r w:rsidRPr="00DC7E2A">
              <w:rPr>
                <w:rFonts w:eastAsia="Times New Roman"/>
                <w:b/>
                <w:bCs/>
                <w:lang w:eastAsia="en-GB"/>
              </w:rPr>
              <w:t>Last approved by Trustees:</w:t>
            </w:r>
          </w:p>
        </w:tc>
        <w:tc>
          <w:tcPr>
            <w:tcW w:w="5557" w:type="dxa"/>
            <w:tcBorders>
              <w:top w:val="single" w:sz="4" w:space="0" w:color="auto"/>
              <w:left w:val="single" w:sz="4" w:space="0" w:color="auto"/>
              <w:bottom w:val="single" w:sz="4" w:space="0" w:color="auto"/>
              <w:right w:val="single" w:sz="4" w:space="0" w:color="auto"/>
            </w:tcBorders>
          </w:tcPr>
          <w:p w14:paraId="380CF368" w14:textId="5B8C6E90" w:rsidR="00DC7E2A" w:rsidRPr="00DC7E2A" w:rsidRDefault="00DC7E2A" w:rsidP="00DC7E2A">
            <w:pPr>
              <w:widowControl w:val="0"/>
              <w:tabs>
                <w:tab w:val="left" w:pos="426"/>
              </w:tabs>
              <w:overflowPunct w:val="0"/>
              <w:autoSpaceDE w:val="0"/>
              <w:autoSpaceDN w:val="0"/>
              <w:adjustRightInd w:val="0"/>
              <w:spacing w:before="0"/>
              <w:jc w:val="left"/>
              <w:textAlignment w:val="baseline"/>
              <w:outlineLvl w:val="1"/>
              <w:rPr>
                <w:rFonts w:eastAsia="Times New Roman"/>
                <w:bCs/>
                <w:lang w:eastAsia="en-GB"/>
              </w:rPr>
            </w:pPr>
            <w:r>
              <w:rPr>
                <w:rFonts w:eastAsia="Times New Roman"/>
                <w:bCs/>
                <w:lang w:eastAsia="en-GB"/>
              </w:rPr>
              <w:t>N/A – First Draft</w:t>
            </w:r>
          </w:p>
        </w:tc>
      </w:tr>
      <w:tr w:rsidR="00DC7E2A" w:rsidRPr="00DC7E2A" w14:paraId="74A8E6AD" w14:textId="77777777" w:rsidTr="00DC7E2A">
        <w:trPr>
          <w:trHeight w:val="341"/>
        </w:trPr>
        <w:tc>
          <w:tcPr>
            <w:tcW w:w="3402" w:type="dxa"/>
            <w:tcBorders>
              <w:top w:val="single" w:sz="4" w:space="0" w:color="auto"/>
              <w:left w:val="single" w:sz="4" w:space="0" w:color="auto"/>
              <w:bottom w:val="single" w:sz="4" w:space="0" w:color="auto"/>
              <w:right w:val="single" w:sz="4" w:space="0" w:color="auto"/>
            </w:tcBorders>
            <w:hideMark/>
          </w:tcPr>
          <w:p w14:paraId="08F840CB" w14:textId="77777777" w:rsidR="00DC7E2A" w:rsidRPr="00DC7E2A" w:rsidRDefault="00DC7E2A" w:rsidP="00DC7E2A">
            <w:pPr>
              <w:widowControl w:val="0"/>
              <w:tabs>
                <w:tab w:val="left" w:pos="426"/>
              </w:tabs>
              <w:overflowPunct w:val="0"/>
              <w:autoSpaceDE w:val="0"/>
              <w:autoSpaceDN w:val="0"/>
              <w:adjustRightInd w:val="0"/>
              <w:spacing w:before="0"/>
              <w:jc w:val="left"/>
              <w:textAlignment w:val="baseline"/>
              <w:outlineLvl w:val="1"/>
              <w:rPr>
                <w:rFonts w:eastAsia="Times New Roman"/>
                <w:b/>
                <w:bCs/>
                <w:lang w:eastAsia="en-GB"/>
              </w:rPr>
            </w:pPr>
            <w:r w:rsidRPr="00DC7E2A">
              <w:rPr>
                <w:rFonts w:eastAsia="Times New Roman"/>
                <w:b/>
                <w:bCs/>
                <w:lang w:eastAsia="en-GB"/>
              </w:rPr>
              <w:t>Approved by Trustees:</w:t>
            </w:r>
          </w:p>
        </w:tc>
        <w:tc>
          <w:tcPr>
            <w:tcW w:w="5557" w:type="dxa"/>
            <w:tcBorders>
              <w:top w:val="single" w:sz="4" w:space="0" w:color="auto"/>
              <w:left w:val="single" w:sz="4" w:space="0" w:color="auto"/>
              <w:bottom w:val="single" w:sz="4" w:space="0" w:color="auto"/>
              <w:right w:val="single" w:sz="4" w:space="0" w:color="auto"/>
            </w:tcBorders>
          </w:tcPr>
          <w:p w14:paraId="36DA6D89" w14:textId="463355D3" w:rsidR="00DC7E2A" w:rsidRPr="00DC7E2A" w:rsidRDefault="005C7D05" w:rsidP="00DC7E2A">
            <w:pPr>
              <w:widowControl w:val="0"/>
              <w:tabs>
                <w:tab w:val="left" w:pos="426"/>
              </w:tabs>
              <w:overflowPunct w:val="0"/>
              <w:autoSpaceDE w:val="0"/>
              <w:autoSpaceDN w:val="0"/>
              <w:adjustRightInd w:val="0"/>
              <w:spacing w:before="0"/>
              <w:jc w:val="left"/>
              <w:textAlignment w:val="baseline"/>
              <w:outlineLvl w:val="1"/>
              <w:rPr>
                <w:rFonts w:eastAsia="Times New Roman"/>
                <w:bCs/>
                <w:lang w:eastAsia="en-GB"/>
              </w:rPr>
            </w:pPr>
            <w:r>
              <w:rPr>
                <w:rFonts w:eastAsia="Times New Roman"/>
                <w:bCs/>
                <w:lang w:eastAsia="en-GB"/>
              </w:rPr>
              <w:t>15 October 2020</w:t>
            </w:r>
          </w:p>
        </w:tc>
      </w:tr>
      <w:tr w:rsidR="00DC7E2A" w:rsidRPr="00DC7E2A" w14:paraId="128CAAB7" w14:textId="77777777" w:rsidTr="00DC7E2A">
        <w:trPr>
          <w:trHeight w:val="341"/>
        </w:trPr>
        <w:tc>
          <w:tcPr>
            <w:tcW w:w="3402" w:type="dxa"/>
            <w:tcBorders>
              <w:top w:val="single" w:sz="4" w:space="0" w:color="auto"/>
              <w:left w:val="single" w:sz="4" w:space="0" w:color="auto"/>
              <w:bottom w:val="single" w:sz="4" w:space="0" w:color="auto"/>
              <w:right w:val="single" w:sz="4" w:space="0" w:color="auto"/>
            </w:tcBorders>
            <w:hideMark/>
          </w:tcPr>
          <w:p w14:paraId="0EA666BF" w14:textId="77777777" w:rsidR="00DC7E2A" w:rsidRPr="00DC7E2A" w:rsidRDefault="00DC7E2A" w:rsidP="00DC7E2A">
            <w:pPr>
              <w:widowControl w:val="0"/>
              <w:tabs>
                <w:tab w:val="left" w:pos="426"/>
              </w:tabs>
              <w:overflowPunct w:val="0"/>
              <w:autoSpaceDE w:val="0"/>
              <w:autoSpaceDN w:val="0"/>
              <w:adjustRightInd w:val="0"/>
              <w:spacing w:before="0"/>
              <w:jc w:val="left"/>
              <w:textAlignment w:val="baseline"/>
              <w:outlineLvl w:val="1"/>
              <w:rPr>
                <w:rFonts w:eastAsia="Times New Roman"/>
                <w:b/>
                <w:bCs/>
                <w:lang w:eastAsia="en-GB"/>
              </w:rPr>
            </w:pPr>
            <w:r w:rsidRPr="00DC7E2A">
              <w:rPr>
                <w:rFonts w:eastAsia="Times New Roman"/>
                <w:b/>
                <w:bCs/>
                <w:lang w:eastAsia="en-GB"/>
              </w:rPr>
              <w:t>Date next Review due:</w:t>
            </w:r>
          </w:p>
        </w:tc>
        <w:tc>
          <w:tcPr>
            <w:tcW w:w="5557" w:type="dxa"/>
            <w:tcBorders>
              <w:top w:val="single" w:sz="4" w:space="0" w:color="auto"/>
              <w:left w:val="single" w:sz="4" w:space="0" w:color="auto"/>
              <w:bottom w:val="single" w:sz="4" w:space="0" w:color="auto"/>
              <w:right w:val="single" w:sz="4" w:space="0" w:color="auto"/>
            </w:tcBorders>
          </w:tcPr>
          <w:p w14:paraId="20C07672" w14:textId="3320006C" w:rsidR="00DC7E2A" w:rsidRPr="00DC7E2A" w:rsidRDefault="005C7D05" w:rsidP="00DC7E2A">
            <w:pPr>
              <w:widowControl w:val="0"/>
              <w:tabs>
                <w:tab w:val="left" w:pos="426"/>
              </w:tabs>
              <w:overflowPunct w:val="0"/>
              <w:autoSpaceDE w:val="0"/>
              <w:autoSpaceDN w:val="0"/>
              <w:adjustRightInd w:val="0"/>
              <w:spacing w:before="0"/>
              <w:jc w:val="left"/>
              <w:textAlignment w:val="baseline"/>
              <w:outlineLvl w:val="1"/>
              <w:rPr>
                <w:rFonts w:eastAsia="Times New Roman"/>
                <w:bCs/>
                <w:lang w:eastAsia="en-GB"/>
              </w:rPr>
            </w:pPr>
            <w:r>
              <w:rPr>
                <w:rFonts w:eastAsia="Times New Roman"/>
                <w:bCs/>
                <w:lang w:eastAsia="en-GB"/>
              </w:rPr>
              <w:t xml:space="preserve">October </w:t>
            </w:r>
            <w:r w:rsidR="008F02A4">
              <w:rPr>
                <w:rFonts w:eastAsia="Times New Roman"/>
                <w:bCs/>
                <w:lang w:eastAsia="en-GB"/>
              </w:rPr>
              <w:t>2023</w:t>
            </w:r>
          </w:p>
        </w:tc>
      </w:tr>
    </w:tbl>
    <w:p w14:paraId="6FCDAB7D" w14:textId="4038D37F" w:rsidR="0014212C" w:rsidRPr="00422B17" w:rsidRDefault="0014212C" w:rsidP="00380B86"/>
    <w:p w14:paraId="5F1676FE" w14:textId="4F6B9C03" w:rsidR="0014212C" w:rsidRPr="00422B17" w:rsidRDefault="3C46F75A" w:rsidP="00380B86">
      <w:pPr>
        <w:pStyle w:val="ListParagraph"/>
        <w:numPr>
          <w:ilvl w:val="0"/>
          <w:numId w:val="3"/>
        </w:numPr>
        <w:ind w:left="0"/>
        <w:contextualSpacing w:val="0"/>
        <w:rPr>
          <w:b/>
          <w:bCs/>
        </w:rPr>
      </w:pPr>
      <w:r w:rsidRPr="00422B17">
        <w:rPr>
          <w:b/>
          <w:bCs/>
        </w:rPr>
        <w:t xml:space="preserve">Introduction and means of </w:t>
      </w:r>
      <w:proofErr w:type="gramStart"/>
      <w:r w:rsidRPr="00422B17">
        <w:rPr>
          <w:b/>
          <w:bCs/>
        </w:rPr>
        <w:t>review</w:t>
      </w:r>
      <w:proofErr w:type="gramEnd"/>
    </w:p>
    <w:p w14:paraId="53F09DF6" w14:textId="0C8176BD" w:rsidR="0014212C" w:rsidRPr="00422B17" w:rsidRDefault="3C46F75A" w:rsidP="00422B17">
      <w:pPr>
        <w:pStyle w:val="ListParagraph"/>
        <w:numPr>
          <w:ilvl w:val="1"/>
          <w:numId w:val="3"/>
        </w:numPr>
        <w:ind w:left="714" w:hanging="357"/>
        <w:contextualSpacing w:val="0"/>
      </w:pPr>
      <w:r w:rsidRPr="00422B17">
        <w:t xml:space="preserve">This </w:t>
      </w:r>
      <w:r w:rsidR="00DC7E2A">
        <w:t>document</w:t>
      </w:r>
      <w:r w:rsidRPr="00422B17">
        <w:t xml:space="preserve"> seeks to </w:t>
      </w:r>
      <w:r w:rsidR="0039138D" w:rsidRPr="00422B17">
        <w:t>outline</w:t>
      </w:r>
      <w:r w:rsidRPr="00422B17">
        <w:t xml:space="preserve"> the financial </w:t>
      </w:r>
      <w:r w:rsidR="0039138D" w:rsidRPr="00422B17">
        <w:t>strateg</w:t>
      </w:r>
      <w:r w:rsidR="00DC7E2A">
        <w:t>y for Carers Northumberland (CN)</w:t>
      </w:r>
      <w:r w:rsidR="00380B86" w:rsidRPr="00422B17">
        <w:t xml:space="preserve"> </w:t>
      </w:r>
      <w:r w:rsidR="00DC7E2A">
        <w:t xml:space="preserve">for the period 2020 -2024 </w:t>
      </w:r>
      <w:r w:rsidRPr="00422B17">
        <w:t xml:space="preserve">agreed by the </w:t>
      </w:r>
      <w:r w:rsidR="00DC7E2A">
        <w:t>Trustee Board</w:t>
      </w:r>
      <w:r w:rsidRPr="00422B17">
        <w:t>.</w:t>
      </w:r>
    </w:p>
    <w:p w14:paraId="3192CFEB" w14:textId="358DC73C" w:rsidR="3C46F75A" w:rsidRPr="00422B17" w:rsidRDefault="3C46F75A" w:rsidP="00422B17">
      <w:pPr>
        <w:pStyle w:val="ListParagraph"/>
        <w:numPr>
          <w:ilvl w:val="1"/>
          <w:numId w:val="3"/>
        </w:numPr>
        <w:ind w:left="714" w:hanging="357"/>
        <w:contextualSpacing w:val="0"/>
      </w:pPr>
      <w:r w:rsidRPr="00422B17">
        <w:t xml:space="preserve">The </w:t>
      </w:r>
      <w:r w:rsidR="008E367D" w:rsidRPr="00422B17">
        <w:t>strate</w:t>
      </w:r>
      <w:r w:rsidR="00DC7E2A">
        <w:t>gy</w:t>
      </w:r>
      <w:r w:rsidRPr="00422B17">
        <w:t xml:space="preserve"> will be kept under </w:t>
      </w:r>
      <w:r w:rsidR="00DC7E2A">
        <w:t xml:space="preserve">regular </w:t>
      </w:r>
      <w:r w:rsidRPr="00422B17">
        <w:t xml:space="preserve">review </w:t>
      </w:r>
      <w:r w:rsidR="00DC7E2A">
        <w:t>by the</w:t>
      </w:r>
      <w:r w:rsidRPr="00422B17">
        <w:t xml:space="preserve"> Financial Strategy Group (FSG).</w:t>
      </w:r>
    </w:p>
    <w:p w14:paraId="34AC5A47" w14:textId="5BE85B0F" w:rsidR="3C46F75A" w:rsidRPr="00422B17" w:rsidRDefault="3C46F75A" w:rsidP="00422B17">
      <w:pPr>
        <w:pStyle w:val="ListParagraph"/>
        <w:numPr>
          <w:ilvl w:val="1"/>
          <w:numId w:val="3"/>
        </w:numPr>
        <w:ind w:left="714" w:hanging="357"/>
        <w:contextualSpacing w:val="0"/>
      </w:pPr>
      <w:r w:rsidRPr="00422B17">
        <w:t xml:space="preserve">The FSG will meet regularly in accordance with its Terms of Reference. </w:t>
      </w:r>
      <w:r w:rsidR="008E367D" w:rsidRPr="00422B17">
        <w:t xml:space="preserve"> </w:t>
      </w:r>
      <w:r w:rsidRPr="00422B17">
        <w:t>Its primary function is to oversee C</w:t>
      </w:r>
      <w:r w:rsidR="00DC7E2A">
        <w:t>N’s</w:t>
      </w:r>
      <w:r w:rsidRPr="00422B17">
        <w:t xml:space="preserve"> finances</w:t>
      </w:r>
      <w:r w:rsidR="00DC7E2A">
        <w:t>.  The FSG has the remit to advise and make recommendations to</w:t>
      </w:r>
      <w:r w:rsidRPr="00422B17">
        <w:t xml:space="preserve"> the Trustee Board on financial matters.</w:t>
      </w:r>
    </w:p>
    <w:p w14:paraId="101E6E35" w14:textId="340E0553" w:rsidR="3C46F75A" w:rsidRPr="00422B17" w:rsidRDefault="3C46F75A" w:rsidP="00422B17">
      <w:pPr>
        <w:pStyle w:val="ListParagraph"/>
        <w:numPr>
          <w:ilvl w:val="1"/>
          <w:numId w:val="3"/>
        </w:numPr>
        <w:ind w:left="714" w:hanging="357"/>
        <w:contextualSpacing w:val="0"/>
      </w:pPr>
      <w:r w:rsidRPr="00422B17">
        <w:t xml:space="preserve">The </w:t>
      </w:r>
      <w:r w:rsidR="00DC7E2A">
        <w:t xml:space="preserve">Trustee </w:t>
      </w:r>
      <w:r w:rsidRPr="00422B17">
        <w:t xml:space="preserve">Board is responsible for </w:t>
      </w:r>
      <w:r w:rsidR="00DC7E2A">
        <w:t xml:space="preserve">financial </w:t>
      </w:r>
      <w:r w:rsidRPr="00422B17">
        <w:t>decision making.</w:t>
      </w:r>
    </w:p>
    <w:p w14:paraId="1D704A38" w14:textId="28C8A9FD" w:rsidR="3C46F75A" w:rsidRPr="00422B17" w:rsidRDefault="3C46F75A" w:rsidP="00380B86">
      <w:pPr>
        <w:pStyle w:val="ListParagraph"/>
        <w:numPr>
          <w:ilvl w:val="0"/>
          <w:numId w:val="3"/>
        </w:numPr>
        <w:ind w:left="0"/>
        <w:contextualSpacing w:val="0"/>
        <w:rPr>
          <w:b/>
          <w:bCs/>
        </w:rPr>
      </w:pPr>
      <w:r w:rsidRPr="00422B17">
        <w:rPr>
          <w:b/>
          <w:bCs/>
        </w:rPr>
        <w:t xml:space="preserve">Funding </w:t>
      </w:r>
      <w:r w:rsidR="00DC7E2A">
        <w:rPr>
          <w:b/>
          <w:bCs/>
        </w:rPr>
        <w:t>S</w:t>
      </w:r>
      <w:r w:rsidRPr="00422B17">
        <w:rPr>
          <w:b/>
          <w:bCs/>
        </w:rPr>
        <w:t>trategy</w:t>
      </w:r>
    </w:p>
    <w:p w14:paraId="3DF933E2" w14:textId="64C7638E" w:rsidR="0014212C" w:rsidRPr="00422B17" w:rsidRDefault="3C46F75A" w:rsidP="00380B86">
      <w:r w:rsidRPr="00422B17">
        <w:t xml:space="preserve">The </w:t>
      </w:r>
      <w:r w:rsidR="00DC7E2A">
        <w:t>Trustee Board’s</w:t>
      </w:r>
      <w:r w:rsidR="00380B86" w:rsidRPr="00422B17">
        <w:t xml:space="preserve"> funding</w:t>
      </w:r>
      <w:r w:rsidRPr="00422B17">
        <w:t xml:space="preserve"> strategy is to establish </w:t>
      </w:r>
      <w:r w:rsidR="00DC7E2A">
        <w:t>an annual</w:t>
      </w:r>
      <w:r w:rsidRPr="00422B17">
        <w:t xml:space="preserve"> budget which ensures</w:t>
      </w:r>
      <w:r w:rsidR="00DC7E2A">
        <w:t>:</w:t>
      </w:r>
    </w:p>
    <w:p w14:paraId="310FD846" w14:textId="4708A914" w:rsidR="0014212C" w:rsidRPr="00422B17" w:rsidRDefault="0014212C" w:rsidP="00422B17">
      <w:pPr>
        <w:pStyle w:val="ListParagraph"/>
        <w:numPr>
          <w:ilvl w:val="2"/>
          <w:numId w:val="11"/>
        </w:numPr>
        <w:ind w:left="714" w:hanging="357"/>
        <w:contextualSpacing w:val="0"/>
      </w:pPr>
      <w:r w:rsidRPr="00422B17">
        <w:t xml:space="preserve">that </w:t>
      </w:r>
      <w:r w:rsidR="00603984" w:rsidRPr="00422B17">
        <w:t xml:space="preserve">budgeted </w:t>
      </w:r>
      <w:r w:rsidRPr="00422B17">
        <w:t xml:space="preserve">expenditure on core activities is limited to the amount of anticipated core </w:t>
      </w:r>
      <w:proofErr w:type="gramStart"/>
      <w:r w:rsidRPr="00422B17">
        <w:t>funding</w:t>
      </w:r>
      <w:proofErr w:type="gramEnd"/>
    </w:p>
    <w:p w14:paraId="0BBA9B34" w14:textId="5DC63987" w:rsidR="0014212C" w:rsidRPr="00422B17" w:rsidRDefault="0014212C" w:rsidP="00422B17">
      <w:pPr>
        <w:pStyle w:val="ListParagraph"/>
        <w:numPr>
          <w:ilvl w:val="2"/>
          <w:numId w:val="11"/>
        </w:numPr>
        <w:ind w:left="714" w:hanging="357"/>
        <w:contextualSpacing w:val="0"/>
      </w:pPr>
      <w:r w:rsidRPr="00422B17">
        <w:t>all</w:t>
      </w:r>
      <w:r w:rsidR="00603984" w:rsidRPr="00422B17">
        <w:t xml:space="preserve"> p</w:t>
      </w:r>
      <w:r w:rsidRPr="00422B17">
        <w:t>rojects undertake</w:t>
      </w:r>
      <w:r w:rsidR="00603984" w:rsidRPr="00422B17">
        <w:t xml:space="preserve">n are </w:t>
      </w:r>
      <w:r w:rsidRPr="00422B17">
        <w:t xml:space="preserve">subject to “full cost </w:t>
      </w:r>
      <w:r w:rsidR="00603984" w:rsidRPr="00422B17">
        <w:t>recovery</w:t>
      </w:r>
      <w:r w:rsidRPr="00422B17">
        <w:t xml:space="preserve">”, including a contribution to the core costs of delivering the </w:t>
      </w:r>
      <w:r w:rsidR="00603984" w:rsidRPr="00422B17">
        <w:t>project.</w:t>
      </w:r>
    </w:p>
    <w:p w14:paraId="145EA08B" w14:textId="6E2E6546" w:rsidR="3C46F75A" w:rsidRPr="00422B17" w:rsidRDefault="3C46F75A" w:rsidP="00380B86">
      <w:pPr>
        <w:pStyle w:val="ListParagraph"/>
        <w:numPr>
          <w:ilvl w:val="0"/>
          <w:numId w:val="3"/>
        </w:numPr>
        <w:ind w:left="0"/>
        <w:contextualSpacing w:val="0"/>
        <w:rPr>
          <w:b/>
          <w:bCs/>
        </w:rPr>
      </w:pPr>
      <w:r w:rsidRPr="00422B17">
        <w:rPr>
          <w:b/>
          <w:bCs/>
        </w:rPr>
        <w:t>Funding Streams and Income generation</w:t>
      </w:r>
    </w:p>
    <w:p w14:paraId="1DF3928E" w14:textId="1F07AEA8" w:rsidR="3C46F75A" w:rsidRPr="00422B17" w:rsidRDefault="3C46F75A" w:rsidP="00380B86">
      <w:r w:rsidRPr="00422B17">
        <w:t xml:space="preserve">Core funds in the form of grants will be agreed annually between Carers Northumberland and </w:t>
      </w:r>
    </w:p>
    <w:p w14:paraId="608131AF" w14:textId="2D62C8B0" w:rsidR="3C46F75A" w:rsidRPr="00422B17" w:rsidRDefault="3C46F75A" w:rsidP="00422B17">
      <w:pPr>
        <w:pStyle w:val="ListParagraph"/>
        <w:numPr>
          <w:ilvl w:val="0"/>
          <w:numId w:val="1"/>
        </w:numPr>
        <w:ind w:left="1077" w:hanging="357"/>
        <w:contextualSpacing w:val="0"/>
        <w:rPr>
          <w:rFonts w:eastAsia="Calibri"/>
          <w:b/>
          <w:bCs/>
        </w:rPr>
      </w:pPr>
      <w:r w:rsidRPr="00422B17">
        <w:t>The Local Authority</w:t>
      </w:r>
    </w:p>
    <w:p w14:paraId="3AC3220D" w14:textId="6F13386D" w:rsidR="3C46F75A" w:rsidRPr="00422B17" w:rsidRDefault="3C46F75A" w:rsidP="00422B17">
      <w:pPr>
        <w:pStyle w:val="ListParagraph"/>
        <w:numPr>
          <w:ilvl w:val="0"/>
          <w:numId w:val="1"/>
        </w:numPr>
        <w:ind w:left="1077" w:hanging="357"/>
        <w:contextualSpacing w:val="0"/>
        <w:rPr>
          <w:b/>
          <w:bCs/>
        </w:rPr>
      </w:pPr>
      <w:r w:rsidRPr="00422B17">
        <w:t>The Clinical Commissioning Group</w:t>
      </w:r>
    </w:p>
    <w:p w14:paraId="0E72B5C4" w14:textId="4F947826" w:rsidR="3C46F75A" w:rsidRPr="00422B17" w:rsidRDefault="3C46F75A" w:rsidP="00380B86">
      <w:r w:rsidRPr="00422B17">
        <w:t xml:space="preserve">Opportunities for project funding (as grants) </w:t>
      </w:r>
      <w:r w:rsidR="00275998">
        <w:t>for</w:t>
      </w:r>
      <w:r w:rsidRPr="00422B17">
        <w:t xml:space="preserve"> additional carer support services will be pursued as they arise</w:t>
      </w:r>
      <w:r w:rsidR="00275998">
        <w:t>, where the Trustee Board agrees they meet the aims and objectives of the charity.</w:t>
      </w:r>
    </w:p>
    <w:p w14:paraId="13E82A97" w14:textId="19DCBF45" w:rsidR="3C46F75A" w:rsidRPr="00422B17" w:rsidRDefault="3C46F75A" w:rsidP="00380B86">
      <w:r w:rsidRPr="00422B17">
        <w:t>Opportunities for diverse income generation will be considered where they offer a realistic and sustainable funding stream without affecting core work.</w:t>
      </w:r>
    </w:p>
    <w:p w14:paraId="799F9C92" w14:textId="77777777" w:rsidR="00380B86" w:rsidRPr="00422B17" w:rsidRDefault="3C46F75A" w:rsidP="00380B86">
      <w:pPr>
        <w:pStyle w:val="ListParagraph"/>
        <w:numPr>
          <w:ilvl w:val="0"/>
          <w:numId w:val="3"/>
        </w:numPr>
        <w:ind w:left="0"/>
        <w:contextualSpacing w:val="0"/>
      </w:pPr>
      <w:r w:rsidRPr="00422B17">
        <w:rPr>
          <w:b/>
          <w:bCs/>
        </w:rPr>
        <w:t>Reserves Policy</w:t>
      </w:r>
    </w:p>
    <w:p w14:paraId="2EE91EA2" w14:textId="0A9BA550" w:rsidR="00380B86" w:rsidRPr="00422B17" w:rsidRDefault="3C46F75A" w:rsidP="00380B86">
      <w:pPr>
        <w:pStyle w:val="ListParagraph"/>
        <w:ind w:left="0"/>
        <w:contextualSpacing w:val="0"/>
      </w:pPr>
      <w:r w:rsidRPr="00422B17">
        <w:t xml:space="preserve">Carers Northumberland has a </w:t>
      </w:r>
      <w:r w:rsidR="00275998">
        <w:t>R</w:t>
      </w:r>
      <w:r w:rsidRPr="00422B17">
        <w:t xml:space="preserve">eserves </w:t>
      </w:r>
      <w:r w:rsidR="00275998">
        <w:t>P</w:t>
      </w:r>
      <w:r w:rsidRPr="00422B17">
        <w:t xml:space="preserve">olicy which is reviewed and agreed annually by the </w:t>
      </w:r>
      <w:r w:rsidR="00BF08C9">
        <w:t xml:space="preserve">Trustee </w:t>
      </w:r>
      <w:r w:rsidRPr="00422B17">
        <w:t>Board ahead of setting the budget for the next operational year.</w:t>
      </w:r>
    </w:p>
    <w:p w14:paraId="3D9877F0" w14:textId="77777777" w:rsidR="00380B86" w:rsidRPr="00422B17" w:rsidRDefault="3C46F75A" w:rsidP="00380B86">
      <w:pPr>
        <w:pStyle w:val="ListParagraph"/>
        <w:numPr>
          <w:ilvl w:val="0"/>
          <w:numId w:val="3"/>
        </w:numPr>
        <w:ind w:left="0"/>
        <w:contextualSpacing w:val="0"/>
        <w:rPr>
          <w:rFonts w:eastAsia="Calibri"/>
        </w:rPr>
      </w:pPr>
      <w:r w:rsidRPr="00422B17">
        <w:rPr>
          <w:b/>
          <w:bCs/>
        </w:rPr>
        <w:t>Investment Policy</w:t>
      </w:r>
    </w:p>
    <w:p w14:paraId="5D3EF887" w14:textId="2E0B273E" w:rsidR="00380B86" w:rsidRPr="00422B17" w:rsidRDefault="3C46F75A" w:rsidP="00380B86">
      <w:pPr>
        <w:pStyle w:val="ListParagraph"/>
        <w:ind w:left="0"/>
        <w:contextualSpacing w:val="0"/>
        <w:rPr>
          <w:rFonts w:eastAsia="Calibri"/>
        </w:rPr>
      </w:pPr>
      <w:r w:rsidRPr="00422B17">
        <w:lastRenderedPageBreak/>
        <w:t xml:space="preserve">The investment policy is documented within the </w:t>
      </w:r>
      <w:r w:rsidR="00BF08C9">
        <w:t>R</w:t>
      </w:r>
      <w:r w:rsidRPr="00422B17">
        <w:t xml:space="preserve">eserves </w:t>
      </w:r>
      <w:r w:rsidR="00BF08C9">
        <w:t>P</w:t>
      </w:r>
      <w:r w:rsidRPr="00422B17">
        <w:t xml:space="preserve">olicy and is reviewed at least annually by the Board. </w:t>
      </w:r>
      <w:r w:rsidR="00380B86" w:rsidRPr="00422B17">
        <w:t xml:space="preserve"> </w:t>
      </w:r>
      <w:r w:rsidRPr="00422B17">
        <w:t>The FSG will monitor the ongoing suitability of investment products and advise the Board of any recommended changes.</w:t>
      </w:r>
    </w:p>
    <w:p w14:paraId="637C5B73" w14:textId="66962F74" w:rsidR="00380B86" w:rsidRPr="00422B17" w:rsidRDefault="3C46F75A" w:rsidP="00422B17">
      <w:r w:rsidRPr="00422B17">
        <w:rPr>
          <w:b/>
          <w:bCs/>
        </w:rPr>
        <w:t>Financial Risk</w:t>
      </w:r>
      <w:r w:rsidR="005E5777" w:rsidRPr="00422B17">
        <w:rPr>
          <w:b/>
          <w:bCs/>
        </w:rPr>
        <w:t>s</w:t>
      </w:r>
    </w:p>
    <w:p w14:paraId="57229BA4" w14:textId="172F7599" w:rsidR="3C46F75A" w:rsidRPr="00422B17" w:rsidRDefault="3C46F75A" w:rsidP="00380B86">
      <w:pPr>
        <w:pStyle w:val="ListParagraph"/>
        <w:ind w:left="0"/>
        <w:contextualSpacing w:val="0"/>
      </w:pPr>
      <w:r w:rsidRPr="00422B17">
        <w:t>Financial risks will be captured and monitored via the</w:t>
      </w:r>
      <w:r w:rsidR="00BF08C9">
        <w:t xml:space="preserve"> Organisational</w:t>
      </w:r>
      <w:r w:rsidRPr="00422B17">
        <w:t xml:space="preserve"> Risk Register, which is </w:t>
      </w:r>
      <w:r w:rsidR="00BF08C9">
        <w:t>considered</w:t>
      </w:r>
      <w:r w:rsidRPr="00422B17">
        <w:t xml:space="preserve"> at </w:t>
      </w:r>
      <w:r w:rsidR="00380B86" w:rsidRPr="00422B17">
        <w:t xml:space="preserve">every </w:t>
      </w:r>
      <w:r w:rsidR="00BF08C9">
        <w:t>Trustee B</w:t>
      </w:r>
      <w:r w:rsidR="00380B86" w:rsidRPr="00422B17">
        <w:t>oard</w:t>
      </w:r>
      <w:r w:rsidRPr="00422B17">
        <w:t xml:space="preserve"> meeting. </w:t>
      </w:r>
      <w:r w:rsidR="00380B86" w:rsidRPr="00422B17">
        <w:t xml:space="preserve"> </w:t>
      </w:r>
      <w:r w:rsidRPr="00422B17">
        <w:t>The FSG will consider financial risk when making recommendations to the board.</w:t>
      </w:r>
    </w:p>
    <w:p w14:paraId="20808592" w14:textId="4DEB78AF" w:rsidR="008E367D" w:rsidRDefault="005E5777" w:rsidP="00380B86">
      <w:r w:rsidRPr="00422B17">
        <w:t>The aim of risk assessment is to identify potential risks and their potential impact and consequences to Carers Northumberland.   Following which, action will be taken to remove or ameliorate the risk</w:t>
      </w:r>
      <w:r w:rsidR="00BF08C9">
        <w:t>.</w:t>
      </w:r>
    </w:p>
    <w:p w14:paraId="5D81AF02" w14:textId="77777777" w:rsidR="00BF08C9" w:rsidRPr="00422B17" w:rsidRDefault="00BF08C9" w:rsidP="00380B86"/>
    <w:sectPr w:rsidR="00BF08C9" w:rsidRPr="00422B17" w:rsidSect="000922DF">
      <w:footerReference w:type="even"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9E2F0" w14:textId="77777777" w:rsidR="00CA7D09" w:rsidRDefault="00CA7D09" w:rsidP="00A10F0B">
      <w:pPr>
        <w:spacing w:before="0" w:after="0"/>
      </w:pPr>
      <w:r>
        <w:separator/>
      </w:r>
    </w:p>
  </w:endnote>
  <w:endnote w:type="continuationSeparator" w:id="0">
    <w:p w14:paraId="0C7F7E83" w14:textId="77777777" w:rsidR="00CA7D09" w:rsidRDefault="00CA7D09" w:rsidP="00A10F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0572589"/>
      <w:docPartObj>
        <w:docPartGallery w:val="Page Numbers (Bottom of Page)"/>
        <w:docPartUnique/>
      </w:docPartObj>
    </w:sdtPr>
    <w:sdtEndPr>
      <w:rPr>
        <w:rStyle w:val="PageNumber"/>
      </w:rPr>
    </w:sdtEndPr>
    <w:sdtContent>
      <w:p w14:paraId="12297309" w14:textId="2CDA6AF1" w:rsidR="00422B17" w:rsidRDefault="00422B17" w:rsidP="00E97A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75256B" w14:textId="77777777" w:rsidR="00422B17" w:rsidRDefault="00422B17" w:rsidP="00422B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9AC62" w14:textId="77777777" w:rsidR="00CA7D09" w:rsidRDefault="00CA7D09" w:rsidP="00A10F0B">
      <w:pPr>
        <w:spacing w:before="0" w:after="0"/>
      </w:pPr>
      <w:r>
        <w:separator/>
      </w:r>
    </w:p>
  </w:footnote>
  <w:footnote w:type="continuationSeparator" w:id="0">
    <w:p w14:paraId="7A320F22" w14:textId="77777777" w:rsidR="00CA7D09" w:rsidRDefault="00CA7D09" w:rsidP="00A10F0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F6CEE"/>
    <w:multiLevelType w:val="hybridMultilevel"/>
    <w:tmpl w:val="B518DB42"/>
    <w:lvl w:ilvl="0" w:tplc="FE8A96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F6767"/>
    <w:multiLevelType w:val="hybridMultilevel"/>
    <w:tmpl w:val="6336A99E"/>
    <w:lvl w:ilvl="0" w:tplc="96C21CB8">
      <w:start w:val="1"/>
      <w:numFmt w:val="bullet"/>
      <w:lvlText w:val=""/>
      <w:lvlJc w:val="left"/>
      <w:pPr>
        <w:ind w:left="2160" w:hanging="360"/>
      </w:pPr>
      <w:rPr>
        <w:rFonts w:ascii="Wingdings" w:hAnsi="Wingdings" w:hint="default"/>
      </w:rPr>
    </w:lvl>
    <w:lvl w:ilvl="1" w:tplc="1BB071D8">
      <w:start w:val="1"/>
      <w:numFmt w:val="bullet"/>
      <w:lvlText w:val=""/>
      <w:lvlJc w:val="left"/>
      <w:pPr>
        <w:ind w:left="2880" w:hanging="360"/>
      </w:pPr>
      <w:rPr>
        <w:rFonts w:ascii="Wingdings" w:hAnsi="Wingdings" w:hint="default"/>
      </w:rPr>
    </w:lvl>
    <w:lvl w:ilvl="2" w:tplc="ED70647C">
      <w:start w:val="1"/>
      <w:numFmt w:val="bullet"/>
      <w:lvlText w:val=""/>
      <w:lvlJc w:val="left"/>
      <w:pPr>
        <w:ind w:left="3600" w:hanging="360"/>
      </w:pPr>
      <w:rPr>
        <w:rFonts w:ascii="Wingdings" w:hAnsi="Wingdings" w:hint="default"/>
      </w:rPr>
    </w:lvl>
    <w:lvl w:ilvl="3" w:tplc="88662C28">
      <w:start w:val="1"/>
      <w:numFmt w:val="bullet"/>
      <w:lvlText w:val=""/>
      <w:lvlJc w:val="left"/>
      <w:pPr>
        <w:ind w:left="4320" w:hanging="360"/>
      </w:pPr>
      <w:rPr>
        <w:rFonts w:ascii="Symbol" w:hAnsi="Symbol" w:hint="default"/>
      </w:rPr>
    </w:lvl>
    <w:lvl w:ilvl="4" w:tplc="667655A4">
      <w:start w:val="1"/>
      <w:numFmt w:val="bullet"/>
      <w:lvlText w:val="♦"/>
      <w:lvlJc w:val="left"/>
      <w:pPr>
        <w:ind w:left="5040" w:hanging="360"/>
      </w:pPr>
      <w:rPr>
        <w:rFonts w:ascii="Courier New" w:hAnsi="Courier New" w:hint="default"/>
      </w:rPr>
    </w:lvl>
    <w:lvl w:ilvl="5" w:tplc="0D4A3B96">
      <w:start w:val="1"/>
      <w:numFmt w:val="bullet"/>
      <w:lvlText w:val=""/>
      <w:lvlJc w:val="left"/>
      <w:pPr>
        <w:ind w:left="5760" w:hanging="360"/>
      </w:pPr>
      <w:rPr>
        <w:rFonts w:ascii="Wingdings" w:hAnsi="Wingdings" w:hint="default"/>
      </w:rPr>
    </w:lvl>
    <w:lvl w:ilvl="6" w:tplc="51022EEA">
      <w:start w:val="1"/>
      <w:numFmt w:val="bullet"/>
      <w:lvlText w:val=""/>
      <w:lvlJc w:val="left"/>
      <w:pPr>
        <w:ind w:left="6480" w:hanging="360"/>
      </w:pPr>
      <w:rPr>
        <w:rFonts w:ascii="Wingdings" w:hAnsi="Wingdings" w:hint="default"/>
      </w:rPr>
    </w:lvl>
    <w:lvl w:ilvl="7" w:tplc="386E561A">
      <w:start w:val="1"/>
      <w:numFmt w:val="bullet"/>
      <w:lvlText w:val=""/>
      <w:lvlJc w:val="left"/>
      <w:pPr>
        <w:ind w:left="7200" w:hanging="360"/>
      </w:pPr>
      <w:rPr>
        <w:rFonts w:ascii="Symbol" w:hAnsi="Symbol" w:hint="default"/>
      </w:rPr>
    </w:lvl>
    <w:lvl w:ilvl="8" w:tplc="8CEE1A1E">
      <w:start w:val="1"/>
      <w:numFmt w:val="bullet"/>
      <w:lvlText w:val="♦"/>
      <w:lvlJc w:val="left"/>
      <w:pPr>
        <w:ind w:left="7920" w:hanging="360"/>
      </w:pPr>
      <w:rPr>
        <w:rFonts w:ascii="Courier New" w:hAnsi="Courier New" w:hint="default"/>
      </w:rPr>
    </w:lvl>
  </w:abstractNum>
  <w:abstractNum w:abstractNumId="2" w15:restartNumberingAfterBreak="0">
    <w:nsid w:val="234B28D2"/>
    <w:multiLevelType w:val="multilevel"/>
    <w:tmpl w:val="7F74171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595403"/>
    <w:multiLevelType w:val="hybridMultilevel"/>
    <w:tmpl w:val="C5087C3A"/>
    <w:lvl w:ilvl="0" w:tplc="38A8E5E0">
      <w:start w:val="1"/>
      <w:numFmt w:val="decimal"/>
      <w:lvlText w:val="%1)"/>
      <w:lvlJc w:val="left"/>
      <w:pPr>
        <w:ind w:left="360" w:hanging="360"/>
      </w:pPr>
    </w:lvl>
    <w:lvl w:ilvl="1" w:tplc="4406E9D0">
      <w:start w:val="1"/>
      <w:numFmt w:val="lowerLetter"/>
      <w:lvlText w:val="%2)"/>
      <w:lvlJc w:val="left"/>
      <w:pPr>
        <w:ind w:left="720" w:hanging="360"/>
      </w:pPr>
    </w:lvl>
    <w:lvl w:ilvl="2" w:tplc="5FF6E71E">
      <w:start w:val="1"/>
      <w:numFmt w:val="lowerRoman"/>
      <w:lvlText w:val="%3)"/>
      <w:lvlJc w:val="left"/>
      <w:pPr>
        <w:ind w:left="1080" w:hanging="360"/>
      </w:pPr>
    </w:lvl>
    <w:lvl w:ilvl="3" w:tplc="038EB52E">
      <w:start w:val="1"/>
      <w:numFmt w:val="bullet"/>
      <w:lvlText w:val=""/>
      <w:lvlJc w:val="left"/>
      <w:pPr>
        <w:ind w:left="1440" w:hanging="360"/>
      </w:pPr>
      <w:rPr>
        <w:rFonts w:ascii="Symbol" w:hAnsi="Symbol" w:hint="default"/>
      </w:rPr>
    </w:lvl>
    <w:lvl w:ilvl="4" w:tplc="5A5299A4">
      <w:start w:val="1"/>
      <w:numFmt w:val="lowerLetter"/>
      <w:lvlText w:val="(%5)"/>
      <w:lvlJc w:val="left"/>
      <w:pPr>
        <w:ind w:left="1800" w:hanging="360"/>
      </w:pPr>
    </w:lvl>
    <w:lvl w:ilvl="5" w:tplc="A7AE4AD6">
      <w:start w:val="1"/>
      <w:numFmt w:val="lowerRoman"/>
      <w:lvlText w:val="(%6)"/>
      <w:lvlJc w:val="left"/>
      <w:pPr>
        <w:ind w:left="2160" w:hanging="360"/>
      </w:pPr>
    </w:lvl>
    <w:lvl w:ilvl="6" w:tplc="4D9CB8D2">
      <w:start w:val="1"/>
      <w:numFmt w:val="decimal"/>
      <w:lvlText w:val="%7."/>
      <w:lvlJc w:val="left"/>
      <w:pPr>
        <w:ind w:left="2520" w:hanging="360"/>
      </w:pPr>
    </w:lvl>
    <w:lvl w:ilvl="7" w:tplc="ECA2C3AE">
      <w:start w:val="1"/>
      <w:numFmt w:val="lowerLetter"/>
      <w:lvlText w:val="%8."/>
      <w:lvlJc w:val="left"/>
      <w:pPr>
        <w:ind w:left="2880" w:hanging="360"/>
      </w:pPr>
    </w:lvl>
    <w:lvl w:ilvl="8" w:tplc="8B0CE824">
      <w:start w:val="1"/>
      <w:numFmt w:val="lowerRoman"/>
      <w:lvlText w:val="%9."/>
      <w:lvlJc w:val="left"/>
      <w:pPr>
        <w:ind w:left="3240" w:hanging="360"/>
      </w:pPr>
    </w:lvl>
  </w:abstractNum>
  <w:abstractNum w:abstractNumId="4" w15:restartNumberingAfterBreak="0">
    <w:nsid w:val="2E0950A9"/>
    <w:multiLevelType w:val="multilevel"/>
    <w:tmpl w:val="9474AEC4"/>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F0F6672"/>
    <w:multiLevelType w:val="multilevel"/>
    <w:tmpl w:val="806AD51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C61186"/>
    <w:multiLevelType w:val="multilevel"/>
    <w:tmpl w:val="EF32E9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63F584F"/>
    <w:multiLevelType w:val="multilevel"/>
    <w:tmpl w:val="401271C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9044DC8"/>
    <w:multiLevelType w:val="multilevel"/>
    <w:tmpl w:val="5B80D7F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CF061AD"/>
    <w:multiLevelType w:val="multilevel"/>
    <w:tmpl w:val="C5087C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A31167"/>
    <w:multiLevelType w:val="multilevel"/>
    <w:tmpl w:val="806AD51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4"/>
  </w:num>
  <w:num w:numId="4">
    <w:abstractNumId w:val="9"/>
  </w:num>
  <w:num w:numId="5">
    <w:abstractNumId w:val="3"/>
  </w:num>
  <w:num w:numId="6">
    <w:abstractNumId w:val="7"/>
  </w:num>
  <w:num w:numId="7">
    <w:abstractNumId w:val="10"/>
  </w:num>
  <w:num w:numId="8">
    <w:abstractNumId w:val="5"/>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2C"/>
    <w:rsid w:val="000922DF"/>
    <w:rsid w:val="0014212C"/>
    <w:rsid w:val="00275998"/>
    <w:rsid w:val="00380B86"/>
    <w:rsid w:val="0039138D"/>
    <w:rsid w:val="004221F7"/>
    <w:rsid w:val="00422B17"/>
    <w:rsid w:val="0055604A"/>
    <w:rsid w:val="005C7D05"/>
    <w:rsid w:val="005E5777"/>
    <w:rsid w:val="00603984"/>
    <w:rsid w:val="007E369D"/>
    <w:rsid w:val="00851738"/>
    <w:rsid w:val="008E2249"/>
    <w:rsid w:val="008E367D"/>
    <w:rsid w:val="008F02A4"/>
    <w:rsid w:val="00923BC3"/>
    <w:rsid w:val="009756F3"/>
    <w:rsid w:val="00A10F0B"/>
    <w:rsid w:val="00B942E3"/>
    <w:rsid w:val="00BC3D38"/>
    <w:rsid w:val="00BF08C9"/>
    <w:rsid w:val="00C44FCE"/>
    <w:rsid w:val="00CA7D09"/>
    <w:rsid w:val="00DC7E2A"/>
    <w:rsid w:val="3C46F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B15E"/>
  <w15:chartTrackingRefBased/>
  <w15:docId w15:val="{3B5A45A5-E499-9444-AA5B-283FDFFC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sz w:val="24"/>
        <w:szCs w:val="24"/>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12C"/>
    <w:pPr>
      <w:ind w:left="720"/>
      <w:contextualSpacing/>
    </w:pPr>
  </w:style>
  <w:style w:type="paragraph" w:styleId="Header">
    <w:name w:val="header"/>
    <w:basedOn w:val="Normal"/>
    <w:link w:val="HeaderChar"/>
    <w:uiPriority w:val="99"/>
    <w:unhideWhenUsed/>
    <w:rsid w:val="00A10F0B"/>
    <w:pPr>
      <w:tabs>
        <w:tab w:val="center" w:pos="4513"/>
        <w:tab w:val="right" w:pos="9026"/>
      </w:tabs>
      <w:spacing w:before="0" w:after="0"/>
    </w:pPr>
  </w:style>
  <w:style w:type="character" w:customStyle="1" w:styleId="HeaderChar">
    <w:name w:val="Header Char"/>
    <w:basedOn w:val="DefaultParagraphFont"/>
    <w:link w:val="Header"/>
    <w:uiPriority w:val="99"/>
    <w:rsid w:val="00A10F0B"/>
  </w:style>
  <w:style w:type="paragraph" w:styleId="Footer">
    <w:name w:val="footer"/>
    <w:basedOn w:val="Normal"/>
    <w:link w:val="FooterChar"/>
    <w:uiPriority w:val="99"/>
    <w:unhideWhenUsed/>
    <w:rsid w:val="00A10F0B"/>
    <w:pPr>
      <w:tabs>
        <w:tab w:val="center" w:pos="4513"/>
        <w:tab w:val="right" w:pos="9026"/>
      </w:tabs>
      <w:spacing w:before="0" w:after="0"/>
    </w:pPr>
  </w:style>
  <w:style w:type="character" w:customStyle="1" w:styleId="FooterChar">
    <w:name w:val="Footer Char"/>
    <w:basedOn w:val="DefaultParagraphFont"/>
    <w:link w:val="Footer"/>
    <w:uiPriority w:val="99"/>
    <w:rsid w:val="00A10F0B"/>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0B86"/>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0B86"/>
    <w:rPr>
      <w:rFonts w:ascii="Times New Roman" w:hAnsi="Times New Roman" w:cs="Times New Roman"/>
      <w:sz w:val="18"/>
      <w:szCs w:val="18"/>
    </w:rPr>
  </w:style>
  <w:style w:type="character" w:styleId="PageNumber">
    <w:name w:val="page number"/>
    <w:basedOn w:val="DefaultParagraphFont"/>
    <w:uiPriority w:val="99"/>
    <w:semiHidden/>
    <w:unhideWhenUsed/>
    <w:rsid w:val="00422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EE75628EEAF429FB10A3C036248E7" ma:contentTypeVersion="12" ma:contentTypeDescription="Create a new document." ma:contentTypeScope="" ma:versionID="4e96a1e464679cd764994cd91bd5d7ef">
  <xsd:schema xmlns:xsd="http://www.w3.org/2001/XMLSchema" xmlns:xs="http://www.w3.org/2001/XMLSchema" xmlns:p="http://schemas.microsoft.com/office/2006/metadata/properties" xmlns:ns2="97e7ec84-1152-47a6-b899-f4d186d2b37c" xmlns:ns3="2ff5f2bf-9899-41e0-8bc3-107a84cd9594" targetNamespace="http://schemas.microsoft.com/office/2006/metadata/properties" ma:root="true" ma:fieldsID="a6126f891498d5316294758ca5691455" ns2:_="" ns3:_="">
    <xsd:import namespace="97e7ec84-1152-47a6-b899-f4d186d2b37c"/>
    <xsd:import namespace="2ff5f2bf-9899-41e0-8bc3-107a84cd9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7ec84-1152-47a6-b899-f4d186d2b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5f2bf-9899-41e0-8bc3-107a84cd95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9BD4D-B195-4C71-A606-28BA65108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7ec84-1152-47a6-b899-f4d186d2b37c"/>
    <ds:schemaRef ds:uri="2ff5f2bf-9899-41e0-8bc3-107a84c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0E069-4E0C-41BB-BBFA-AFE84A2EA5B6}">
  <ds:schemaRefs>
    <ds:schemaRef ds:uri="http://schemas.microsoft.com/sharepoint/v3/contenttype/forms"/>
  </ds:schemaRefs>
</ds:datastoreItem>
</file>

<file path=customXml/itemProps3.xml><?xml version="1.0" encoding="utf-8"?>
<ds:datastoreItem xmlns:ds="http://schemas.openxmlformats.org/officeDocument/2006/customXml" ds:itemID="{3D08E7CE-0069-4790-8067-BED1DBE84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Stonell</dc:creator>
  <cp:keywords/>
  <dc:description/>
  <cp:lastModifiedBy>Lisa Mordue</cp:lastModifiedBy>
  <cp:revision>2</cp:revision>
  <dcterms:created xsi:type="dcterms:W3CDTF">2021-03-17T17:35:00Z</dcterms:created>
  <dcterms:modified xsi:type="dcterms:W3CDTF">2021-03-17T17:35:00Z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0x010100305EE75628EEAF429FB10A3C036248E7</vt:lpwstr>
  </property>
</Properties>
</file>