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A3127" w14:textId="77777777" w:rsidR="007F3888" w:rsidRDefault="007F3888">
      <w:pPr>
        <w:pStyle w:val="Title"/>
        <w:ind w:left="1440" w:firstLine="720"/>
        <w:jc w:val="left"/>
        <w:rPr>
          <w:sz w:val="44"/>
        </w:rPr>
      </w:pPr>
      <w:r>
        <w:t xml:space="preserve">  </w:t>
      </w:r>
      <w:r w:rsidR="00BB13F3">
        <w:rPr>
          <w:sz w:val="44"/>
        </w:rPr>
        <w:t>Cruz Consulting, LLC</w:t>
      </w:r>
    </w:p>
    <w:p w14:paraId="517A3128" w14:textId="77777777" w:rsidR="007F3888" w:rsidRDefault="00256D09">
      <w:pPr>
        <w:jc w:val="center"/>
        <w:rPr>
          <w:i/>
          <w:sz w:val="28"/>
        </w:rPr>
      </w:pPr>
      <w:r>
        <w:rPr>
          <w:i/>
          <w:noProof/>
          <w:sz w:val="28"/>
        </w:rPr>
        <mc:AlternateContent>
          <mc:Choice Requires="wps">
            <w:drawing>
              <wp:anchor distT="0" distB="0" distL="114300" distR="114300" simplePos="0" relativeHeight="251657728" behindDoc="0" locked="0" layoutInCell="0" allowOverlap="1" wp14:anchorId="517A3149" wp14:editId="517A314A">
                <wp:simplePos x="0" y="0"/>
                <wp:positionH relativeFrom="column">
                  <wp:posOffset>-228600</wp:posOffset>
                </wp:positionH>
                <wp:positionV relativeFrom="paragraph">
                  <wp:posOffset>-6350</wp:posOffset>
                </wp:positionV>
                <wp:extent cx="6035040" cy="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BE5CFE"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5pt" to="457.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HBssAEAAEkDAAAOAAAAZHJzL2Uyb0RvYy54bWysU01v2zAMvQ/YfxB0X+x0a7EZcXpI1126&#10;LUC7H8BIsi1MFgVSiZ1/P0lNsmK7FfVBoPjx9PhIr27n0YmDIbboW7lc1FIYr1Bb37fy19P9h89S&#10;cASvwaE3rTwalrfr9+9WU2jMFQ7otCGRQDw3U2jlEGNoqorVYEbgBQbjU7BDGiGmK/WVJpgS+uiq&#10;q7q+qSYkHQiVYU7eu+egXBf8rjMq/uw6NlG4ViZusZxUzl0+q/UKmp4gDFadaMArWIxgfXr0AnUH&#10;EcSe7H9Qo1WEjF1cKBwr7DqrTOkhdbOs/+nmcYBgSi9JHA4XmfjtYNWPw8ZvKVNXs38MD6h+s/C4&#10;GcD3phB4OoY0uGWWqpoCN5eSfOGwJbGbvqNOObCPWFSYOxozZOpPzEXs40VsM0ehkvOm/nhdf0oz&#10;UedYBc25MBDHbwZHkY1WOuuzDtDA4YFjJgLNOSW7Pd5b58osnRdTYvulvq5LBaOzOkdzHlO/2zgS&#10;B8jrUL7SVoq8TCPce13QBgP668mOYN2znV53/qRGFiBvGzc71MctnVVK8yo0T7uVF+LlvVT//QPW&#10;fwAAAP//AwBQSwMEFAAGAAgAAAAhAFZk+SfcAAAACQEAAA8AAABkcnMvZG93bnJldi54bWxMj09P&#10;g0AQxe8mfofNmHhrFxQbSlkabeKlN7FRj1N2C0R2lrBbCt/eMR7saf69vPm9fDvZToxm8K0jBfEy&#10;AmGocrqlWsHh/XWRgvABSWPnyCiYjYdtcXuTY6bdhd7MWIZasAn5DBU0IfSZlL5qjEW/dL0hvp3c&#10;YDHwONRSD3hhc9vJhyhaSYst8YcGe7NrTPVdni27PH2mL3tMD/PclV/rZPexH8kqdX83PW9ABDOF&#10;fzH84jM6FMx0dGfSXnQKFo8rzhK4ibmyYB0nCYjj30IWubxOUPwAAAD//wMAUEsBAi0AFAAGAAgA&#10;AAAhALaDOJL+AAAA4QEAABMAAAAAAAAAAAAAAAAAAAAAAFtDb250ZW50X1R5cGVzXS54bWxQSwEC&#10;LQAUAAYACAAAACEAOP0h/9YAAACUAQAACwAAAAAAAAAAAAAAAAAvAQAAX3JlbHMvLnJlbHNQSwEC&#10;LQAUAAYACAAAACEAbnhwbLABAABJAwAADgAAAAAAAAAAAAAAAAAuAgAAZHJzL2Uyb0RvYy54bWxQ&#10;SwECLQAUAAYACAAAACEAVmT5J9wAAAAJAQAADwAAAAAAAAAAAAAAAAAKBAAAZHJzL2Rvd25yZXYu&#10;eG1sUEsFBgAAAAAEAAQA8wAAABMFAAAAAA==&#10;" o:allowincell="f" strokeweight="1.5pt"/>
            </w:pict>
          </mc:Fallback>
        </mc:AlternateContent>
      </w:r>
      <w:r w:rsidR="007F3888">
        <w:rPr>
          <w:i/>
          <w:sz w:val="28"/>
        </w:rPr>
        <w:t>Certified Public Accountant</w:t>
      </w:r>
    </w:p>
    <w:p w14:paraId="517A3129" w14:textId="77777777" w:rsidR="007F3888" w:rsidRPr="000806BB" w:rsidRDefault="007F3888" w:rsidP="0004085D">
      <w:pPr>
        <w:jc w:val="center"/>
        <w:rPr>
          <w:sz w:val="24"/>
        </w:rPr>
      </w:pPr>
      <w:r w:rsidRPr="000806BB">
        <w:rPr>
          <w:sz w:val="24"/>
        </w:rPr>
        <w:t>580 S. Main Ave., Tucson, AZ  85701</w:t>
      </w:r>
    </w:p>
    <w:p w14:paraId="517A312A" w14:textId="761E18E4" w:rsidR="007F3888" w:rsidRPr="000806BB" w:rsidRDefault="007F3888" w:rsidP="0004085D">
      <w:pPr>
        <w:jc w:val="center"/>
        <w:rPr>
          <w:sz w:val="24"/>
        </w:rPr>
      </w:pPr>
      <w:r w:rsidRPr="000806BB">
        <w:rPr>
          <w:sz w:val="24"/>
        </w:rPr>
        <w:t>(520) 623-</w:t>
      </w:r>
      <w:r w:rsidR="007A42E7" w:rsidRPr="000806BB">
        <w:rPr>
          <w:sz w:val="24"/>
        </w:rPr>
        <w:t>8784 •</w:t>
      </w:r>
      <w:r w:rsidRPr="000806BB">
        <w:rPr>
          <w:sz w:val="24"/>
        </w:rPr>
        <w:t xml:space="preserve"> Fax (520) </w:t>
      </w:r>
      <w:r w:rsidR="0004085D">
        <w:rPr>
          <w:sz w:val="24"/>
        </w:rPr>
        <w:t>600-4492</w:t>
      </w:r>
    </w:p>
    <w:p w14:paraId="517A312B" w14:textId="77777777" w:rsidR="00751563" w:rsidRPr="000806BB" w:rsidRDefault="00751563">
      <w:pPr>
        <w:jc w:val="both"/>
        <w:rPr>
          <w:sz w:val="24"/>
          <w:szCs w:val="24"/>
        </w:rPr>
      </w:pPr>
    </w:p>
    <w:p w14:paraId="7A3CA5B4" w14:textId="435D96B6" w:rsidR="009E433C" w:rsidRPr="001F5650" w:rsidRDefault="00727B69">
      <w:pPr>
        <w:jc w:val="both"/>
        <w:rPr>
          <w:sz w:val="24"/>
          <w:szCs w:val="24"/>
        </w:rPr>
      </w:pPr>
      <w:r w:rsidRPr="001F5650">
        <w:rPr>
          <w:sz w:val="24"/>
          <w:szCs w:val="24"/>
        </w:rPr>
        <w:t>November 11, 2025</w:t>
      </w:r>
    </w:p>
    <w:p w14:paraId="1DB29D66" w14:textId="77777777" w:rsidR="00073B0E" w:rsidRPr="001F5650" w:rsidRDefault="00073B0E">
      <w:pPr>
        <w:jc w:val="both"/>
        <w:rPr>
          <w:sz w:val="24"/>
          <w:szCs w:val="24"/>
        </w:rPr>
      </w:pPr>
    </w:p>
    <w:p w14:paraId="3D02E2D2" w14:textId="46653D31" w:rsidR="00727B69" w:rsidRPr="001F5650" w:rsidRDefault="00727B69" w:rsidP="00727B69">
      <w:pPr>
        <w:spacing w:line="360" w:lineRule="auto"/>
        <w:rPr>
          <w:b/>
          <w:bCs/>
          <w:sz w:val="24"/>
          <w:szCs w:val="24"/>
          <w:u w:val="single"/>
        </w:rPr>
      </w:pPr>
      <w:r w:rsidRPr="001F5650">
        <w:rPr>
          <w:sz w:val="24"/>
          <w:szCs w:val="24"/>
        </w:rPr>
        <w:t xml:space="preserve">Re: </w:t>
      </w:r>
      <w:r w:rsidRPr="001F5650">
        <w:rPr>
          <w:b/>
          <w:bCs/>
          <w:sz w:val="24"/>
          <w:szCs w:val="24"/>
          <w:u w:val="single"/>
        </w:rPr>
        <w:t>Year-end tax and financial planning letter for small businesses</w:t>
      </w:r>
      <w:r w:rsidRPr="001F5650">
        <w:rPr>
          <w:b/>
          <w:bCs/>
          <w:sz w:val="24"/>
          <w:szCs w:val="24"/>
          <w:u w:val="single"/>
        </w:rPr>
        <w:t xml:space="preserve"> 2025</w:t>
      </w:r>
      <w:r w:rsidRPr="001F5650">
        <w:rPr>
          <w:b/>
          <w:bCs/>
          <w:sz w:val="24"/>
          <w:szCs w:val="24"/>
          <w:u w:val="single"/>
        </w:rPr>
        <w:t xml:space="preserve"> </w:t>
      </w:r>
    </w:p>
    <w:p w14:paraId="6C0CD1B9" w14:textId="77777777" w:rsidR="00727B69" w:rsidRPr="001F5650" w:rsidRDefault="00727B69" w:rsidP="00727B69">
      <w:pPr>
        <w:spacing w:line="360" w:lineRule="auto"/>
        <w:rPr>
          <w:sz w:val="24"/>
          <w:szCs w:val="24"/>
        </w:rPr>
      </w:pPr>
    </w:p>
    <w:p w14:paraId="6876FD3A" w14:textId="3136FDCB" w:rsidR="00727B69" w:rsidRPr="001F5650" w:rsidRDefault="00727B69" w:rsidP="00727B69">
      <w:pPr>
        <w:spacing w:before="100" w:beforeAutospacing="1" w:after="16" w:line="360" w:lineRule="auto"/>
        <w:rPr>
          <w:rFonts w:eastAsia="Calibri"/>
          <w:sz w:val="24"/>
          <w:szCs w:val="24"/>
        </w:rPr>
      </w:pPr>
      <w:r w:rsidRPr="001F5650">
        <w:rPr>
          <w:rFonts w:eastAsia="Calibri"/>
          <w:sz w:val="24"/>
          <w:szCs w:val="24"/>
        </w:rPr>
        <w:t xml:space="preserve">As we approach the end of the year, it’s a great time to </w:t>
      </w:r>
      <w:r w:rsidRPr="001F5650">
        <w:rPr>
          <w:rFonts w:eastAsia="Calibri"/>
          <w:sz w:val="24"/>
          <w:szCs w:val="24"/>
        </w:rPr>
        <w:t>look at</w:t>
      </w:r>
      <w:r w:rsidRPr="001F5650">
        <w:rPr>
          <w:rFonts w:eastAsia="Calibri"/>
          <w:sz w:val="24"/>
          <w:szCs w:val="24"/>
        </w:rPr>
        <w:t xml:space="preserve"> your financial health and ensure your tax strategies are working for you.</w:t>
      </w:r>
      <w:r w:rsidRPr="001F5650">
        <w:rPr>
          <w:rFonts w:eastAsia="Calibri"/>
          <w:sz w:val="24"/>
          <w:szCs w:val="24"/>
        </w:rPr>
        <w:t xml:space="preserve">  </w:t>
      </w:r>
      <w:r w:rsidRPr="001F5650">
        <w:rPr>
          <w:rFonts w:eastAsia="Calibri"/>
          <w:sz w:val="24"/>
          <w:szCs w:val="24"/>
        </w:rPr>
        <w:t>This year has brought unique challenges and opportunities — from new tax legislation and economic shifts to changes in work arrangements and personal circumstances.</w:t>
      </w:r>
      <w:r w:rsidRPr="001F5650">
        <w:rPr>
          <w:rFonts w:eastAsia="Calibri"/>
          <w:sz w:val="24"/>
          <w:szCs w:val="24"/>
        </w:rPr>
        <w:t xml:space="preserve">  </w:t>
      </w:r>
      <w:r w:rsidRPr="001F5650">
        <w:rPr>
          <w:rFonts w:eastAsia="Calibri"/>
          <w:sz w:val="24"/>
          <w:szCs w:val="24"/>
        </w:rPr>
        <w:t>Our goal is to help you navigate these developments and position yourself for financial success in the coming year.</w:t>
      </w:r>
    </w:p>
    <w:p w14:paraId="37DD7D5A" w14:textId="77777777" w:rsidR="00727B69" w:rsidRPr="001F5650" w:rsidRDefault="00727B69" w:rsidP="00727B69">
      <w:pPr>
        <w:spacing w:before="100" w:beforeAutospacing="1" w:after="16" w:line="360" w:lineRule="auto"/>
        <w:rPr>
          <w:rFonts w:eastAsia="Calibri"/>
          <w:sz w:val="24"/>
          <w:szCs w:val="24"/>
        </w:rPr>
      </w:pPr>
      <w:r w:rsidRPr="001F5650">
        <w:rPr>
          <w:rFonts w:eastAsia="Calibri"/>
          <w:sz w:val="24"/>
          <w:szCs w:val="24"/>
        </w:rPr>
        <w:t>In this letter, you’ll find a summary of key tax law changes, important deadlines and actionable planning ideas. Whether you’re looking to maximize deductions, plan for retirement or address life changes, we’re here to provide guidance and support every step of the way.</w:t>
      </w:r>
    </w:p>
    <w:p w14:paraId="5E654ACC" w14:textId="3E462363" w:rsidR="00727B69" w:rsidRPr="001F5650" w:rsidRDefault="00727B69" w:rsidP="00727B69">
      <w:pPr>
        <w:spacing w:before="100" w:beforeAutospacing="1" w:after="16" w:line="360" w:lineRule="auto"/>
        <w:rPr>
          <w:rFonts w:eastAsia="Calibri"/>
          <w:sz w:val="24"/>
          <w:szCs w:val="24"/>
        </w:rPr>
      </w:pPr>
      <w:r w:rsidRPr="001F5650">
        <w:rPr>
          <w:rFonts w:eastAsia="Calibri"/>
          <w:noProof/>
          <w:sz w:val="24"/>
          <w:szCs w:val="24"/>
        </w:rPr>
        <mc:AlternateContent>
          <mc:Choice Requires="wps">
            <w:drawing>
              <wp:anchor distT="0" distB="0" distL="114300" distR="114300" simplePos="0" relativeHeight="251659264" behindDoc="0" locked="0" layoutInCell="1" allowOverlap="1" wp14:anchorId="23C86A8D" wp14:editId="7BBD53F5">
                <wp:simplePos x="0" y="0"/>
                <wp:positionH relativeFrom="column">
                  <wp:posOffset>-6350</wp:posOffset>
                </wp:positionH>
                <wp:positionV relativeFrom="paragraph">
                  <wp:posOffset>117475</wp:posOffset>
                </wp:positionV>
                <wp:extent cx="5518150" cy="12700"/>
                <wp:effectExtent l="19050" t="19050" r="25400" b="25400"/>
                <wp:wrapNone/>
                <wp:docPr id="2053156414" name="Straight Connector 2"/>
                <wp:cNvGraphicFramePr/>
                <a:graphic xmlns:a="http://schemas.openxmlformats.org/drawingml/2006/main">
                  <a:graphicData uri="http://schemas.microsoft.com/office/word/2010/wordprocessingShape">
                    <wps:wsp>
                      <wps:cNvCnPr/>
                      <wps:spPr>
                        <a:xfrm>
                          <a:off x="0" y="0"/>
                          <a:ext cx="5518150" cy="127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68C017"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pt,9.25pt" to="434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XOfvwEAAOIDAAAOAAAAZHJzL2Uyb0RvYy54bWysU8tu2zAQvBfoPxC815IMKDEEyz4kSC5B&#10;EqTtBzDU0iLAF0jWkv8+S8qWgqZA0SIXilzuzO4MV9v9qBU5gg/SmpZWq5ISMNx20hxa+vPH3bcN&#10;JSEy0zFlDbT0BIHud1+/bAfXwNr2VnXgCZKY0AyupX2MrimKwHvQLKysA4OXwnrNIh79oeg8G5Bd&#10;q2JdllfFYH3nvOUQAkZvp0u6y/xCAI9PQgSIRLUUe4t59Xl9TWux27Lm4JnrJT+3wf6jC82kwaIz&#10;1S2LjPzy8gOVltzbYEVccasLK4TkkDWgmqr8Tc33njnIWtCc4GabwufR8sfjjXn2aMPgQhPcs08q&#10;RuF1+mJ/ZMxmnWazYIyEY7Cuq01Vo6cc76r1dZnNLBaw8yHeg9UkbVqqpElaWMOODyFiQUy9pKSw&#10;MmRo6XpTX9c5LVgluzupVLrM8wA3ypMjw5eMY5VeDhneZeFJGQwuQvIunhRM/C8giOyw9WoqkGZs&#10;4WScg4kXXmUwO8EEdjADy78Dz/kJCnn+/gU8I3Jla+IM1tJY/6fqixViyr84MOlOFrza7pSfOFuD&#10;g5SdOw99mtT35wxffs3dGwAAAP//AwBQSwMEFAAGAAgAAAAhAGEd79vdAAAACAEAAA8AAABkcnMv&#10;ZG93bnJldi54bWxMj0FrwkAQhe8F/8MyQi9FNwqGkGYjRSh4EEpjS6/r7jQJZmdDdqPx33d60uO8&#10;9/jmvWI7uU5ccAitJwWrZQICyXjbUq3g6/i+yECEqMnqzhMquGGAbTl7KnRu/ZU+8VLFWjCEQq4V&#10;NDH2uZTBNOh0WPoeib1fPzgd+RxqaQd9Zbjr5DpJUul0S/yh0T3uGjTnanQK1vVhf/vGdH9+OYaD&#10;MdX487FDpZ7n09sriIhTvIfhvz5Xh5I7nfxINohOwWLFUyLr2QYE+1masXBieLIBWRbycUD5BwAA&#10;//8DAFBLAQItABQABgAIAAAAIQC2gziS/gAAAOEBAAATAAAAAAAAAAAAAAAAAAAAAABbQ29udGVu&#10;dF9UeXBlc10ueG1sUEsBAi0AFAAGAAgAAAAhADj9If/WAAAAlAEAAAsAAAAAAAAAAAAAAAAALwEA&#10;AF9yZWxzLy5yZWxzUEsBAi0AFAAGAAgAAAAhAN71c5+/AQAA4gMAAA4AAAAAAAAAAAAAAAAALgIA&#10;AGRycy9lMm9Eb2MueG1sUEsBAi0AFAAGAAgAAAAhAGEd79vdAAAACAEAAA8AAAAAAAAAAAAAAAAA&#10;GQQAAGRycy9kb3ducmV2LnhtbFBLBQYAAAAABAAEAPMAAAAjBQAAAAA=&#10;" strokecolor="black [3213]" strokeweight="2.25pt">
                <v:stroke joinstyle="miter"/>
              </v:line>
            </w:pict>
          </mc:Fallback>
        </mc:AlternateContent>
      </w:r>
    </w:p>
    <w:p w14:paraId="7FC6B209" w14:textId="77777777" w:rsidR="00727B69" w:rsidRPr="001F5650" w:rsidRDefault="00727B69" w:rsidP="00727B69">
      <w:pPr>
        <w:spacing w:before="100" w:beforeAutospacing="1" w:after="16" w:line="360" w:lineRule="auto"/>
        <w:rPr>
          <w:rFonts w:eastAsia="Calibri"/>
          <w:b/>
          <w:bCs/>
          <w:sz w:val="24"/>
          <w:szCs w:val="24"/>
        </w:rPr>
      </w:pPr>
      <w:r w:rsidRPr="001F5650">
        <w:rPr>
          <w:rFonts w:eastAsia="Calibri"/>
          <w:b/>
          <w:bCs/>
          <w:sz w:val="24"/>
          <w:szCs w:val="24"/>
        </w:rPr>
        <w:t>Research and Experimental (R&amp;E) expenses</w:t>
      </w:r>
    </w:p>
    <w:p w14:paraId="04A900B4" w14:textId="77777777" w:rsidR="00727B69" w:rsidRPr="001F5650" w:rsidRDefault="00727B69" w:rsidP="00727B69">
      <w:pPr>
        <w:spacing w:before="100" w:beforeAutospacing="1" w:after="16" w:line="360" w:lineRule="auto"/>
        <w:rPr>
          <w:rFonts w:eastAsia="Calibri"/>
          <w:sz w:val="24"/>
          <w:szCs w:val="24"/>
        </w:rPr>
      </w:pPr>
      <w:r w:rsidRPr="001F5650">
        <w:rPr>
          <w:rFonts w:eastAsia="Calibri"/>
          <w:sz w:val="24"/>
          <w:szCs w:val="24"/>
        </w:rPr>
        <w:t xml:space="preserve">Domestic R&amp;E expenditures are now immediately deductible for tax years beginning after Dec. 31, 2024. Foreign R&amp;E </w:t>
      </w:r>
      <w:proofErr w:type="gramStart"/>
      <w:r w:rsidRPr="001F5650">
        <w:rPr>
          <w:rFonts w:eastAsia="Calibri"/>
          <w:sz w:val="24"/>
          <w:szCs w:val="24"/>
        </w:rPr>
        <w:t>expenditures</w:t>
      </w:r>
      <w:proofErr w:type="gramEnd"/>
      <w:r w:rsidRPr="001F5650">
        <w:rPr>
          <w:rFonts w:eastAsia="Calibri"/>
          <w:sz w:val="24"/>
          <w:szCs w:val="24"/>
        </w:rPr>
        <w:t xml:space="preserve"> must still be capitalized and amortized over 15 years.  Certain taxpayers, including many small businesses, may use transition relief to deduct remaining unamortized domestic R&amp;E from 2022–2024. We can help you review your R&amp;E activities to confirm eligibility, coordinate any Sec. 280C interactions, and time elections to maximize the benefit. </w:t>
      </w:r>
    </w:p>
    <w:p w14:paraId="628CAF90" w14:textId="77777777" w:rsidR="00727B69" w:rsidRPr="001F5650" w:rsidRDefault="00727B69" w:rsidP="00727B69">
      <w:pPr>
        <w:spacing w:before="100" w:beforeAutospacing="1" w:after="16" w:line="360" w:lineRule="auto"/>
        <w:rPr>
          <w:rFonts w:eastAsia="Calibri"/>
          <w:b/>
          <w:bCs/>
          <w:sz w:val="24"/>
          <w:szCs w:val="24"/>
        </w:rPr>
      </w:pPr>
      <w:r w:rsidRPr="001F5650">
        <w:rPr>
          <w:rFonts w:eastAsia="Calibri"/>
          <w:b/>
          <w:bCs/>
          <w:sz w:val="24"/>
          <w:szCs w:val="24"/>
        </w:rPr>
        <w:t>Qualified Business Income (QBI) deduction</w:t>
      </w:r>
    </w:p>
    <w:p w14:paraId="4A380DAA" w14:textId="77777777" w:rsidR="00727B69" w:rsidRPr="001F5650" w:rsidRDefault="00727B69" w:rsidP="00727B69">
      <w:pPr>
        <w:spacing w:before="100" w:beforeAutospacing="1" w:after="16" w:line="360" w:lineRule="auto"/>
        <w:rPr>
          <w:rFonts w:eastAsia="Calibri"/>
          <w:sz w:val="24"/>
          <w:szCs w:val="24"/>
        </w:rPr>
      </w:pPr>
      <w:r w:rsidRPr="001F5650">
        <w:rPr>
          <w:rFonts w:eastAsia="Calibri"/>
          <w:sz w:val="24"/>
          <w:szCs w:val="24"/>
        </w:rPr>
        <w:t xml:space="preserve">The 20% QBI deduction for certain business income is now permanent, with expanded phase-in ranges and a minimum deduction of $400 for taxpayers with at least $1,000 of qualified business income. It could be time to review your business structure and income to ensure you are positioned to maximize this deduction. </w:t>
      </w:r>
    </w:p>
    <w:p w14:paraId="6371113E" w14:textId="77777777" w:rsidR="00727B69" w:rsidRPr="001F5650" w:rsidRDefault="00727B69" w:rsidP="00727B69">
      <w:pPr>
        <w:spacing w:before="100" w:beforeAutospacing="1" w:after="16" w:line="360" w:lineRule="auto"/>
        <w:rPr>
          <w:rFonts w:eastAsia="Calibri"/>
          <w:b/>
          <w:bCs/>
          <w:sz w:val="24"/>
          <w:szCs w:val="24"/>
        </w:rPr>
      </w:pPr>
      <w:r w:rsidRPr="001F5650">
        <w:rPr>
          <w:rFonts w:eastAsia="Calibri"/>
          <w:b/>
          <w:bCs/>
          <w:sz w:val="24"/>
          <w:szCs w:val="24"/>
        </w:rPr>
        <w:lastRenderedPageBreak/>
        <w:t>Capital expenditures</w:t>
      </w:r>
    </w:p>
    <w:p w14:paraId="03AF533D" w14:textId="77777777" w:rsidR="00727B69" w:rsidRPr="001F5650" w:rsidRDefault="00727B69" w:rsidP="00727B69">
      <w:pPr>
        <w:spacing w:before="100" w:beforeAutospacing="1" w:after="16" w:line="360" w:lineRule="auto"/>
        <w:rPr>
          <w:rFonts w:eastAsia="Calibri"/>
          <w:sz w:val="24"/>
          <w:szCs w:val="24"/>
        </w:rPr>
      </w:pPr>
      <w:r w:rsidRPr="001F5650">
        <w:rPr>
          <w:rFonts w:eastAsia="Calibri"/>
          <w:sz w:val="24"/>
          <w:szCs w:val="24"/>
        </w:rPr>
        <w:t>“Bonus” deprecation (100% expensing of qualifying property) is permanently extended for property acquired and placed in service on or after Jan. 19, 2025. Sec. 179 expensing limits are increased to $2.5 million. We can help you prioritize expenditures, placed-in-service timing and state conformity.</w:t>
      </w:r>
    </w:p>
    <w:p w14:paraId="78190B39" w14:textId="77777777" w:rsidR="00727B69" w:rsidRPr="001F5650" w:rsidRDefault="00727B69" w:rsidP="00727B69">
      <w:pPr>
        <w:spacing w:before="100" w:beforeAutospacing="1" w:after="16" w:line="360" w:lineRule="auto"/>
        <w:rPr>
          <w:rFonts w:eastAsia="Calibri"/>
          <w:b/>
          <w:bCs/>
          <w:sz w:val="24"/>
          <w:szCs w:val="24"/>
        </w:rPr>
      </w:pPr>
      <w:r w:rsidRPr="001F5650">
        <w:rPr>
          <w:rFonts w:eastAsia="Calibri"/>
          <w:b/>
          <w:bCs/>
          <w:sz w:val="24"/>
          <w:szCs w:val="24"/>
        </w:rPr>
        <w:t>Clean energy incentives</w:t>
      </w:r>
    </w:p>
    <w:p w14:paraId="73D06F28" w14:textId="77777777" w:rsidR="00727B69" w:rsidRPr="001F5650" w:rsidRDefault="00727B69" w:rsidP="00727B69">
      <w:pPr>
        <w:spacing w:before="100" w:beforeAutospacing="1" w:after="16" w:line="360" w:lineRule="auto"/>
        <w:rPr>
          <w:rFonts w:eastAsia="Calibri"/>
          <w:sz w:val="24"/>
          <w:szCs w:val="24"/>
        </w:rPr>
      </w:pPr>
      <w:r w:rsidRPr="001F5650">
        <w:rPr>
          <w:rFonts w:eastAsia="Calibri"/>
          <w:sz w:val="24"/>
          <w:szCs w:val="24"/>
        </w:rPr>
        <w:t xml:space="preserve">Many clean energy incentives are scheduled to </w:t>
      </w:r>
      <w:proofErr w:type="gramStart"/>
      <w:r w:rsidRPr="001F5650">
        <w:rPr>
          <w:rFonts w:eastAsia="Calibri"/>
          <w:sz w:val="24"/>
          <w:szCs w:val="24"/>
        </w:rPr>
        <w:t>terminate</w:t>
      </w:r>
      <w:proofErr w:type="gramEnd"/>
      <w:r w:rsidRPr="001F5650">
        <w:rPr>
          <w:rFonts w:eastAsia="Calibri"/>
          <w:sz w:val="24"/>
          <w:szCs w:val="24"/>
        </w:rPr>
        <w:t xml:space="preserve"> in 2025 and 2026. If you have </w:t>
      </w:r>
      <w:proofErr w:type="gramStart"/>
      <w:r w:rsidRPr="001F5650">
        <w:rPr>
          <w:rFonts w:eastAsia="Calibri"/>
          <w:sz w:val="24"/>
          <w:szCs w:val="24"/>
        </w:rPr>
        <w:t>invested</w:t>
      </w:r>
      <w:proofErr w:type="gramEnd"/>
      <w:r w:rsidRPr="001F5650">
        <w:rPr>
          <w:rFonts w:eastAsia="Calibri"/>
          <w:sz w:val="24"/>
          <w:szCs w:val="24"/>
        </w:rPr>
        <w:t xml:space="preserve"> or are considering investing in these areas, let us help you determine how to maximize the available benefits. </w:t>
      </w:r>
    </w:p>
    <w:p w14:paraId="1E454FA3" w14:textId="77777777" w:rsidR="00727B69" w:rsidRPr="001F5650" w:rsidRDefault="00727B69" w:rsidP="00727B69">
      <w:pPr>
        <w:spacing w:before="100" w:beforeAutospacing="1" w:after="16" w:line="360" w:lineRule="auto"/>
        <w:rPr>
          <w:rFonts w:eastAsia="Calibri"/>
          <w:b/>
          <w:bCs/>
          <w:sz w:val="24"/>
          <w:szCs w:val="24"/>
        </w:rPr>
      </w:pPr>
      <w:r w:rsidRPr="001F5650">
        <w:rPr>
          <w:rFonts w:eastAsia="Calibri"/>
          <w:b/>
          <w:bCs/>
          <w:sz w:val="24"/>
          <w:szCs w:val="24"/>
        </w:rPr>
        <w:t xml:space="preserve">Information reporting thresholds </w:t>
      </w:r>
    </w:p>
    <w:p w14:paraId="640CEEAA" w14:textId="77777777" w:rsidR="00727B69" w:rsidRPr="001F5650" w:rsidRDefault="00727B69" w:rsidP="00727B69">
      <w:pPr>
        <w:spacing w:before="100" w:beforeAutospacing="1" w:after="16" w:line="360" w:lineRule="auto"/>
        <w:rPr>
          <w:rFonts w:eastAsia="Calibri"/>
          <w:sz w:val="24"/>
          <w:szCs w:val="24"/>
        </w:rPr>
      </w:pPr>
      <w:proofErr w:type="gramStart"/>
      <w:r w:rsidRPr="001F5650">
        <w:rPr>
          <w:rFonts w:eastAsia="Calibri"/>
          <w:sz w:val="24"/>
          <w:szCs w:val="24"/>
        </w:rPr>
        <w:t>Form</w:t>
      </w:r>
      <w:proofErr w:type="gramEnd"/>
      <w:r w:rsidRPr="001F5650">
        <w:rPr>
          <w:rFonts w:eastAsia="Calibri"/>
          <w:sz w:val="24"/>
          <w:szCs w:val="24"/>
        </w:rPr>
        <w:t xml:space="preserve"> 1099-K reporting threshold for third-party settlement organizations reverts to $20,000 and 200 transactions per payee per year for 2025. The Form 1099-NEC/MISC threshold for reporting payments to service providers remains at $600 for 2025 and increases to $2,000 in 2026 and will be indexed for inflation. It is important to review your vendor payments and reporting systems to ensure compliance. </w:t>
      </w:r>
    </w:p>
    <w:p w14:paraId="5F2CD06A" w14:textId="77777777" w:rsidR="00727B69" w:rsidRPr="001F5650" w:rsidRDefault="00727B69" w:rsidP="00727B69">
      <w:pPr>
        <w:spacing w:before="100" w:beforeAutospacing="1" w:after="16" w:line="360" w:lineRule="auto"/>
        <w:rPr>
          <w:rFonts w:eastAsia="Calibri"/>
          <w:b/>
          <w:bCs/>
          <w:sz w:val="24"/>
          <w:szCs w:val="24"/>
        </w:rPr>
      </w:pPr>
      <w:r w:rsidRPr="001F5650">
        <w:rPr>
          <w:rFonts w:eastAsia="Calibri"/>
          <w:b/>
          <w:bCs/>
          <w:sz w:val="24"/>
          <w:szCs w:val="24"/>
        </w:rPr>
        <w:t>Analysis of your financial statements</w:t>
      </w:r>
    </w:p>
    <w:p w14:paraId="5544587C" w14:textId="77777777" w:rsidR="00727B69" w:rsidRPr="001F5650" w:rsidRDefault="00727B69" w:rsidP="00727B69">
      <w:pPr>
        <w:spacing w:before="100" w:beforeAutospacing="1" w:after="16" w:line="360" w:lineRule="auto"/>
        <w:rPr>
          <w:rFonts w:eastAsia="Calibri"/>
          <w:sz w:val="24"/>
          <w:szCs w:val="24"/>
        </w:rPr>
      </w:pPr>
      <w:r w:rsidRPr="001F5650">
        <w:rPr>
          <w:rFonts w:eastAsia="Calibri"/>
          <w:sz w:val="24"/>
          <w:szCs w:val="24"/>
        </w:rPr>
        <w:t xml:space="preserve">Look at where your business is positioned with income and expenses to close out the tax year. This may mean getting caught up on your bookkeeping to have a better picture of where your tax situation stands. This is a critical part of the tax planning process. This is also the time to project any remaining income and expenses that may be received or owed before the end of the year. We can help you analyze your financial statements for tax savings and planning opportunities. </w:t>
      </w:r>
    </w:p>
    <w:p w14:paraId="3A036F0E" w14:textId="294ADBA9" w:rsidR="00727B69" w:rsidRPr="001F5650" w:rsidRDefault="00727B69" w:rsidP="00727B69">
      <w:pPr>
        <w:spacing w:before="100" w:beforeAutospacing="1" w:line="360" w:lineRule="auto"/>
        <w:rPr>
          <w:sz w:val="24"/>
          <w:szCs w:val="24"/>
        </w:rPr>
      </w:pPr>
      <w:r w:rsidRPr="001F5650">
        <w:rPr>
          <w:b/>
          <w:bCs/>
          <w:sz w:val="24"/>
          <w:szCs w:val="24"/>
        </w:rPr>
        <w:t>Business meals</w:t>
      </w:r>
    </w:p>
    <w:p w14:paraId="30C8360B" w14:textId="77777777" w:rsidR="00727B69" w:rsidRPr="001F5650" w:rsidRDefault="00727B69" w:rsidP="00727B69">
      <w:pPr>
        <w:spacing w:before="100" w:beforeAutospacing="1" w:line="360" w:lineRule="auto"/>
        <w:rPr>
          <w:sz w:val="24"/>
          <w:szCs w:val="24"/>
        </w:rPr>
      </w:pPr>
      <w:r w:rsidRPr="001F5650">
        <w:rPr>
          <w:sz w:val="24"/>
          <w:szCs w:val="24"/>
        </w:rPr>
        <w:t xml:space="preserve">As you enter the holiday season and have more social gatherings with your customers and employees, keep in mind the rules for business meal deductions. There are circumstances where certain business meals may qualify for a 100% deduction. It is important to properly categorize your expenses.  </w:t>
      </w:r>
    </w:p>
    <w:p w14:paraId="21AA1330" w14:textId="77777777" w:rsidR="00727B69" w:rsidRPr="001F5650" w:rsidRDefault="00727B69" w:rsidP="00727B69">
      <w:pPr>
        <w:spacing w:before="100" w:beforeAutospacing="1" w:line="360" w:lineRule="auto"/>
        <w:rPr>
          <w:b/>
          <w:sz w:val="24"/>
          <w:szCs w:val="24"/>
          <w:shd w:val="clear" w:color="auto" w:fill="FFFFFF"/>
        </w:rPr>
      </w:pPr>
    </w:p>
    <w:p w14:paraId="0BCE0231" w14:textId="45FD4E1A" w:rsidR="00727B69" w:rsidRPr="001F5650" w:rsidRDefault="00727B69" w:rsidP="00727B69">
      <w:pPr>
        <w:spacing w:before="100" w:beforeAutospacing="1" w:line="360" w:lineRule="auto"/>
        <w:rPr>
          <w:sz w:val="24"/>
          <w:szCs w:val="24"/>
        </w:rPr>
      </w:pPr>
      <w:r w:rsidRPr="001F5650">
        <w:rPr>
          <w:b/>
          <w:sz w:val="24"/>
          <w:szCs w:val="24"/>
          <w:shd w:val="clear" w:color="auto" w:fill="FFFFFF"/>
        </w:rPr>
        <w:lastRenderedPageBreak/>
        <w:t xml:space="preserve">Net operating losses (NOLs) </w:t>
      </w:r>
    </w:p>
    <w:p w14:paraId="7936BC22" w14:textId="77777777" w:rsidR="00727B69" w:rsidRPr="001F5650" w:rsidRDefault="00727B69" w:rsidP="00727B69">
      <w:pPr>
        <w:spacing w:line="360" w:lineRule="auto"/>
        <w:rPr>
          <w:sz w:val="24"/>
          <w:szCs w:val="24"/>
        </w:rPr>
      </w:pPr>
      <w:r w:rsidRPr="001F5650">
        <w:rPr>
          <w:sz w:val="24"/>
          <w:szCs w:val="24"/>
        </w:rPr>
        <w:t xml:space="preserve">If your deductions for the year are more than your income for the year, you may have an NOL. In general, you can use an NOL by deducting it from your income in other year(s), but it is limited to 80% of your taxable business income in any one year. We can advise you on any potential tax benefits and limits. </w:t>
      </w:r>
    </w:p>
    <w:p w14:paraId="43DC563E" w14:textId="77777777" w:rsidR="00727B69" w:rsidRPr="001F5650" w:rsidRDefault="00727B69" w:rsidP="00727B69">
      <w:pPr>
        <w:spacing w:before="100" w:beforeAutospacing="1" w:after="16" w:line="360" w:lineRule="auto"/>
        <w:rPr>
          <w:rFonts w:eastAsia="Calibri"/>
          <w:bCs/>
          <w:sz w:val="24"/>
          <w:szCs w:val="24"/>
        </w:rPr>
      </w:pPr>
      <w:r w:rsidRPr="001F5650">
        <w:rPr>
          <w:rFonts w:eastAsia="Calibri"/>
          <w:bCs/>
          <w:sz w:val="24"/>
          <w:szCs w:val="24"/>
        </w:rPr>
        <w:t xml:space="preserve">The rules are complex, and careful research and planning now can be beneficial. </w:t>
      </w:r>
    </w:p>
    <w:p w14:paraId="76E565F5" w14:textId="77777777" w:rsidR="00727B69" w:rsidRPr="001F5650" w:rsidRDefault="00727B69" w:rsidP="00727B69">
      <w:pPr>
        <w:spacing w:before="200" w:after="16" w:line="360" w:lineRule="auto"/>
        <w:rPr>
          <w:rFonts w:eastAsiaTheme="minorHAnsi"/>
          <w:b/>
          <w:sz w:val="24"/>
          <w:szCs w:val="24"/>
          <w:shd w:val="clear" w:color="auto" w:fill="FFFFFF"/>
        </w:rPr>
      </w:pPr>
      <w:r w:rsidRPr="001F5650">
        <w:rPr>
          <w:b/>
          <w:sz w:val="24"/>
          <w:szCs w:val="24"/>
          <w:shd w:val="clear" w:color="auto" w:fill="FFFFFF"/>
        </w:rPr>
        <w:t>Digital assets and virtual currency</w:t>
      </w:r>
    </w:p>
    <w:p w14:paraId="59855540" w14:textId="77777777" w:rsidR="00727B69" w:rsidRPr="001F5650" w:rsidRDefault="00727B69" w:rsidP="00727B69">
      <w:pPr>
        <w:spacing w:before="200" w:after="16" w:line="360" w:lineRule="auto"/>
        <w:rPr>
          <w:sz w:val="24"/>
          <w:szCs w:val="24"/>
        </w:rPr>
      </w:pPr>
      <w:r w:rsidRPr="001F5650">
        <w:rPr>
          <w:sz w:val="24"/>
          <w:szCs w:val="24"/>
        </w:rPr>
        <w:t xml:space="preserve">Digital assets are defined as any digital </w:t>
      </w:r>
      <w:proofErr w:type="gramStart"/>
      <w:r w:rsidRPr="001F5650">
        <w:rPr>
          <w:sz w:val="24"/>
          <w:szCs w:val="24"/>
        </w:rPr>
        <w:t>representations</w:t>
      </w:r>
      <w:proofErr w:type="gramEnd"/>
      <w:r w:rsidRPr="001F5650">
        <w:rPr>
          <w:sz w:val="24"/>
          <w:szCs w:val="24"/>
        </w:rPr>
        <w:t xml:space="preserve"> of value that are recorded on a cryptographically secured distributed ledger or any similar technology. For example, digital assets include non-fungible tokens (NFTs) and virtual currencies, such as cryptocurrencies and stablecoins.</w:t>
      </w:r>
    </w:p>
    <w:p w14:paraId="6B244BCB" w14:textId="77777777" w:rsidR="00727B69" w:rsidRPr="001F5650" w:rsidRDefault="00727B69" w:rsidP="00727B69">
      <w:pPr>
        <w:spacing w:before="200" w:after="16" w:line="360" w:lineRule="auto"/>
        <w:rPr>
          <w:sz w:val="24"/>
          <w:szCs w:val="24"/>
        </w:rPr>
      </w:pPr>
      <w:r w:rsidRPr="001F5650">
        <w:rPr>
          <w:sz w:val="24"/>
          <w:szCs w:val="24"/>
        </w:rPr>
        <w:t xml:space="preserve">Beginning with transactions occurring in 2025, the IRS has implemented new reporting requirements. For certain transactions through a broker or certain digital asset platforms, you may receive a new Form 1099-DA in early 2026. It is important to note that you are responsible for accurately reporting all taxable digital asset transactions on your tax return, even if you do not receive a Form 1099-DA. It is important to maintain detailed records of all digital asset purchases, sales, exchanges and related transactions to substantiate that </w:t>
      </w:r>
      <w:proofErr w:type="gramStart"/>
      <w:r w:rsidRPr="001F5650">
        <w:rPr>
          <w:sz w:val="24"/>
          <w:szCs w:val="24"/>
        </w:rPr>
        <w:t>reporting</w:t>
      </w:r>
      <w:proofErr w:type="gramEnd"/>
      <w:r w:rsidRPr="001F5650">
        <w:rPr>
          <w:sz w:val="24"/>
          <w:szCs w:val="24"/>
        </w:rPr>
        <w:t xml:space="preserve">. The IRS continues to increase its scrutiny and reporting requirements in this area. </w:t>
      </w:r>
    </w:p>
    <w:p w14:paraId="6A7C98E3" w14:textId="77777777" w:rsidR="00727B69" w:rsidRPr="001F5650" w:rsidRDefault="00727B69" w:rsidP="00727B69">
      <w:pPr>
        <w:spacing w:before="200" w:after="16" w:line="360" w:lineRule="auto"/>
        <w:rPr>
          <w:sz w:val="24"/>
          <w:szCs w:val="24"/>
        </w:rPr>
      </w:pPr>
      <w:r w:rsidRPr="001F5650">
        <w:rPr>
          <w:sz w:val="24"/>
          <w:szCs w:val="24"/>
        </w:rPr>
        <w:t xml:space="preserve">Contact us to help if you have questions about your digital asset activity, how these new rules may affect you or if you need assistance with recordkeeping or tax reporting for digital assets. </w:t>
      </w:r>
    </w:p>
    <w:p w14:paraId="420FBDA2" w14:textId="77777777" w:rsidR="00727B69" w:rsidRPr="001F5650" w:rsidRDefault="00727B69" w:rsidP="00727B69">
      <w:pPr>
        <w:spacing w:before="100" w:beforeAutospacing="1" w:after="100" w:afterAutospacing="1" w:line="360" w:lineRule="auto"/>
        <w:rPr>
          <w:b/>
          <w:bCs/>
          <w:sz w:val="24"/>
          <w:szCs w:val="24"/>
        </w:rPr>
      </w:pPr>
    </w:p>
    <w:p w14:paraId="49023D44" w14:textId="34DDF514" w:rsidR="00727B69" w:rsidRPr="001F5650" w:rsidRDefault="00727B69" w:rsidP="00727B69">
      <w:pPr>
        <w:spacing w:before="100" w:beforeAutospacing="1" w:after="100" w:afterAutospacing="1" w:line="360" w:lineRule="auto"/>
        <w:rPr>
          <w:rFonts w:eastAsia="Calibri"/>
          <w:bCs/>
          <w:sz w:val="24"/>
          <w:szCs w:val="24"/>
        </w:rPr>
      </w:pPr>
      <w:r w:rsidRPr="001F5650">
        <w:rPr>
          <w:b/>
          <w:bCs/>
          <w:sz w:val="24"/>
          <w:szCs w:val="24"/>
        </w:rPr>
        <w:t>Additional tax and financial planning considerations</w:t>
      </w:r>
    </w:p>
    <w:p w14:paraId="75F53CC1" w14:textId="77777777" w:rsidR="00727B69" w:rsidRPr="001F5650" w:rsidRDefault="00727B69" w:rsidP="001F5650">
      <w:pPr>
        <w:pStyle w:val="ListParagraph"/>
        <w:numPr>
          <w:ilvl w:val="0"/>
          <w:numId w:val="2"/>
        </w:numPr>
        <w:spacing w:before="100" w:beforeAutospacing="1" w:after="100" w:afterAutospacing="1" w:line="360" w:lineRule="auto"/>
        <w:rPr>
          <w:rFonts w:ascii="Times New Roman" w:hAnsi="Times New Roman" w:cs="Times New Roman"/>
          <w:sz w:val="24"/>
          <w:szCs w:val="24"/>
          <w:shd w:val="clear" w:color="auto" w:fill="FFFFFF"/>
        </w:rPr>
      </w:pPr>
      <w:r w:rsidRPr="001F5650">
        <w:rPr>
          <w:rFonts w:ascii="Times New Roman" w:hAnsi="Times New Roman" w:cs="Times New Roman"/>
          <w:b/>
          <w:bCs/>
          <w:sz w:val="24"/>
          <w:szCs w:val="24"/>
          <w:shd w:val="clear" w:color="auto" w:fill="FFFFFF"/>
        </w:rPr>
        <w:t xml:space="preserve">Employee retention credit (ERC) </w:t>
      </w:r>
      <w:r w:rsidRPr="001F5650">
        <w:rPr>
          <w:rFonts w:ascii="Times New Roman" w:hAnsi="Times New Roman" w:cs="Times New Roman"/>
          <w:sz w:val="24"/>
          <w:szCs w:val="24"/>
          <w:shd w:val="clear" w:color="auto" w:fill="FFFFFF"/>
        </w:rPr>
        <w:t xml:space="preserve">–– You may still have questions about outstanding ERC claims or examinations in progress. We can help keep you updated on the latest. </w:t>
      </w:r>
    </w:p>
    <w:p w14:paraId="5C28BD42" w14:textId="77777777" w:rsidR="00727B69" w:rsidRPr="001F5650" w:rsidRDefault="00727B69" w:rsidP="001F5650">
      <w:pPr>
        <w:pStyle w:val="ListParagraph"/>
        <w:numPr>
          <w:ilvl w:val="0"/>
          <w:numId w:val="2"/>
        </w:numPr>
        <w:spacing w:before="100" w:beforeAutospacing="1" w:after="100" w:afterAutospacing="1" w:line="360" w:lineRule="auto"/>
        <w:rPr>
          <w:rFonts w:ascii="Times New Roman" w:hAnsi="Times New Roman" w:cs="Times New Roman"/>
          <w:sz w:val="24"/>
          <w:szCs w:val="24"/>
          <w:shd w:val="clear" w:color="auto" w:fill="FFFFFF"/>
        </w:rPr>
      </w:pPr>
      <w:r w:rsidRPr="001F5650">
        <w:rPr>
          <w:rFonts w:ascii="Times New Roman" w:hAnsi="Times New Roman" w:cs="Times New Roman"/>
          <w:b/>
          <w:bCs/>
          <w:sz w:val="24"/>
          <w:szCs w:val="24"/>
          <w:shd w:val="clear" w:color="auto" w:fill="FFFFFF"/>
        </w:rPr>
        <w:lastRenderedPageBreak/>
        <w:t xml:space="preserve">Charitable contributions </w:t>
      </w:r>
      <w:r w:rsidRPr="001F5650">
        <w:rPr>
          <w:rFonts w:ascii="Times New Roman" w:hAnsi="Times New Roman" w:cs="Times New Roman"/>
          <w:sz w:val="24"/>
          <w:szCs w:val="24"/>
          <w:shd w:val="clear" w:color="auto" w:fill="FFFFFF"/>
        </w:rPr>
        <w:t xml:space="preserve">–– For tax year 2025, the maximum allowable contribution deduction is limited to 10% of a corporation’s taxable income. In 2026, contributions will have a new limitation of .5% of income. Flowthrough entities’ charitable contributions may be limited based on the owner’s taxable income. Careful planning is needed to capture the tax benefit potential of charitable contributions. </w:t>
      </w:r>
    </w:p>
    <w:p w14:paraId="21F184A4" w14:textId="77777777" w:rsidR="00727B69" w:rsidRPr="001F5650" w:rsidRDefault="00727B69" w:rsidP="001F5650">
      <w:pPr>
        <w:pStyle w:val="ListParagraph"/>
        <w:numPr>
          <w:ilvl w:val="0"/>
          <w:numId w:val="2"/>
        </w:numPr>
        <w:spacing w:before="100" w:beforeAutospacing="1" w:after="100" w:afterAutospacing="1" w:line="360" w:lineRule="auto"/>
        <w:rPr>
          <w:rFonts w:ascii="Times New Roman" w:hAnsi="Times New Roman" w:cs="Times New Roman"/>
          <w:bCs/>
          <w:sz w:val="24"/>
          <w:szCs w:val="24"/>
          <w:shd w:val="clear" w:color="auto" w:fill="FFFFFF"/>
        </w:rPr>
      </w:pPr>
      <w:r w:rsidRPr="001F5650">
        <w:rPr>
          <w:rFonts w:ascii="Times New Roman" w:hAnsi="Times New Roman" w:cs="Times New Roman"/>
          <w:b/>
          <w:bCs/>
          <w:sz w:val="24"/>
          <w:szCs w:val="24"/>
          <w:shd w:val="clear" w:color="auto" w:fill="FFFFFF"/>
        </w:rPr>
        <w:t xml:space="preserve">Transactions between a business and its owners </w:t>
      </w:r>
      <w:r w:rsidRPr="001F5650">
        <w:rPr>
          <w:rFonts w:ascii="Times New Roman" w:hAnsi="Times New Roman" w:cs="Times New Roman"/>
          <w:sz w:val="24"/>
          <w:szCs w:val="24"/>
          <w:shd w:val="clear" w:color="auto" w:fill="FFFFFF"/>
        </w:rPr>
        <w:t xml:space="preserve">–– </w:t>
      </w:r>
      <w:r w:rsidRPr="001F5650">
        <w:rPr>
          <w:rFonts w:ascii="Times New Roman" w:hAnsi="Times New Roman" w:cs="Times New Roman"/>
          <w:sz w:val="24"/>
          <w:szCs w:val="24"/>
        </w:rPr>
        <w:t>Transactions between a business and its owners, such as loans, distributions, or compensation, carry important tax implications. We can help you structure these arrangements to ensure compliance while achieving the most tax-efficient results.</w:t>
      </w:r>
    </w:p>
    <w:p w14:paraId="497A3E20" w14:textId="77777777" w:rsidR="00727B69" w:rsidRPr="001F5650" w:rsidRDefault="00727B69" w:rsidP="001F5650">
      <w:pPr>
        <w:pStyle w:val="ListParagraph"/>
        <w:numPr>
          <w:ilvl w:val="0"/>
          <w:numId w:val="2"/>
        </w:numPr>
        <w:spacing w:before="100" w:beforeAutospacing="1" w:after="100" w:afterAutospacing="1" w:line="360" w:lineRule="auto"/>
        <w:rPr>
          <w:rFonts w:ascii="Times New Roman" w:hAnsi="Times New Roman" w:cs="Times New Roman"/>
          <w:bCs/>
          <w:sz w:val="24"/>
          <w:szCs w:val="24"/>
          <w:shd w:val="clear" w:color="auto" w:fill="FFFFFF"/>
        </w:rPr>
      </w:pPr>
      <w:r w:rsidRPr="001F5650">
        <w:rPr>
          <w:rFonts w:ascii="Times New Roman" w:hAnsi="Times New Roman" w:cs="Times New Roman"/>
          <w:b/>
          <w:sz w:val="24"/>
          <w:szCs w:val="24"/>
          <w:shd w:val="clear" w:color="auto" w:fill="FFFFFF"/>
        </w:rPr>
        <w:t>Partnership audit and adjustment rules ––</w:t>
      </w:r>
      <w:r w:rsidRPr="001F5650">
        <w:rPr>
          <w:rFonts w:ascii="Times New Roman" w:hAnsi="Times New Roman" w:cs="Times New Roman"/>
          <w:bCs/>
          <w:sz w:val="24"/>
          <w:szCs w:val="24"/>
          <w:shd w:val="clear" w:color="auto" w:fill="FFFFFF"/>
        </w:rPr>
        <w:t xml:space="preserve"> Changes to the partnership audit and adjustment rules have been in effect for a few years but we are still seeing some partnerships and their partners blindsided at the unpleasant consequences that can arise from these rules. Careful planning today can help mitigate any unfavorable consequences to both the entity and the partners themselves. </w:t>
      </w:r>
    </w:p>
    <w:p w14:paraId="71AE3474" w14:textId="77777777" w:rsidR="00727B69" w:rsidRPr="001F5650" w:rsidRDefault="00727B69" w:rsidP="001F5650">
      <w:pPr>
        <w:pStyle w:val="ListParagraph"/>
        <w:numPr>
          <w:ilvl w:val="0"/>
          <w:numId w:val="2"/>
        </w:numPr>
        <w:spacing w:line="360" w:lineRule="auto"/>
        <w:rPr>
          <w:rFonts w:ascii="Times New Roman" w:eastAsia="Times New Roman" w:hAnsi="Times New Roman" w:cs="Times New Roman"/>
          <w:sz w:val="24"/>
          <w:szCs w:val="24"/>
        </w:rPr>
      </w:pPr>
      <w:r w:rsidRPr="001F5650">
        <w:rPr>
          <w:rFonts w:ascii="Times New Roman" w:eastAsia="Times New Roman" w:hAnsi="Times New Roman" w:cs="Times New Roman"/>
          <w:b/>
          <w:sz w:val="24"/>
          <w:szCs w:val="24"/>
        </w:rPr>
        <w:t xml:space="preserve">State and local tax (SALT) considerations </w:t>
      </w:r>
      <w:r w:rsidRPr="001F5650">
        <w:rPr>
          <w:rFonts w:ascii="Times New Roman" w:eastAsia="Times New Roman" w:hAnsi="Times New Roman" w:cs="Times New Roman"/>
          <w:sz w:val="24"/>
          <w:szCs w:val="24"/>
        </w:rPr>
        <w:t xml:space="preserve">–– Businesses have numerous state and local tax matters to consider for compliance and planning purposes, including where income and sales are subject to tax, sourcing of income and the application of elective taxes that many states have for partnerships and S corporations. Let us help you with your SALT needs, including sales/use and franchises taxes. </w:t>
      </w:r>
    </w:p>
    <w:p w14:paraId="431F3662" w14:textId="77777777" w:rsidR="00727B69" w:rsidRPr="001F5650" w:rsidRDefault="00727B69" w:rsidP="001F5650">
      <w:pPr>
        <w:pStyle w:val="ListParagraph"/>
        <w:numPr>
          <w:ilvl w:val="0"/>
          <w:numId w:val="2"/>
        </w:numPr>
        <w:spacing w:line="360" w:lineRule="auto"/>
        <w:rPr>
          <w:rFonts w:ascii="Times New Roman" w:eastAsia="Times New Roman" w:hAnsi="Times New Roman" w:cs="Times New Roman"/>
          <w:sz w:val="24"/>
          <w:szCs w:val="24"/>
        </w:rPr>
      </w:pPr>
      <w:r w:rsidRPr="001F5650">
        <w:rPr>
          <w:rFonts w:ascii="Times New Roman" w:hAnsi="Times New Roman" w:cs="Times New Roman"/>
          <w:b/>
          <w:sz w:val="24"/>
          <w:szCs w:val="24"/>
          <w:shd w:val="clear" w:color="auto" w:fill="FFFFFF"/>
        </w:rPr>
        <w:t xml:space="preserve">Preparing for disasters </w:t>
      </w:r>
      <w:r w:rsidRPr="001F5650">
        <w:rPr>
          <w:rFonts w:ascii="Times New Roman" w:eastAsia="Times New Roman" w:hAnsi="Times New Roman" w:cs="Times New Roman"/>
          <w:sz w:val="24"/>
          <w:szCs w:val="24"/>
        </w:rPr>
        <w:t xml:space="preserve">–– </w:t>
      </w:r>
      <w:r w:rsidRPr="001F5650">
        <w:rPr>
          <w:rFonts w:ascii="Times New Roman" w:hAnsi="Times New Roman" w:cs="Times New Roman"/>
          <w:sz w:val="24"/>
          <w:szCs w:val="24"/>
          <w:shd w:val="clear" w:color="auto" w:fill="FFFFFF"/>
        </w:rPr>
        <w:t xml:space="preserve">Do you have a disaster recovery plan in place for your business and, if so, have you updated it recently? We can help you review your plan, especially as it relates to financial information. </w:t>
      </w:r>
    </w:p>
    <w:p w14:paraId="1F762B57" w14:textId="77777777" w:rsidR="00727B69" w:rsidRPr="001F5650" w:rsidRDefault="00727B69" w:rsidP="001F5650">
      <w:pPr>
        <w:pStyle w:val="ListParagraph"/>
        <w:numPr>
          <w:ilvl w:val="0"/>
          <w:numId w:val="2"/>
        </w:numPr>
        <w:spacing w:line="360" w:lineRule="auto"/>
        <w:rPr>
          <w:rStyle w:val="Hyperlink"/>
          <w:rFonts w:ascii="Times New Roman" w:hAnsi="Times New Roman" w:cs="Times New Roman"/>
          <w:b/>
          <w:bCs/>
          <w:color w:val="auto"/>
          <w:sz w:val="24"/>
          <w:szCs w:val="24"/>
        </w:rPr>
      </w:pPr>
      <w:r w:rsidRPr="001F5650">
        <w:rPr>
          <w:rStyle w:val="Hyperlink"/>
          <w:rFonts w:ascii="Times New Roman" w:hAnsi="Times New Roman" w:cs="Times New Roman"/>
          <w:b/>
          <w:bCs/>
          <w:color w:val="auto"/>
          <w:sz w:val="24"/>
          <w:szCs w:val="24"/>
        </w:rPr>
        <w:t>Retirement plans</w:t>
      </w:r>
      <w:r w:rsidRPr="001F5650">
        <w:rPr>
          <w:rStyle w:val="Hyperlink"/>
          <w:rFonts w:ascii="Times New Roman" w:hAnsi="Times New Roman" w:cs="Times New Roman"/>
          <w:color w:val="auto"/>
          <w:sz w:val="24"/>
          <w:szCs w:val="24"/>
        </w:rPr>
        <w:t xml:space="preserve"> </w:t>
      </w:r>
      <w:r w:rsidRPr="001F5650">
        <w:rPr>
          <w:rFonts w:ascii="Times New Roman" w:eastAsia="Times New Roman" w:hAnsi="Times New Roman" w:cs="Times New Roman"/>
          <w:sz w:val="24"/>
          <w:szCs w:val="24"/>
        </w:rPr>
        <w:t xml:space="preserve">–– </w:t>
      </w:r>
      <w:r w:rsidRPr="001F5650">
        <w:rPr>
          <w:rStyle w:val="Hyperlink"/>
          <w:rFonts w:ascii="Times New Roman" w:hAnsi="Times New Roman" w:cs="Times New Roman"/>
          <w:color w:val="auto"/>
          <w:sz w:val="24"/>
          <w:szCs w:val="24"/>
        </w:rPr>
        <w:t>Have you revisited your company’s retirement plan lately? Recent legislation has provided new opportunities to consider. Let’s look at the many retirement savings options to make sure that you are taking advantage of tax deductions as well as providing ways for employees (and owners) to save for retirement.</w:t>
      </w:r>
    </w:p>
    <w:p w14:paraId="13696500" w14:textId="77777777" w:rsidR="00727B69" w:rsidRPr="001F5650" w:rsidRDefault="00727B69" w:rsidP="001F5650">
      <w:pPr>
        <w:pStyle w:val="ListParagraph"/>
        <w:numPr>
          <w:ilvl w:val="0"/>
          <w:numId w:val="2"/>
        </w:numPr>
        <w:spacing w:line="360" w:lineRule="auto"/>
        <w:rPr>
          <w:rStyle w:val="Hyperlink"/>
          <w:rFonts w:ascii="Times New Roman" w:hAnsi="Times New Roman" w:cs="Times New Roman"/>
          <w:b/>
          <w:bCs/>
          <w:color w:val="auto"/>
          <w:sz w:val="24"/>
          <w:szCs w:val="24"/>
        </w:rPr>
      </w:pPr>
      <w:r w:rsidRPr="001F5650">
        <w:rPr>
          <w:rStyle w:val="Hyperlink"/>
          <w:rFonts w:ascii="Times New Roman" w:hAnsi="Times New Roman" w:cs="Times New Roman"/>
          <w:b/>
          <w:bCs/>
          <w:color w:val="auto"/>
          <w:sz w:val="24"/>
          <w:szCs w:val="24"/>
        </w:rPr>
        <w:t xml:space="preserve">Employee vs. independent contractor </w:t>
      </w:r>
      <w:r w:rsidRPr="001F5650">
        <w:rPr>
          <w:rFonts w:ascii="Times New Roman" w:eastAsia="Times New Roman" w:hAnsi="Times New Roman" w:cs="Times New Roman"/>
          <w:sz w:val="24"/>
          <w:szCs w:val="24"/>
        </w:rPr>
        <w:t>––</w:t>
      </w:r>
      <w:r w:rsidRPr="001F5650">
        <w:rPr>
          <w:rStyle w:val="Hyperlink"/>
          <w:rFonts w:ascii="Times New Roman" w:hAnsi="Times New Roman" w:cs="Times New Roman"/>
          <w:color w:val="auto"/>
          <w:sz w:val="24"/>
          <w:szCs w:val="24"/>
        </w:rPr>
        <w:t xml:space="preserve"> Ensure all required employment tax filings are up to date and correct. It is important to review worker classification (employee vs. independent contractor) to avoid significant penalties.</w:t>
      </w:r>
    </w:p>
    <w:p w14:paraId="4D5473E9" w14:textId="77777777" w:rsidR="00727B69" w:rsidRPr="001F5650" w:rsidRDefault="00727B69" w:rsidP="001F5650">
      <w:pPr>
        <w:pStyle w:val="ListParagraph"/>
        <w:numPr>
          <w:ilvl w:val="0"/>
          <w:numId w:val="2"/>
        </w:numPr>
        <w:spacing w:line="360" w:lineRule="auto"/>
        <w:rPr>
          <w:rStyle w:val="Hyperlink"/>
          <w:rFonts w:ascii="Times New Roman" w:hAnsi="Times New Roman" w:cs="Times New Roman"/>
          <w:color w:val="auto"/>
          <w:sz w:val="24"/>
          <w:szCs w:val="24"/>
        </w:rPr>
      </w:pPr>
      <w:r w:rsidRPr="001F5650">
        <w:rPr>
          <w:rStyle w:val="Hyperlink"/>
          <w:rFonts w:ascii="Times New Roman" w:hAnsi="Times New Roman" w:cs="Times New Roman"/>
          <w:b/>
          <w:bCs/>
          <w:color w:val="auto"/>
          <w:sz w:val="24"/>
          <w:szCs w:val="24"/>
        </w:rPr>
        <w:lastRenderedPageBreak/>
        <w:t xml:space="preserve">Estimated tax payments </w:t>
      </w:r>
      <w:r w:rsidRPr="001F5650">
        <w:rPr>
          <w:rStyle w:val="Hyperlink"/>
          <w:rFonts w:ascii="Times New Roman" w:hAnsi="Times New Roman" w:cs="Times New Roman"/>
          <w:color w:val="auto"/>
          <w:sz w:val="24"/>
          <w:szCs w:val="24"/>
        </w:rPr>
        <w:t>–– Let’s review your estimated tax payments to ensure they align with your projected income and cash flow. Adjustments now can help avoid surprises and better manage liquidity through year-end.</w:t>
      </w:r>
    </w:p>
    <w:p w14:paraId="3BEF935A" w14:textId="77777777" w:rsidR="00727B69" w:rsidRPr="001F5650" w:rsidRDefault="00727B69" w:rsidP="00727B69">
      <w:pPr>
        <w:spacing w:before="100" w:beforeAutospacing="1" w:line="360" w:lineRule="auto"/>
        <w:rPr>
          <w:b/>
          <w:sz w:val="24"/>
          <w:szCs w:val="24"/>
        </w:rPr>
      </w:pPr>
      <w:r w:rsidRPr="001F5650">
        <w:rPr>
          <w:b/>
          <w:sz w:val="24"/>
          <w:szCs w:val="24"/>
        </w:rPr>
        <w:t>Year-end planning equals fewer surprises</w:t>
      </w:r>
    </w:p>
    <w:p w14:paraId="70F4B823" w14:textId="471B8ADA" w:rsidR="00727B69" w:rsidRPr="001F5650" w:rsidRDefault="00727B69" w:rsidP="00727B69">
      <w:pPr>
        <w:tabs>
          <w:tab w:val="left" w:pos="7200"/>
        </w:tabs>
        <w:spacing w:after="16" w:line="360" w:lineRule="auto"/>
        <w:rPr>
          <w:rFonts w:eastAsia="Calibri"/>
          <w:sz w:val="24"/>
          <w:szCs w:val="24"/>
        </w:rPr>
      </w:pPr>
      <w:r w:rsidRPr="001F5650">
        <w:rPr>
          <w:rFonts w:eastAsia="Calibri"/>
          <w:sz w:val="24"/>
          <w:szCs w:val="24"/>
        </w:rPr>
        <w:t xml:space="preserve">As the year draws to a close, thoughtful planning can help you minimize surprises and position yourself for greater financial success. </w:t>
      </w:r>
      <w:r w:rsidRPr="001F5650">
        <w:rPr>
          <w:rFonts w:eastAsia="Calibri"/>
          <w:sz w:val="24"/>
          <w:szCs w:val="24"/>
        </w:rPr>
        <w:t xml:space="preserve">We are </w:t>
      </w:r>
      <w:r w:rsidRPr="001F5650">
        <w:rPr>
          <w:rFonts w:eastAsia="Calibri"/>
          <w:sz w:val="24"/>
          <w:szCs w:val="24"/>
        </w:rPr>
        <w:t>committed to guiding you through these changes and helping you make informed decisions tailored to your unique situation.</w:t>
      </w:r>
    </w:p>
    <w:p w14:paraId="77490BC0" w14:textId="7690552B" w:rsidR="00727B69" w:rsidRPr="001F5650" w:rsidRDefault="00727B69" w:rsidP="00727B69">
      <w:pPr>
        <w:tabs>
          <w:tab w:val="left" w:pos="7200"/>
        </w:tabs>
        <w:spacing w:after="16" w:line="360" w:lineRule="auto"/>
        <w:rPr>
          <w:rFonts w:eastAsia="Calibri"/>
          <w:sz w:val="24"/>
          <w:szCs w:val="24"/>
        </w:rPr>
      </w:pPr>
      <w:r w:rsidRPr="001F5650">
        <w:rPr>
          <w:rFonts w:eastAsia="Calibri"/>
          <w:sz w:val="24"/>
          <w:szCs w:val="24"/>
        </w:rPr>
        <w:t xml:space="preserve">We encourage you to </w:t>
      </w:r>
      <w:proofErr w:type="gramStart"/>
      <w:r w:rsidRPr="001F5650">
        <w:rPr>
          <w:rFonts w:eastAsia="Calibri"/>
          <w:sz w:val="24"/>
          <w:szCs w:val="24"/>
        </w:rPr>
        <w:t>reach out to</w:t>
      </w:r>
      <w:proofErr w:type="gramEnd"/>
      <w:r w:rsidRPr="001F5650">
        <w:rPr>
          <w:rFonts w:eastAsia="Calibri"/>
          <w:sz w:val="24"/>
          <w:szCs w:val="24"/>
        </w:rPr>
        <w:t xml:space="preserve"> our office at </w:t>
      </w:r>
      <w:r w:rsidRPr="001F5650">
        <w:rPr>
          <w:rFonts w:eastAsia="Calibri"/>
          <w:sz w:val="24"/>
          <w:szCs w:val="24"/>
        </w:rPr>
        <w:t>(520)623-8784</w:t>
      </w:r>
      <w:r w:rsidRPr="001F5650">
        <w:rPr>
          <w:rFonts w:eastAsia="Calibri"/>
          <w:sz w:val="24"/>
          <w:szCs w:val="24"/>
        </w:rPr>
        <w:t xml:space="preserve"> to schedule your personalized year-end review. Together, we can identify opportunities, address any concerns, and ensure your tax and financial strategies are aligned with your goals.</w:t>
      </w:r>
    </w:p>
    <w:p w14:paraId="76C87FF6" w14:textId="77777777" w:rsidR="00727B69" w:rsidRPr="001F5650" w:rsidRDefault="00727B69" w:rsidP="00727B69">
      <w:pPr>
        <w:tabs>
          <w:tab w:val="left" w:pos="7200"/>
        </w:tabs>
        <w:spacing w:after="16" w:line="360" w:lineRule="auto"/>
        <w:rPr>
          <w:rFonts w:eastAsia="Calibri"/>
          <w:sz w:val="24"/>
          <w:szCs w:val="24"/>
        </w:rPr>
      </w:pPr>
    </w:p>
    <w:p w14:paraId="1D584BA2" w14:textId="2DCFF7F6" w:rsidR="00727B69" w:rsidRPr="001F5650" w:rsidRDefault="00727B69" w:rsidP="00727B69">
      <w:pPr>
        <w:tabs>
          <w:tab w:val="left" w:pos="7200"/>
        </w:tabs>
        <w:spacing w:after="16" w:line="360" w:lineRule="auto"/>
        <w:rPr>
          <w:rFonts w:eastAsia="Calibri"/>
          <w:sz w:val="24"/>
          <w:szCs w:val="24"/>
        </w:rPr>
      </w:pPr>
      <w:r w:rsidRPr="001F5650">
        <w:rPr>
          <w:rFonts w:eastAsia="Calibri"/>
          <w:sz w:val="24"/>
          <w:szCs w:val="24"/>
        </w:rPr>
        <w:t xml:space="preserve">As always, we appreciate your business and continue to be </w:t>
      </w:r>
      <w:proofErr w:type="spellStart"/>
      <w:r w:rsidRPr="001F5650">
        <w:rPr>
          <w:rFonts w:eastAsia="Calibri"/>
          <w:sz w:val="24"/>
          <w:szCs w:val="24"/>
        </w:rPr>
        <w:t>greatful</w:t>
      </w:r>
      <w:proofErr w:type="spellEnd"/>
      <w:r w:rsidRPr="001F5650">
        <w:rPr>
          <w:rFonts w:eastAsia="Calibri"/>
          <w:sz w:val="24"/>
          <w:szCs w:val="24"/>
        </w:rPr>
        <w:t>.</w:t>
      </w:r>
    </w:p>
    <w:p w14:paraId="23E75B7C" w14:textId="77777777" w:rsidR="00727B69" w:rsidRPr="001F5650" w:rsidRDefault="00727B69" w:rsidP="00727B69">
      <w:pPr>
        <w:tabs>
          <w:tab w:val="left" w:pos="7200"/>
        </w:tabs>
        <w:spacing w:after="16" w:line="360" w:lineRule="auto"/>
        <w:rPr>
          <w:rFonts w:eastAsiaTheme="minorHAnsi"/>
          <w:sz w:val="24"/>
          <w:szCs w:val="24"/>
        </w:rPr>
      </w:pPr>
    </w:p>
    <w:p w14:paraId="5F5A4204" w14:textId="77777777" w:rsidR="00727B69" w:rsidRPr="001F5650" w:rsidRDefault="00727B69" w:rsidP="00727B69">
      <w:pPr>
        <w:tabs>
          <w:tab w:val="left" w:pos="7200"/>
        </w:tabs>
        <w:spacing w:line="360" w:lineRule="auto"/>
        <w:rPr>
          <w:rFonts w:eastAsia="Calibri"/>
          <w:sz w:val="24"/>
          <w:szCs w:val="24"/>
        </w:rPr>
      </w:pPr>
      <w:r w:rsidRPr="001F5650">
        <w:rPr>
          <w:sz w:val="24"/>
          <w:szCs w:val="24"/>
        </w:rPr>
        <w:t xml:space="preserve">Sincerely, </w:t>
      </w:r>
    </w:p>
    <w:p w14:paraId="24A38E30" w14:textId="77777777" w:rsidR="00727B69" w:rsidRPr="001F5650" w:rsidRDefault="00727B69" w:rsidP="00727B69">
      <w:pPr>
        <w:tabs>
          <w:tab w:val="left" w:pos="7200"/>
        </w:tabs>
        <w:spacing w:line="360" w:lineRule="auto"/>
        <w:rPr>
          <w:rFonts w:eastAsia="Calibri"/>
          <w:sz w:val="24"/>
          <w:szCs w:val="24"/>
        </w:rPr>
      </w:pPr>
    </w:p>
    <w:p w14:paraId="76BEA26C" w14:textId="77777777" w:rsidR="00727B69" w:rsidRPr="001F5650" w:rsidRDefault="00727B69" w:rsidP="00727B69">
      <w:pPr>
        <w:tabs>
          <w:tab w:val="left" w:pos="7200"/>
        </w:tabs>
        <w:spacing w:line="360" w:lineRule="auto"/>
        <w:rPr>
          <w:rFonts w:eastAsia="Calibri"/>
          <w:sz w:val="24"/>
          <w:szCs w:val="24"/>
        </w:rPr>
      </w:pPr>
      <w:r w:rsidRPr="001F5650">
        <w:rPr>
          <w:rFonts w:eastAsia="Calibri"/>
          <w:sz w:val="24"/>
          <w:szCs w:val="24"/>
        </w:rPr>
        <w:t xml:space="preserve">Joe Cruz, </w:t>
      </w:r>
      <w:proofErr w:type="spellStart"/>
      <w:r w:rsidRPr="001F5650">
        <w:rPr>
          <w:rFonts w:eastAsia="Calibri"/>
          <w:sz w:val="24"/>
          <w:szCs w:val="24"/>
        </w:rPr>
        <w:t>CAP</w:t>
      </w:r>
      <w:r w:rsidRPr="001F5650">
        <w:rPr>
          <w:rFonts w:eastAsia="Calibri"/>
          <w:sz w:val="24"/>
          <w:szCs w:val="24"/>
        </w:rPr>
        <w:t>Date</w:t>
      </w:r>
      <w:proofErr w:type="spellEnd"/>
      <w:r w:rsidRPr="001F5650">
        <w:rPr>
          <w:rFonts w:eastAsia="Calibri"/>
          <w:sz w:val="24"/>
          <w:szCs w:val="24"/>
        </w:rPr>
        <w:t xml:space="preserve">, Firm logo </w:t>
      </w:r>
    </w:p>
    <w:sectPr w:rsidR="00727B69" w:rsidRPr="001F5650">
      <w:headerReference w:type="default" r:id="rId7"/>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0D9C1" w14:textId="77777777" w:rsidR="00AC617C" w:rsidRDefault="00AC617C">
      <w:r>
        <w:separator/>
      </w:r>
    </w:p>
  </w:endnote>
  <w:endnote w:type="continuationSeparator" w:id="0">
    <w:p w14:paraId="0F81EBB5" w14:textId="77777777" w:rsidR="00AC617C" w:rsidRDefault="00AC6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88A73" w14:textId="7D4CCD87" w:rsidR="00727B69" w:rsidRDefault="00727B69">
    <w:pPr>
      <w:pStyle w:val="Footer"/>
    </w:pPr>
    <w:r>
      <w:t>Courtesy of Cruz Consulting LLC</w:t>
    </w:r>
    <w:r>
      <w:tab/>
    </w:r>
    <w:r>
      <w:tab/>
      <w:t>November 11,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CC750" w14:textId="77777777" w:rsidR="00AC617C" w:rsidRDefault="00AC617C">
      <w:r>
        <w:separator/>
      </w:r>
    </w:p>
  </w:footnote>
  <w:footnote w:type="continuationSeparator" w:id="0">
    <w:p w14:paraId="698BEBF5" w14:textId="77777777" w:rsidR="00AC617C" w:rsidRDefault="00AC61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A314F" w14:textId="77777777" w:rsidR="007F3888" w:rsidRDefault="007F388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02CE4"/>
    <w:multiLevelType w:val="hybridMultilevel"/>
    <w:tmpl w:val="E8A0F816"/>
    <w:lvl w:ilvl="0" w:tplc="E8129E0E">
      <w:start w:val="1"/>
      <w:numFmt w:val="bullet"/>
      <w:pStyle w:val="List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D9B74F4"/>
    <w:multiLevelType w:val="hybridMultilevel"/>
    <w:tmpl w:val="99886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0326014">
    <w:abstractNumId w:val="0"/>
  </w:num>
  <w:num w:numId="2" w16cid:durableId="242030315">
    <w:abstractNumId w:val="1"/>
    <w:lvlOverride w:ilvl="0"/>
    <w:lvlOverride w:ilvl="1"/>
    <w:lvlOverride w:ilvl="2"/>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3F3"/>
    <w:rsid w:val="00016E41"/>
    <w:rsid w:val="0001711C"/>
    <w:rsid w:val="0004085D"/>
    <w:rsid w:val="000519AB"/>
    <w:rsid w:val="00062FC2"/>
    <w:rsid w:val="00073B0E"/>
    <w:rsid w:val="000806BB"/>
    <w:rsid w:val="000811A4"/>
    <w:rsid w:val="00094B3A"/>
    <w:rsid w:val="000C7EE9"/>
    <w:rsid w:val="000D60DD"/>
    <w:rsid w:val="000F360D"/>
    <w:rsid w:val="001021BC"/>
    <w:rsid w:val="00163E16"/>
    <w:rsid w:val="001924FE"/>
    <w:rsid w:val="0019654A"/>
    <w:rsid w:val="001A2F41"/>
    <w:rsid w:val="001B7C85"/>
    <w:rsid w:val="001C070A"/>
    <w:rsid w:val="001C564F"/>
    <w:rsid w:val="001C7E1A"/>
    <w:rsid w:val="001E0BB8"/>
    <w:rsid w:val="001E4BE1"/>
    <w:rsid w:val="001F5650"/>
    <w:rsid w:val="00211A1E"/>
    <w:rsid w:val="00211BC0"/>
    <w:rsid w:val="00215382"/>
    <w:rsid w:val="002248A8"/>
    <w:rsid w:val="002533D0"/>
    <w:rsid w:val="00256D09"/>
    <w:rsid w:val="002926E8"/>
    <w:rsid w:val="002A4067"/>
    <w:rsid w:val="002C11B8"/>
    <w:rsid w:val="002E2A89"/>
    <w:rsid w:val="002E2CB0"/>
    <w:rsid w:val="002F693D"/>
    <w:rsid w:val="00352532"/>
    <w:rsid w:val="00371D57"/>
    <w:rsid w:val="0038734D"/>
    <w:rsid w:val="00390FDD"/>
    <w:rsid w:val="003C41D7"/>
    <w:rsid w:val="003F1C49"/>
    <w:rsid w:val="003F347C"/>
    <w:rsid w:val="003F396C"/>
    <w:rsid w:val="004147B7"/>
    <w:rsid w:val="00434D60"/>
    <w:rsid w:val="0044388C"/>
    <w:rsid w:val="004878C3"/>
    <w:rsid w:val="004A27B8"/>
    <w:rsid w:val="004B56B8"/>
    <w:rsid w:val="004C03F8"/>
    <w:rsid w:val="005210A9"/>
    <w:rsid w:val="00524235"/>
    <w:rsid w:val="005258DC"/>
    <w:rsid w:val="0055361C"/>
    <w:rsid w:val="005547B3"/>
    <w:rsid w:val="00570A76"/>
    <w:rsid w:val="00577F02"/>
    <w:rsid w:val="00597B09"/>
    <w:rsid w:val="005F01F2"/>
    <w:rsid w:val="00600BF4"/>
    <w:rsid w:val="00603370"/>
    <w:rsid w:val="006123D2"/>
    <w:rsid w:val="006421F7"/>
    <w:rsid w:val="00655060"/>
    <w:rsid w:val="0066296B"/>
    <w:rsid w:val="00664DD9"/>
    <w:rsid w:val="006A066B"/>
    <w:rsid w:val="006A7DB9"/>
    <w:rsid w:val="006B011A"/>
    <w:rsid w:val="006D536E"/>
    <w:rsid w:val="006E7581"/>
    <w:rsid w:val="00727B69"/>
    <w:rsid w:val="0073272F"/>
    <w:rsid w:val="00743C62"/>
    <w:rsid w:val="00751563"/>
    <w:rsid w:val="0076668F"/>
    <w:rsid w:val="00790760"/>
    <w:rsid w:val="00793984"/>
    <w:rsid w:val="007A2AF3"/>
    <w:rsid w:val="007A42E7"/>
    <w:rsid w:val="007B603A"/>
    <w:rsid w:val="007C69C3"/>
    <w:rsid w:val="007D23EF"/>
    <w:rsid w:val="007F3888"/>
    <w:rsid w:val="00805692"/>
    <w:rsid w:val="0080700F"/>
    <w:rsid w:val="00851561"/>
    <w:rsid w:val="0085307D"/>
    <w:rsid w:val="0086630B"/>
    <w:rsid w:val="008D64C3"/>
    <w:rsid w:val="00913520"/>
    <w:rsid w:val="00973FCC"/>
    <w:rsid w:val="009A5130"/>
    <w:rsid w:val="009C71D2"/>
    <w:rsid w:val="009C74BE"/>
    <w:rsid w:val="009E433C"/>
    <w:rsid w:val="009F0AE3"/>
    <w:rsid w:val="00A02647"/>
    <w:rsid w:val="00A533A5"/>
    <w:rsid w:val="00A61288"/>
    <w:rsid w:val="00A84E44"/>
    <w:rsid w:val="00AC617C"/>
    <w:rsid w:val="00AF5DFD"/>
    <w:rsid w:val="00B01896"/>
    <w:rsid w:val="00B1431A"/>
    <w:rsid w:val="00B5050B"/>
    <w:rsid w:val="00B60487"/>
    <w:rsid w:val="00B651A9"/>
    <w:rsid w:val="00B73BBF"/>
    <w:rsid w:val="00B83445"/>
    <w:rsid w:val="00BB13F3"/>
    <w:rsid w:val="00C14F3E"/>
    <w:rsid w:val="00C2469C"/>
    <w:rsid w:val="00C7404E"/>
    <w:rsid w:val="00C75075"/>
    <w:rsid w:val="00C77935"/>
    <w:rsid w:val="00C92260"/>
    <w:rsid w:val="00CA1A45"/>
    <w:rsid w:val="00CC5135"/>
    <w:rsid w:val="00D032A4"/>
    <w:rsid w:val="00D36265"/>
    <w:rsid w:val="00D55190"/>
    <w:rsid w:val="00D920C6"/>
    <w:rsid w:val="00DD32D6"/>
    <w:rsid w:val="00DE629E"/>
    <w:rsid w:val="00E1172A"/>
    <w:rsid w:val="00E160E7"/>
    <w:rsid w:val="00E35B4C"/>
    <w:rsid w:val="00E7097A"/>
    <w:rsid w:val="00E83FE3"/>
    <w:rsid w:val="00ED0E81"/>
    <w:rsid w:val="00EF3C1A"/>
    <w:rsid w:val="00F110C6"/>
    <w:rsid w:val="00F74B48"/>
    <w:rsid w:val="00F84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7A3127"/>
  <w15:chartTrackingRefBased/>
  <w15:docId w15:val="{E77129AE-69B4-4E5B-A653-F1572A6EF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ind w:left="720"/>
      <w:jc w:val="both"/>
      <w:outlineLvl w:val="2"/>
    </w:pPr>
    <w:rPr>
      <w:sz w:val="24"/>
      <w:u w:val="single"/>
    </w:rPr>
  </w:style>
  <w:style w:type="paragraph" w:styleId="Heading4">
    <w:name w:val="heading 4"/>
    <w:basedOn w:val="Normal"/>
    <w:next w:val="Normal"/>
    <w:qFormat/>
    <w:pPr>
      <w:keepNext/>
      <w:outlineLvl w:val="3"/>
    </w:pPr>
    <w:rPr>
      <w:b/>
      <w:sz w:val="28"/>
    </w:rPr>
  </w:style>
  <w:style w:type="paragraph" w:styleId="Heading5">
    <w:name w:val="heading 5"/>
    <w:basedOn w:val="Normal"/>
    <w:next w:val="Normal"/>
    <w:qFormat/>
    <w:pPr>
      <w:keepNext/>
      <w:jc w:val="both"/>
      <w:outlineLvl w:val="4"/>
    </w:pPr>
    <w:rPr>
      <w:b/>
      <w:i/>
      <w:sz w:val="32"/>
    </w:rPr>
  </w:style>
  <w:style w:type="paragraph" w:styleId="Heading6">
    <w:name w:val="heading 6"/>
    <w:basedOn w:val="Normal"/>
    <w:next w:val="Normal"/>
    <w:qFormat/>
    <w:pPr>
      <w:keepNext/>
      <w:jc w:val="both"/>
      <w:outlineLvl w:val="5"/>
    </w:pPr>
    <w:rPr>
      <w:i/>
      <w:sz w:val="28"/>
    </w:rPr>
  </w:style>
  <w:style w:type="paragraph" w:styleId="Heading7">
    <w:name w:val="heading 7"/>
    <w:basedOn w:val="Normal"/>
    <w:next w:val="Normal"/>
    <w:qFormat/>
    <w:pPr>
      <w:keepNext/>
      <w:jc w:val="both"/>
      <w:outlineLvl w:val="6"/>
    </w:pPr>
    <w:rPr>
      <w:b/>
      <w:bCs/>
      <w:i/>
      <w:iCs/>
      <w:sz w:val="28"/>
    </w:rPr>
  </w:style>
  <w:style w:type="paragraph" w:styleId="Heading8">
    <w:name w:val="heading 8"/>
    <w:basedOn w:val="Normal"/>
    <w:next w:val="Normal"/>
    <w:qFormat/>
    <w:pPr>
      <w:keepNext/>
      <w:jc w:val="both"/>
      <w:outlineLvl w:val="7"/>
    </w:pPr>
    <w:rPr>
      <w:b/>
      <w:bCs/>
      <w:i/>
      <w:iCs/>
      <w:sz w:val="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jc w:val="center"/>
    </w:pPr>
    <w:rPr>
      <w:i/>
      <w:sz w:val="36"/>
    </w:rPr>
  </w:style>
  <w:style w:type="paragraph" w:styleId="Subtitle">
    <w:name w:val="Subtitle"/>
    <w:basedOn w:val="Normal"/>
    <w:qFormat/>
    <w:pPr>
      <w:pBdr>
        <w:bottom w:val="single" w:sz="12" w:space="1" w:color="auto"/>
      </w:pBdr>
      <w:jc w:val="center"/>
    </w:pPr>
    <w:rPr>
      <w:b/>
      <w:sz w:val="24"/>
    </w:rPr>
  </w:style>
  <w:style w:type="paragraph" w:styleId="BodyText">
    <w:name w:val="Body Text"/>
    <w:basedOn w:val="Normal"/>
    <w:semiHidden/>
    <w:rPr>
      <w:sz w:val="24"/>
    </w:rPr>
  </w:style>
  <w:style w:type="paragraph" w:styleId="BodyText2">
    <w:name w:val="Body Text 2"/>
    <w:basedOn w:val="Normal"/>
    <w:semiHidden/>
    <w:pPr>
      <w:jc w:val="both"/>
    </w:pPr>
    <w:rPr>
      <w:sz w:val="24"/>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rPr>
  </w:style>
  <w:style w:type="paragraph" w:styleId="ListBullet">
    <w:name w:val="List Bullet"/>
    <w:basedOn w:val="Normal"/>
    <w:autoRedefine/>
    <w:semiHidden/>
    <w:pPr>
      <w:numPr>
        <w:numId w:val="1"/>
      </w:numPr>
    </w:pPr>
  </w:style>
  <w:style w:type="paragraph" w:styleId="BalloonText">
    <w:name w:val="Balloon Text"/>
    <w:basedOn w:val="Normal"/>
    <w:link w:val="BalloonTextChar"/>
    <w:uiPriority w:val="99"/>
    <w:semiHidden/>
    <w:unhideWhenUsed/>
    <w:rsid w:val="00BB13F3"/>
    <w:rPr>
      <w:rFonts w:ascii="Segoe UI" w:hAnsi="Segoe UI" w:cs="Segoe UI"/>
      <w:sz w:val="18"/>
      <w:szCs w:val="18"/>
    </w:rPr>
  </w:style>
  <w:style w:type="character" w:customStyle="1" w:styleId="BalloonTextChar">
    <w:name w:val="Balloon Text Char"/>
    <w:link w:val="BalloonText"/>
    <w:uiPriority w:val="99"/>
    <w:semiHidden/>
    <w:rsid w:val="00BB13F3"/>
    <w:rPr>
      <w:rFonts w:ascii="Segoe UI" w:hAnsi="Segoe UI" w:cs="Segoe UI"/>
      <w:sz w:val="18"/>
      <w:szCs w:val="18"/>
    </w:rPr>
  </w:style>
  <w:style w:type="character" w:styleId="Hyperlink">
    <w:name w:val="Hyperlink"/>
    <w:basedOn w:val="DefaultParagraphFont"/>
    <w:uiPriority w:val="99"/>
    <w:unhideWhenUsed/>
    <w:rsid w:val="003F396C"/>
    <w:rPr>
      <w:color w:val="0000FF"/>
      <w:u w:val="single"/>
    </w:rPr>
  </w:style>
  <w:style w:type="paragraph" w:styleId="ListParagraph">
    <w:name w:val="List Paragraph"/>
    <w:basedOn w:val="Normal"/>
    <w:uiPriority w:val="34"/>
    <w:qFormat/>
    <w:rsid w:val="003F396C"/>
    <w:pPr>
      <w:spacing w:after="160" w:line="259" w:lineRule="auto"/>
      <w:ind w:left="720"/>
      <w:contextualSpacing/>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E62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5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5</Pages>
  <Words>1322</Words>
  <Characters>7221</Characters>
  <Application>Microsoft Office Word</Application>
  <DocSecurity>0</DocSecurity>
  <Lines>131</Lines>
  <Paragraphs>54</Paragraphs>
  <ScaleCrop>false</ScaleCrop>
  <HeadingPairs>
    <vt:vector size="2" baseType="variant">
      <vt:variant>
        <vt:lpstr>Title</vt:lpstr>
      </vt:variant>
      <vt:variant>
        <vt:i4>1</vt:i4>
      </vt:variant>
    </vt:vector>
  </HeadingPairs>
  <TitlesOfParts>
    <vt:vector size="1" baseType="lpstr">
      <vt:lpstr>August 16, 1999</vt:lpstr>
    </vt:vector>
  </TitlesOfParts>
  <Company>Dell Computer Corporation</Company>
  <LinksUpToDate>false</LinksUpToDate>
  <CharactersWithSpaces>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16, 1999</dc:title>
  <dc:subject/>
  <dc:creator>JOE CRUZ, CPA</dc:creator>
  <cp:keywords/>
  <cp:lastModifiedBy>JOE CRUZ</cp:lastModifiedBy>
  <cp:revision>3</cp:revision>
  <cp:lastPrinted>2025-10-24T00:53:00Z</cp:lastPrinted>
  <dcterms:created xsi:type="dcterms:W3CDTF">2025-11-11T23:10:00Z</dcterms:created>
  <dcterms:modified xsi:type="dcterms:W3CDTF">2025-11-11T23:10:00Z</dcterms:modified>
</cp:coreProperties>
</file>