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B80D5" w14:textId="77777777" w:rsidR="0066266A" w:rsidRPr="0066266A" w:rsidRDefault="0066266A" w:rsidP="00976761">
      <w:pPr>
        <w:spacing w:after="0"/>
        <w:rPr>
          <w:rFonts w:ascii="Calibri" w:eastAsia="Calibri" w:hAnsi="Calibri" w:cs="Times New Roman"/>
          <w:bCs/>
          <w:sz w:val="24"/>
          <w:szCs w:val="24"/>
        </w:rPr>
      </w:pPr>
      <w:r w:rsidRPr="0066266A">
        <w:rPr>
          <w:rFonts w:ascii="Calibri" w:eastAsia="Calibri" w:hAnsi="Calibri" w:cs="Times New Roman"/>
          <w:bCs/>
          <w:sz w:val="24"/>
          <w:szCs w:val="24"/>
        </w:rPr>
        <w:t>Conservation Corner</w:t>
      </w:r>
    </w:p>
    <w:p w14:paraId="61FA2599" w14:textId="77777777" w:rsidR="0066266A" w:rsidRPr="0066266A" w:rsidRDefault="0066266A" w:rsidP="0066266A">
      <w:pPr>
        <w:rPr>
          <w:rFonts w:ascii="Calibri" w:eastAsia="Calibri" w:hAnsi="Calibri" w:cs="Times New Roman"/>
          <w:bCs/>
          <w:i/>
          <w:sz w:val="24"/>
          <w:szCs w:val="24"/>
        </w:rPr>
      </w:pPr>
      <w:r w:rsidRPr="0066266A">
        <w:rPr>
          <w:rFonts w:ascii="Calibri" w:eastAsia="Calibri" w:hAnsi="Calibri" w:cs="Times New Roman"/>
          <w:bCs/>
          <w:noProof/>
          <w:sz w:val="24"/>
          <w:szCs w:val="24"/>
        </w:rPr>
        <w:drawing>
          <wp:inline distT="0" distB="0" distL="0" distR="0" wp14:anchorId="6CE8C14F" wp14:editId="384CD329">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66266A">
        <w:rPr>
          <w:rFonts w:ascii="Calibri" w:eastAsia="Calibri" w:hAnsi="Calibri" w:cs="Times New Roman"/>
          <w:bCs/>
          <w:i/>
          <w:sz w:val="24"/>
          <w:szCs w:val="24"/>
        </w:rPr>
        <w:t xml:space="preserve">Conservation Corner is a weekly article produced by the Forest County Land &amp;Water Conservation Department. For more information contact Steve Kircher, County Conservationist-Land Information/GIS Director at 715-478-1387 or by e-mail at </w:t>
      </w:r>
      <w:hyperlink r:id="rId9" w:history="1">
        <w:r w:rsidRPr="0066266A">
          <w:rPr>
            <w:rFonts w:ascii="Calibri" w:eastAsia="Calibri" w:hAnsi="Calibri" w:cs="Times New Roman"/>
            <w:bCs/>
            <w:i/>
            <w:color w:val="0563C1"/>
            <w:sz w:val="24"/>
            <w:szCs w:val="24"/>
            <w:u w:val="single"/>
          </w:rPr>
          <w:t>lcc@co.forest.wi.us</w:t>
        </w:r>
      </w:hyperlink>
      <w:r w:rsidRPr="0066266A">
        <w:rPr>
          <w:rFonts w:ascii="Calibri" w:eastAsia="Calibri" w:hAnsi="Calibri" w:cs="Times New Roman"/>
          <w:bCs/>
          <w:i/>
          <w:sz w:val="24"/>
          <w:szCs w:val="24"/>
        </w:rPr>
        <w:t xml:space="preserve">. </w:t>
      </w:r>
    </w:p>
    <w:p w14:paraId="2D4C3F0B" w14:textId="673375C7" w:rsidR="00D75B87" w:rsidRPr="00D75B87" w:rsidRDefault="00D75B87" w:rsidP="00D75B87">
      <w:pPr>
        <w:rPr>
          <w:rFonts w:ascii="Tahoma" w:hAnsi="Tahoma" w:cs="Tahoma"/>
          <w:b/>
          <w:bCs/>
          <w:sz w:val="24"/>
        </w:rPr>
      </w:pPr>
      <w:r w:rsidRPr="00D75B87">
        <w:rPr>
          <w:rFonts w:ascii="Tahoma" w:hAnsi="Tahoma" w:cs="Tahoma"/>
          <w:b/>
          <w:bCs/>
          <w:sz w:val="24"/>
        </w:rPr>
        <w:t>Great Lakes AIS Landing Blitz</w:t>
      </w:r>
    </w:p>
    <w:p w14:paraId="611B434A" w14:textId="77777777" w:rsidR="00D75B87" w:rsidRPr="00D75B87" w:rsidRDefault="00D75B87" w:rsidP="00D75B87">
      <w:pPr>
        <w:rPr>
          <w:rFonts w:ascii="Tahoma" w:hAnsi="Tahoma" w:cs="Tahoma"/>
          <w:bCs/>
          <w:sz w:val="24"/>
        </w:rPr>
      </w:pPr>
      <w:r w:rsidRPr="00D75B87">
        <w:rPr>
          <w:rFonts w:ascii="Tahoma" w:hAnsi="Tahoma" w:cs="Tahoma"/>
          <w:bCs/>
          <w:sz w:val="24"/>
        </w:rPr>
        <w:t>Boaters and other recreators learn about the risks of spreading aquatic invasive species (AIS) at public and private boating access sites across the Great Lakes region every summer. The Great Lakes AIS “Landing Blitz” events take place over a two-week period, emphasizing the need to </w:t>
      </w:r>
      <w:r w:rsidRPr="00D75B87">
        <w:rPr>
          <w:rFonts w:ascii="Tahoma" w:hAnsi="Tahoma" w:cs="Tahoma"/>
          <w:b/>
          <w:bCs/>
          <w:sz w:val="24"/>
        </w:rPr>
        <w:t>Clean, Drain, Dry </w:t>
      </w:r>
      <w:r w:rsidRPr="00D75B87">
        <w:rPr>
          <w:rFonts w:ascii="Tahoma" w:hAnsi="Tahoma" w:cs="Tahoma"/>
          <w:bCs/>
          <w:sz w:val="24"/>
        </w:rPr>
        <w:t>boats whenever they come out of the water, and </w:t>
      </w:r>
      <w:r w:rsidRPr="00D75B87">
        <w:rPr>
          <w:rFonts w:ascii="Tahoma" w:hAnsi="Tahoma" w:cs="Tahoma"/>
          <w:b/>
          <w:bCs/>
          <w:sz w:val="24"/>
        </w:rPr>
        <w:t>Dispose </w:t>
      </w:r>
      <w:r w:rsidRPr="00D75B87">
        <w:rPr>
          <w:rFonts w:ascii="Tahoma" w:hAnsi="Tahoma" w:cs="Tahoma"/>
          <w:bCs/>
          <w:sz w:val="24"/>
        </w:rPr>
        <w:t>of any unwanted bait in the trash.</w:t>
      </w:r>
    </w:p>
    <w:p w14:paraId="6DF153DC" w14:textId="77777777" w:rsidR="00D75B87" w:rsidRPr="00D75B87" w:rsidRDefault="00D75B87" w:rsidP="00D75B87">
      <w:pPr>
        <w:rPr>
          <w:rFonts w:ascii="Tahoma" w:hAnsi="Tahoma" w:cs="Tahoma"/>
          <w:bCs/>
          <w:sz w:val="24"/>
        </w:rPr>
      </w:pPr>
      <w:r w:rsidRPr="00D75B87">
        <w:rPr>
          <w:rFonts w:ascii="Tahoma" w:hAnsi="Tahoma" w:cs="Tahoma"/>
          <w:bCs/>
          <w:sz w:val="24"/>
        </w:rPr>
        <w:t xml:space="preserve">Local </w:t>
      </w:r>
      <w:proofErr w:type="gramStart"/>
      <w:r w:rsidRPr="00D75B87">
        <w:rPr>
          <w:rFonts w:ascii="Tahoma" w:hAnsi="Tahoma" w:cs="Tahoma"/>
          <w:bCs/>
          <w:sz w:val="24"/>
        </w:rPr>
        <w:t>volunteers</w:t>
      </w:r>
      <w:proofErr w:type="gramEnd"/>
      <w:r w:rsidRPr="00D75B87">
        <w:rPr>
          <w:rFonts w:ascii="Tahoma" w:hAnsi="Tahoma" w:cs="Tahoma"/>
          <w:bCs/>
          <w:sz w:val="24"/>
        </w:rPr>
        <w:t xml:space="preserve"> partner with state and provincial agencies to deliver consistent messaging about preventing the introduction and spread of AIS from the movement of watercraft and equipment between water bodies. Information on these events, including educational materials, locations and volunteer opportunities are posted on this page as they become available.</w:t>
      </w:r>
    </w:p>
    <w:p w14:paraId="5E2B00ED" w14:textId="5B72D695" w:rsidR="00D75B87" w:rsidRDefault="00D75B87" w:rsidP="00D75B87">
      <w:pPr>
        <w:rPr>
          <w:rFonts w:ascii="Tahoma" w:hAnsi="Tahoma" w:cs="Tahoma"/>
          <w:bCs/>
          <w:sz w:val="24"/>
        </w:rPr>
      </w:pPr>
      <w:r w:rsidRPr="00D75B87">
        <w:rPr>
          <w:rFonts w:ascii="Tahoma" w:hAnsi="Tahoma" w:cs="Tahoma"/>
          <w:bCs/>
          <w:sz w:val="24"/>
        </w:rPr>
        <w:t>The Great Lakes AIS Landing Blitz is a multi-agency partnership effort. The 2020 event will take place between June 28 – July 5. Partners may also schedule additional events outside of these dates</w:t>
      </w:r>
      <w:r w:rsidR="009058F7">
        <w:rPr>
          <w:rFonts w:ascii="Tahoma" w:hAnsi="Tahoma" w:cs="Tahoma"/>
          <w:bCs/>
          <w:sz w:val="24"/>
        </w:rPr>
        <w:t xml:space="preserve">.  </w:t>
      </w:r>
    </w:p>
    <w:p w14:paraId="5F9F0538" w14:textId="7D37A0E6" w:rsidR="00976761" w:rsidRDefault="00976761" w:rsidP="00D75B87">
      <w:pPr>
        <w:rPr>
          <w:rFonts w:ascii="Tahoma" w:hAnsi="Tahoma" w:cs="Tahoma"/>
          <w:bCs/>
          <w:sz w:val="24"/>
        </w:rPr>
      </w:pPr>
      <w:r>
        <w:rPr>
          <w:rFonts w:ascii="Tahoma" w:hAnsi="Tahoma" w:cs="Tahoma"/>
          <w:bCs/>
          <w:sz w:val="24"/>
        </w:rPr>
        <w:t>Remember, as a boater you should:</w:t>
      </w:r>
    </w:p>
    <w:p w14:paraId="1D6859CF" w14:textId="2CDAA82F" w:rsidR="009058F7" w:rsidRPr="009058F7" w:rsidRDefault="00976761" w:rsidP="009058F7">
      <w:pPr>
        <w:spacing w:after="0" w:line="240" w:lineRule="auto"/>
        <w:textAlignment w:val="baseline"/>
        <w:rPr>
          <w:rFonts w:ascii="Helvetica" w:eastAsia="Times New Roman" w:hAnsi="Helvetica" w:cs="Helvetica"/>
          <w:color w:val="606060"/>
          <w:sz w:val="27"/>
          <w:szCs w:val="27"/>
        </w:rPr>
      </w:pPr>
      <w:r>
        <w:rPr>
          <w:rFonts w:ascii="Helvetica" w:eastAsia="Times New Roman" w:hAnsi="Helvetica" w:cs="Helvetica"/>
          <w:b/>
          <w:bCs/>
          <w:color w:val="E02B20"/>
          <w:sz w:val="27"/>
          <w:szCs w:val="27"/>
          <w:bdr w:val="none" w:sz="0" w:space="0" w:color="auto" w:frame="1"/>
        </w:rPr>
        <w:t>CLEA</w:t>
      </w:r>
      <w:r w:rsidR="009058F7" w:rsidRPr="009058F7">
        <w:rPr>
          <w:rFonts w:ascii="Helvetica" w:eastAsia="Times New Roman" w:hAnsi="Helvetica" w:cs="Helvetica"/>
          <w:b/>
          <w:bCs/>
          <w:color w:val="E02B20"/>
          <w:sz w:val="27"/>
          <w:szCs w:val="27"/>
          <w:bdr w:val="none" w:sz="0" w:space="0" w:color="auto" w:frame="1"/>
        </w:rPr>
        <w:t>N </w:t>
      </w:r>
      <w:r w:rsidR="009058F7" w:rsidRPr="009058F7">
        <w:rPr>
          <w:rFonts w:ascii="Helvetica" w:eastAsia="Times New Roman" w:hAnsi="Helvetica" w:cs="Helvetica"/>
          <w:color w:val="606060"/>
          <w:sz w:val="27"/>
          <w:szCs w:val="27"/>
        </w:rPr>
        <w:t>off visible aquatic plants, animals, and mud from all equipment before leaving water access</w:t>
      </w:r>
    </w:p>
    <w:p w14:paraId="474A1A1D" w14:textId="6EEEBFD5" w:rsidR="009058F7" w:rsidRPr="00976761" w:rsidRDefault="009058F7" w:rsidP="00976761">
      <w:pPr>
        <w:pStyle w:val="ListParagraph"/>
        <w:numPr>
          <w:ilvl w:val="0"/>
          <w:numId w:val="3"/>
        </w:numPr>
        <w:spacing w:after="0" w:line="390" w:lineRule="atLeast"/>
        <w:textAlignment w:val="baseline"/>
        <w:rPr>
          <w:rFonts w:ascii="Helvetica" w:eastAsia="Times New Roman" w:hAnsi="Helvetica" w:cs="Helvetica"/>
          <w:color w:val="606060"/>
          <w:sz w:val="27"/>
          <w:szCs w:val="27"/>
        </w:rPr>
      </w:pPr>
      <w:r w:rsidRPr="00976761">
        <w:rPr>
          <w:rFonts w:ascii="Helvetica" w:eastAsia="Times New Roman" w:hAnsi="Helvetica" w:cs="Helvetica"/>
          <w:color w:val="606060"/>
          <w:sz w:val="27"/>
          <w:szCs w:val="27"/>
        </w:rPr>
        <w:t>Rinse equipment and boat hulls (with high pressure, hot water when possible)</w:t>
      </w:r>
    </w:p>
    <w:p w14:paraId="6142F1FE" w14:textId="77777777" w:rsidR="00976761" w:rsidRDefault="009058F7" w:rsidP="00976761">
      <w:pPr>
        <w:pStyle w:val="ListParagraph"/>
        <w:numPr>
          <w:ilvl w:val="0"/>
          <w:numId w:val="3"/>
        </w:numPr>
        <w:spacing w:after="0" w:line="390" w:lineRule="atLeast"/>
        <w:textAlignment w:val="baseline"/>
        <w:rPr>
          <w:rFonts w:ascii="Helvetica" w:eastAsia="Times New Roman" w:hAnsi="Helvetica" w:cs="Helvetica"/>
          <w:color w:val="606060"/>
          <w:sz w:val="27"/>
          <w:szCs w:val="27"/>
        </w:rPr>
      </w:pPr>
      <w:r w:rsidRPr="00976761">
        <w:rPr>
          <w:rFonts w:ascii="Helvetica" w:eastAsia="Times New Roman" w:hAnsi="Helvetica" w:cs="Helvetica"/>
          <w:color w:val="606060"/>
          <w:sz w:val="27"/>
          <w:szCs w:val="27"/>
        </w:rPr>
        <w:t>Rinse interior compartments of boats with low pressure, hot water (120°F)</w:t>
      </w:r>
    </w:p>
    <w:p w14:paraId="11CDAC8F" w14:textId="58C6E4C3" w:rsidR="009058F7" w:rsidRPr="00976761" w:rsidRDefault="009058F7" w:rsidP="00976761">
      <w:pPr>
        <w:pStyle w:val="ListParagraph"/>
        <w:numPr>
          <w:ilvl w:val="0"/>
          <w:numId w:val="3"/>
        </w:numPr>
        <w:spacing w:after="0" w:line="390" w:lineRule="atLeast"/>
        <w:textAlignment w:val="baseline"/>
        <w:rPr>
          <w:rFonts w:ascii="Helvetica" w:eastAsia="Times New Roman" w:hAnsi="Helvetica" w:cs="Helvetica"/>
          <w:color w:val="606060"/>
          <w:sz w:val="27"/>
          <w:szCs w:val="27"/>
        </w:rPr>
      </w:pPr>
      <w:r w:rsidRPr="00976761">
        <w:rPr>
          <w:rFonts w:ascii="Helvetica" w:eastAsia="Times New Roman" w:hAnsi="Helvetica" w:cs="Helvetica"/>
          <w:color w:val="606060"/>
          <w:sz w:val="27"/>
          <w:szCs w:val="27"/>
        </w:rPr>
        <w:t>Flush motor with hot water (120°F) for 2 minutes (or according to owner’s manual)</w:t>
      </w:r>
    </w:p>
    <w:p w14:paraId="28770F48" w14:textId="77777777" w:rsidR="00976761" w:rsidRDefault="00976761" w:rsidP="009058F7">
      <w:pPr>
        <w:spacing w:after="0" w:line="240" w:lineRule="auto"/>
        <w:textAlignment w:val="baseline"/>
        <w:rPr>
          <w:rFonts w:ascii="Helvetica" w:eastAsia="Times New Roman" w:hAnsi="Helvetica" w:cs="Helvetica"/>
          <w:b/>
          <w:bCs/>
          <w:color w:val="E02B20"/>
          <w:sz w:val="27"/>
          <w:szCs w:val="27"/>
          <w:bdr w:val="none" w:sz="0" w:space="0" w:color="auto" w:frame="1"/>
        </w:rPr>
      </w:pPr>
    </w:p>
    <w:p w14:paraId="1A61A9A4" w14:textId="604A965B" w:rsidR="009058F7" w:rsidRPr="009058F7" w:rsidRDefault="009058F7" w:rsidP="009058F7">
      <w:pPr>
        <w:spacing w:after="0" w:line="240" w:lineRule="auto"/>
        <w:textAlignment w:val="baseline"/>
        <w:rPr>
          <w:rFonts w:ascii="Helvetica" w:eastAsia="Times New Roman" w:hAnsi="Helvetica" w:cs="Helvetica"/>
          <w:color w:val="606060"/>
          <w:sz w:val="27"/>
          <w:szCs w:val="27"/>
        </w:rPr>
      </w:pPr>
      <w:r w:rsidRPr="009058F7">
        <w:rPr>
          <w:rFonts w:ascii="Helvetica" w:eastAsia="Times New Roman" w:hAnsi="Helvetica" w:cs="Helvetica"/>
          <w:b/>
          <w:bCs/>
          <w:color w:val="E02B20"/>
          <w:sz w:val="27"/>
          <w:szCs w:val="27"/>
          <w:bdr w:val="none" w:sz="0" w:space="0" w:color="auto" w:frame="1"/>
        </w:rPr>
        <w:t>DRAIN </w:t>
      </w:r>
      <w:r w:rsidRPr="009058F7">
        <w:rPr>
          <w:rFonts w:ascii="Helvetica" w:eastAsia="Times New Roman" w:hAnsi="Helvetica" w:cs="Helvetica"/>
          <w:color w:val="606060"/>
          <w:sz w:val="27"/>
          <w:szCs w:val="27"/>
        </w:rPr>
        <w:t xml:space="preserve">motor, bilge, </w:t>
      </w:r>
      <w:proofErr w:type="spellStart"/>
      <w:r w:rsidRPr="009058F7">
        <w:rPr>
          <w:rFonts w:ascii="Helvetica" w:eastAsia="Times New Roman" w:hAnsi="Helvetica" w:cs="Helvetica"/>
          <w:color w:val="606060"/>
          <w:sz w:val="27"/>
          <w:szCs w:val="27"/>
        </w:rPr>
        <w:t>livewell</w:t>
      </w:r>
      <w:proofErr w:type="spellEnd"/>
      <w:r w:rsidRPr="009058F7">
        <w:rPr>
          <w:rFonts w:ascii="Helvetica" w:eastAsia="Times New Roman" w:hAnsi="Helvetica" w:cs="Helvetica"/>
          <w:color w:val="606060"/>
          <w:sz w:val="27"/>
          <w:szCs w:val="27"/>
        </w:rPr>
        <w:t>, and other water containing devices before leaving water access.</w:t>
      </w:r>
    </w:p>
    <w:p w14:paraId="4CE5DBB8" w14:textId="77777777" w:rsidR="00976761" w:rsidRDefault="00976761" w:rsidP="009058F7">
      <w:pPr>
        <w:spacing w:after="0" w:line="240" w:lineRule="auto"/>
        <w:textAlignment w:val="baseline"/>
        <w:rPr>
          <w:rFonts w:ascii="Helvetica" w:eastAsia="Times New Roman" w:hAnsi="Helvetica" w:cs="Helvetica"/>
          <w:b/>
          <w:bCs/>
          <w:color w:val="E02B20"/>
          <w:sz w:val="27"/>
          <w:szCs w:val="27"/>
          <w:bdr w:val="none" w:sz="0" w:space="0" w:color="auto" w:frame="1"/>
        </w:rPr>
      </w:pPr>
      <w:bookmarkStart w:id="0" w:name="_GoBack"/>
      <w:bookmarkEnd w:id="0"/>
    </w:p>
    <w:p w14:paraId="731162B5" w14:textId="5DF56D9C" w:rsidR="00976761" w:rsidRPr="00976761" w:rsidRDefault="009058F7" w:rsidP="009058F7">
      <w:pPr>
        <w:spacing w:after="0" w:line="240" w:lineRule="auto"/>
        <w:textAlignment w:val="baseline"/>
        <w:rPr>
          <w:rFonts w:ascii="Helvetica" w:eastAsia="Times New Roman" w:hAnsi="Helvetica" w:cs="Helvetica"/>
          <w:color w:val="606060"/>
          <w:sz w:val="27"/>
          <w:szCs w:val="27"/>
        </w:rPr>
      </w:pPr>
      <w:r w:rsidRPr="009058F7">
        <w:rPr>
          <w:rFonts w:ascii="Helvetica" w:eastAsia="Times New Roman" w:hAnsi="Helvetica" w:cs="Helvetica"/>
          <w:b/>
          <w:bCs/>
          <w:color w:val="E02B20"/>
          <w:sz w:val="27"/>
          <w:szCs w:val="27"/>
          <w:bdr w:val="none" w:sz="0" w:space="0" w:color="auto" w:frame="1"/>
        </w:rPr>
        <w:t>DRY </w:t>
      </w:r>
      <w:r w:rsidRPr="009058F7">
        <w:rPr>
          <w:rFonts w:ascii="Helvetica" w:eastAsia="Times New Roman" w:hAnsi="Helvetica" w:cs="Helvetica"/>
          <w:color w:val="606060"/>
          <w:sz w:val="27"/>
          <w:szCs w:val="27"/>
        </w:rPr>
        <w:t>everything for at least five days OR wipe with a towel before reuse.</w:t>
      </w:r>
    </w:p>
    <w:p w14:paraId="6B9448C8" w14:textId="292B0952" w:rsidR="009058F7" w:rsidRPr="009058F7" w:rsidRDefault="009058F7" w:rsidP="009058F7">
      <w:pPr>
        <w:spacing w:after="0" w:line="240" w:lineRule="auto"/>
        <w:textAlignment w:val="baseline"/>
        <w:rPr>
          <w:rFonts w:ascii="Helvetica" w:eastAsia="Times New Roman" w:hAnsi="Helvetica" w:cs="Helvetica"/>
          <w:color w:val="606060"/>
          <w:sz w:val="27"/>
          <w:szCs w:val="27"/>
        </w:rPr>
      </w:pPr>
      <w:r w:rsidRPr="009058F7">
        <w:rPr>
          <w:rFonts w:ascii="Helvetica" w:eastAsia="Times New Roman" w:hAnsi="Helvetica" w:cs="Helvetica"/>
          <w:b/>
          <w:bCs/>
          <w:color w:val="606060"/>
          <w:sz w:val="27"/>
          <w:szCs w:val="27"/>
          <w:bdr w:val="none" w:sz="0" w:space="0" w:color="auto" w:frame="1"/>
        </w:rPr>
        <w:lastRenderedPageBreak/>
        <w:t>For ANGLERS, the additional step of DISPOSE is recommended:</w:t>
      </w:r>
    </w:p>
    <w:p w14:paraId="5DA2636C" w14:textId="77777777" w:rsidR="00976761" w:rsidRDefault="00976761" w:rsidP="009058F7">
      <w:pPr>
        <w:spacing w:after="0" w:line="240" w:lineRule="auto"/>
        <w:textAlignment w:val="baseline"/>
        <w:rPr>
          <w:rFonts w:ascii="Helvetica" w:eastAsia="Times New Roman" w:hAnsi="Helvetica" w:cs="Helvetica"/>
          <w:b/>
          <w:bCs/>
          <w:color w:val="E02B20"/>
          <w:sz w:val="27"/>
          <w:szCs w:val="27"/>
          <w:bdr w:val="none" w:sz="0" w:space="0" w:color="auto" w:frame="1"/>
        </w:rPr>
      </w:pPr>
    </w:p>
    <w:p w14:paraId="7F51D4AB" w14:textId="273F668E" w:rsidR="004152A1" w:rsidRPr="00976761" w:rsidRDefault="009058F7" w:rsidP="00976761">
      <w:pPr>
        <w:spacing w:after="0" w:line="240" w:lineRule="auto"/>
        <w:textAlignment w:val="baseline"/>
        <w:rPr>
          <w:rFonts w:ascii="Helvetica" w:eastAsia="Times New Roman" w:hAnsi="Helvetica" w:cs="Helvetica"/>
          <w:color w:val="606060"/>
          <w:sz w:val="27"/>
          <w:szCs w:val="27"/>
        </w:rPr>
      </w:pPr>
      <w:r w:rsidRPr="009058F7">
        <w:rPr>
          <w:rFonts w:ascii="Helvetica" w:eastAsia="Times New Roman" w:hAnsi="Helvetica" w:cs="Helvetica"/>
          <w:b/>
          <w:bCs/>
          <w:color w:val="E02B20"/>
          <w:sz w:val="27"/>
          <w:szCs w:val="27"/>
          <w:bdr w:val="none" w:sz="0" w:space="0" w:color="auto" w:frame="1"/>
        </w:rPr>
        <w:t>DISPOSE </w:t>
      </w:r>
      <w:r w:rsidRPr="009058F7">
        <w:rPr>
          <w:rFonts w:ascii="Helvetica" w:eastAsia="Times New Roman" w:hAnsi="Helvetica" w:cs="Helvetica"/>
          <w:color w:val="606060"/>
          <w:sz w:val="27"/>
          <w:szCs w:val="27"/>
        </w:rPr>
        <w:t>of unwanted bait, worms, and fish parts in the trash. When keeping live bait, drain bait container and replace with spring or dechlorinated tap water. Never dump live fish or other organisms from one water body into another.</w:t>
      </w:r>
    </w:p>
    <w:sectPr w:rsidR="004152A1" w:rsidRPr="00976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B42C9"/>
    <w:multiLevelType w:val="multilevel"/>
    <w:tmpl w:val="C9789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5B2DF1"/>
    <w:multiLevelType w:val="multilevel"/>
    <w:tmpl w:val="6F0A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651535"/>
    <w:multiLevelType w:val="multilevel"/>
    <w:tmpl w:val="7D5A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6A"/>
    <w:rsid w:val="004152A1"/>
    <w:rsid w:val="0066266A"/>
    <w:rsid w:val="009058F7"/>
    <w:rsid w:val="00976761"/>
    <w:rsid w:val="009E5559"/>
    <w:rsid w:val="00D7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95C5"/>
  <w15:chartTrackingRefBased/>
  <w15:docId w15:val="{D08D6D32-0317-49D1-B7E2-85B6A60A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66A"/>
    <w:rPr>
      <w:color w:val="0563C1" w:themeColor="hyperlink"/>
      <w:u w:val="single"/>
    </w:rPr>
  </w:style>
  <w:style w:type="character" w:styleId="UnresolvedMention">
    <w:name w:val="Unresolved Mention"/>
    <w:basedOn w:val="DefaultParagraphFont"/>
    <w:uiPriority w:val="99"/>
    <w:semiHidden/>
    <w:unhideWhenUsed/>
    <w:rsid w:val="0066266A"/>
    <w:rPr>
      <w:color w:val="605E5C"/>
      <w:shd w:val="clear" w:color="auto" w:fill="E1DFDD"/>
    </w:rPr>
  </w:style>
  <w:style w:type="paragraph" w:styleId="NormalWeb">
    <w:name w:val="Normal (Web)"/>
    <w:basedOn w:val="Normal"/>
    <w:uiPriority w:val="99"/>
    <w:semiHidden/>
    <w:unhideWhenUsed/>
    <w:rsid w:val="009058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9058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58F7"/>
    <w:rPr>
      <w:b/>
      <w:bCs/>
    </w:rPr>
  </w:style>
  <w:style w:type="paragraph" w:styleId="ListParagraph">
    <w:name w:val="List Paragraph"/>
    <w:basedOn w:val="Normal"/>
    <w:uiPriority w:val="34"/>
    <w:qFormat/>
    <w:rsid w:val="00976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38724">
      <w:bodyDiv w:val="1"/>
      <w:marLeft w:val="0"/>
      <w:marRight w:val="0"/>
      <w:marTop w:val="0"/>
      <w:marBottom w:val="0"/>
      <w:divBdr>
        <w:top w:val="none" w:sz="0" w:space="0" w:color="auto"/>
        <w:left w:val="none" w:sz="0" w:space="0" w:color="auto"/>
        <w:bottom w:val="none" w:sz="0" w:space="0" w:color="auto"/>
        <w:right w:val="none" w:sz="0" w:space="0" w:color="auto"/>
      </w:divBdr>
      <w:divsChild>
        <w:div w:id="351998248">
          <w:marLeft w:val="0"/>
          <w:marRight w:val="0"/>
          <w:marTop w:val="0"/>
          <w:marBottom w:val="456"/>
          <w:divBdr>
            <w:top w:val="none" w:sz="0" w:space="0" w:color="auto"/>
            <w:left w:val="none" w:sz="0" w:space="0" w:color="auto"/>
            <w:bottom w:val="none" w:sz="0" w:space="0" w:color="auto"/>
            <w:right w:val="none" w:sz="0" w:space="0" w:color="auto"/>
          </w:divBdr>
          <w:divsChild>
            <w:div w:id="497967528">
              <w:marLeft w:val="0"/>
              <w:marRight w:val="0"/>
              <w:marTop w:val="0"/>
              <w:marBottom w:val="0"/>
              <w:divBdr>
                <w:top w:val="none" w:sz="0" w:space="0" w:color="auto"/>
                <w:left w:val="none" w:sz="0" w:space="0" w:color="auto"/>
                <w:bottom w:val="none" w:sz="0" w:space="0" w:color="auto"/>
                <w:right w:val="none" w:sz="0" w:space="0" w:color="auto"/>
              </w:divBdr>
            </w:div>
          </w:divsChild>
        </w:div>
        <w:div w:id="276763948">
          <w:marLeft w:val="0"/>
          <w:marRight w:val="0"/>
          <w:marTop w:val="0"/>
          <w:marBottom w:val="0"/>
          <w:divBdr>
            <w:top w:val="none" w:sz="0" w:space="0" w:color="auto"/>
            <w:left w:val="none" w:sz="0" w:space="0" w:color="auto"/>
            <w:bottom w:val="none" w:sz="0" w:space="0" w:color="auto"/>
            <w:right w:val="none" w:sz="0" w:space="0" w:color="auto"/>
          </w:divBdr>
          <w:divsChild>
            <w:div w:id="1100877049">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sChild>
    </w:div>
    <w:div w:id="1910531733">
      <w:bodyDiv w:val="1"/>
      <w:marLeft w:val="0"/>
      <w:marRight w:val="0"/>
      <w:marTop w:val="0"/>
      <w:marBottom w:val="0"/>
      <w:divBdr>
        <w:top w:val="none" w:sz="0" w:space="0" w:color="auto"/>
        <w:left w:val="none" w:sz="0" w:space="0" w:color="auto"/>
        <w:bottom w:val="none" w:sz="0" w:space="0" w:color="auto"/>
        <w:right w:val="none" w:sz="0" w:space="0" w:color="auto"/>
      </w:divBdr>
      <w:divsChild>
        <w:div w:id="872379312">
          <w:marLeft w:val="0"/>
          <w:marRight w:val="0"/>
          <w:marTop w:val="100"/>
          <w:marBottom w:val="100"/>
          <w:divBdr>
            <w:top w:val="none" w:sz="0" w:space="0" w:color="auto"/>
            <w:left w:val="none" w:sz="0" w:space="0" w:color="auto"/>
            <w:bottom w:val="none" w:sz="0" w:space="0" w:color="auto"/>
            <w:right w:val="none" w:sz="0" w:space="0" w:color="auto"/>
          </w:divBdr>
          <w:divsChild>
            <w:div w:id="1680423878">
              <w:marLeft w:val="0"/>
              <w:marRight w:val="0"/>
              <w:marTop w:val="0"/>
              <w:marBottom w:val="0"/>
              <w:divBdr>
                <w:top w:val="none" w:sz="0" w:space="0" w:color="auto"/>
                <w:left w:val="none" w:sz="0" w:space="0" w:color="auto"/>
                <w:bottom w:val="none" w:sz="0" w:space="0" w:color="auto"/>
                <w:right w:val="none" w:sz="0" w:space="0" w:color="auto"/>
              </w:divBdr>
              <w:divsChild>
                <w:div w:id="490607632">
                  <w:marLeft w:val="0"/>
                  <w:marRight w:val="0"/>
                  <w:marTop w:val="0"/>
                  <w:marBottom w:val="456"/>
                  <w:divBdr>
                    <w:top w:val="none" w:sz="0" w:space="0" w:color="auto"/>
                    <w:left w:val="none" w:sz="0" w:space="0" w:color="auto"/>
                    <w:bottom w:val="none" w:sz="0" w:space="0" w:color="auto"/>
                    <w:right w:val="none" w:sz="0" w:space="0" w:color="auto"/>
                  </w:divBdr>
                  <w:divsChild>
                    <w:div w:id="804851003">
                      <w:marLeft w:val="0"/>
                      <w:marRight w:val="0"/>
                      <w:marTop w:val="0"/>
                      <w:marBottom w:val="0"/>
                      <w:divBdr>
                        <w:top w:val="none" w:sz="0" w:space="0" w:color="auto"/>
                        <w:left w:val="none" w:sz="0" w:space="0" w:color="auto"/>
                        <w:bottom w:val="none" w:sz="0" w:space="0" w:color="auto"/>
                        <w:right w:val="none" w:sz="0" w:space="0" w:color="auto"/>
                      </w:divBdr>
                    </w:div>
                  </w:divsChild>
                </w:div>
                <w:div w:id="8529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4748">
          <w:marLeft w:val="0"/>
          <w:marRight w:val="0"/>
          <w:marTop w:val="100"/>
          <w:marBottom w:val="100"/>
          <w:divBdr>
            <w:top w:val="none" w:sz="0" w:space="0" w:color="auto"/>
            <w:left w:val="none" w:sz="0" w:space="0" w:color="auto"/>
            <w:bottom w:val="none" w:sz="0" w:space="0" w:color="auto"/>
            <w:right w:val="none" w:sz="0" w:space="0" w:color="auto"/>
          </w:divBdr>
          <w:divsChild>
            <w:div w:id="1352410387">
              <w:marLeft w:val="0"/>
              <w:marRight w:val="0"/>
              <w:marTop w:val="0"/>
              <w:marBottom w:val="0"/>
              <w:divBdr>
                <w:top w:val="none" w:sz="0" w:space="0" w:color="auto"/>
                <w:left w:val="none" w:sz="0" w:space="0" w:color="auto"/>
                <w:bottom w:val="none" w:sz="0" w:space="0" w:color="auto"/>
                <w:right w:val="none" w:sz="0" w:space="0" w:color="auto"/>
              </w:divBdr>
              <w:divsChild>
                <w:div w:id="11576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1478">
          <w:marLeft w:val="0"/>
          <w:marRight w:val="0"/>
          <w:marTop w:val="100"/>
          <w:marBottom w:val="100"/>
          <w:divBdr>
            <w:top w:val="none" w:sz="0" w:space="0" w:color="auto"/>
            <w:left w:val="none" w:sz="0" w:space="0" w:color="auto"/>
            <w:bottom w:val="none" w:sz="0" w:space="0" w:color="auto"/>
            <w:right w:val="none" w:sz="0" w:space="0" w:color="auto"/>
          </w:divBdr>
          <w:divsChild>
            <w:div w:id="1001855389">
              <w:marLeft w:val="0"/>
              <w:marRight w:val="0"/>
              <w:marTop w:val="0"/>
              <w:marBottom w:val="0"/>
              <w:divBdr>
                <w:top w:val="none" w:sz="0" w:space="0" w:color="auto"/>
                <w:left w:val="none" w:sz="0" w:space="0" w:color="auto"/>
                <w:bottom w:val="none" w:sz="0" w:space="0" w:color="auto"/>
                <w:right w:val="none" w:sz="0" w:space="0" w:color="auto"/>
              </w:divBdr>
              <w:divsChild>
                <w:div w:id="13855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1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09056-7E76-4143-BCA1-27A1E65B554B}">
  <ds:schemaRefs>
    <ds:schemaRef ds:uri="http://schemas.microsoft.com/sharepoint/v3/contenttype/forms"/>
  </ds:schemaRefs>
</ds:datastoreItem>
</file>

<file path=customXml/itemProps2.xml><?xml version="1.0" encoding="utf-8"?>
<ds:datastoreItem xmlns:ds="http://schemas.openxmlformats.org/officeDocument/2006/customXml" ds:itemID="{41364148-6098-4AE1-A2DB-16FB6D98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0F659-9D8B-4C0A-91F7-26E243BD4240}">
  <ds:schemaRefs>
    <ds:schemaRef ds:uri="e0c660e0-7481-4c8b-b121-1f57c2c5ddf5"/>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b395920a-7eac-4ec6-8419-4cfde3531fe2"/>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3</cp:revision>
  <dcterms:created xsi:type="dcterms:W3CDTF">2020-06-29T15:12:00Z</dcterms:created>
  <dcterms:modified xsi:type="dcterms:W3CDTF">2020-06-29T15:18:00Z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