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4C" w:rsidRPr="00DD5891" w:rsidRDefault="003D1735" w:rsidP="003D1735">
      <w:pPr>
        <w:jc w:val="center"/>
        <w:rPr>
          <w:rFonts w:ascii="Georgia" w:hAnsi="Georgia"/>
          <w:b/>
          <w:sz w:val="48"/>
        </w:rPr>
      </w:pPr>
      <w:r w:rsidRPr="00DD5891">
        <w:rPr>
          <w:rFonts w:ascii="Georgia" w:hAnsi="Georgia"/>
          <w:b/>
          <w:sz w:val="48"/>
        </w:rPr>
        <w:t>Kinesthetic Learning Research</w:t>
      </w:r>
      <w:r w:rsidR="00DD5891">
        <w:rPr>
          <w:rFonts w:ascii="Georgia" w:hAnsi="Georgia"/>
          <w:b/>
          <w:sz w:val="48"/>
        </w:rPr>
        <w:t>: Print</w:t>
      </w:r>
      <w:r w:rsidRPr="00DD5891">
        <w:rPr>
          <w:rFonts w:ascii="Georgia" w:hAnsi="Georgia"/>
          <w:b/>
          <w:sz w:val="48"/>
        </w:rPr>
        <w:t xml:space="preserve"> </w:t>
      </w:r>
    </w:p>
    <w:p w:rsidR="00DA3E93" w:rsidRPr="00DD5891" w:rsidRDefault="00DA3E93" w:rsidP="00DA3E93">
      <w:pPr>
        <w:rPr>
          <w:b/>
        </w:rPr>
      </w:pPr>
      <w:proofErr w:type="spellStart"/>
      <w:r w:rsidRPr="00DD5891">
        <w:rPr>
          <w:b/>
        </w:rPr>
        <w:t>Kuczala</w:t>
      </w:r>
      <w:proofErr w:type="spellEnd"/>
      <w:r w:rsidRPr="00DD5891">
        <w:rPr>
          <w:b/>
        </w:rPr>
        <w:t xml:space="preserve">, Mike. </w:t>
      </w:r>
      <w:r w:rsidRPr="00DD5891">
        <w:rPr>
          <w:b/>
          <w:i/>
        </w:rPr>
        <w:t>Training in Motion</w:t>
      </w:r>
      <w:r w:rsidR="003C0E26" w:rsidRPr="00DD5891">
        <w:rPr>
          <w:b/>
        </w:rPr>
        <w:t xml:space="preserve">: </w:t>
      </w:r>
      <w:r w:rsidR="003C0E26" w:rsidRPr="00DD5891">
        <w:rPr>
          <w:b/>
          <w:i/>
        </w:rPr>
        <w:t xml:space="preserve">How to Use Movement to Create Engaging and Effective Learning. </w:t>
      </w:r>
      <w:r w:rsidR="003C0E26" w:rsidRPr="00DD5891">
        <w:rPr>
          <w:b/>
        </w:rPr>
        <w:t xml:space="preserve">AMACOM, </w:t>
      </w:r>
      <w:r w:rsidR="00EE2FB3" w:rsidRPr="00DD5891">
        <w:rPr>
          <w:b/>
        </w:rPr>
        <w:t>2015</w:t>
      </w:r>
      <w:r w:rsidR="003C0E26" w:rsidRPr="00DD5891">
        <w:rPr>
          <w:b/>
        </w:rPr>
        <w:t xml:space="preserve">. Print. </w:t>
      </w:r>
    </w:p>
    <w:p w:rsidR="00533C36" w:rsidRDefault="00533C36" w:rsidP="00DA3E93">
      <w:r w:rsidRPr="00D64820">
        <w:rPr>
          <w:b/>
        </w:rPr>
        <w:t>The Gist</w:t>
      </w:r>
      <w:r>
        <w:t xml:space="preserve">: “So why does more movement lead to more learning? The simple answer is that movement helps us refocus our ‘fidgeting’ brains by increasing oxygen and blood flow to the brain. The complex answer </w:t>
      </w:r>
      <w:r w:rsidR="00D64820">
        <w:t xml:space="preserve">is that movement changes our brain chemistry so that we’re more alert, positive, and accepting of learning” (page 36). </w:t>
      </w:r>
    </w:p>
    <w:p w:rsidR="00DA3E93" w:rsidRDefault="00533C36" w:rsidP="00DA3E93">
      <w:r>
        <w:rPr>
          <w:noProof/>
        </w:rPr>
        <w:drawing>
          <wp:anchor distT="0" distB="0" distL="114300" distR="114300" simplePos="0" relativeHeight="251658240" behindDoc="0" locked="0" layoutInCell="1" allowOverlap="1">
            <wp:simplePos x="0" y="0"/>
            <wp:positionH relativeFrom="column">
              <wp:posOffset>-120015</wp:posOffset>
            </wp:positionH>
            <wp:positionV relativeFrom="paragraph">
              <wp:posOffset>4445</wp:posOffset>
            </wp:positionV>
            <wp:extent cx="1751330" cy="22085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51330" cy="2208530"/>
                    </a:xfrm>
                    <a:prstGeom prst="rect">
                      <a:avLst/>
                    </a:prstGeom>
                  </pic:spPr>
                </pic:pic>
              </a:graphicData>
            </a:graphic>
            <wp14:sizeRelH relativeFrom="margin">
              <wp14:pctWidth>0</wp14:pctWidth>
            </wp14:sizeRelH>
            <wp14:sizeRelV relativeFrom="margin">
              <wp14:pctHeight>0</wp14:pctHeight>
            </wp14:sizeRelV>
          </wp:anchor>
        </w:drawing>
      </w:r>
      <w:r>
        <w:t>Cites a s</w:t>
      </w:r>
      <w:r w:rsidR="00DA3E93">
        <w:t>tudy in</w:t>
      </w:r>
      <w:r>
        <w:t xml:space="preserve"> </w:t>
      </w:r>
      <w:r w:rsidRPr="00533C36">
        <w:t>the</w:t>
      </w:r>
      <w:r w:rsidR="00DA3E93" w:rsidRPr="00533C36">
        <w:rPr>
          <w:i/>
        </w:rPr>
        <w:t xml:space="preserve"> Journal of Abnormal Child Psychology</w:t>
      </w:r>
      <w:r w:rsidR="00DA3E93">
        <w:t>: “Students in exercise groups showed greater improvements in attention and mood than their sedentary counterparts” (</w:t>
      </w:r>
      <w:r>
        <w:t xml:space="preserve">page </w:t>
      </w:r>
      <w:r w:rsidR="00DA3E93">
        <w:t>24)</w:t>
      </w:r>
      <w:r>
        <w:t>.</w:t>
      </w:r>
    </w:p>
    <w:p w:rsidR="00DA3E93" w:rsidRDefault="00DA3E93" w:rsidP="00DA3E93">
      <w:r>
        <w:tab/>
        <w:t>“</w:t>
      </w:r>
      <w:r w:rsidR="00533C36">
        <w:t>Based on the brain/body connection, l</w:t>
      </w:r>
      <w:r>
        <w:t>earning doesn’t happen from the neck up, it happens from the feet up” (</w:t>
      </w:r>
      <w:r w:rsidR="00533C36">
        <w:t xml:space="preserve">page </w:t>
      </w:r>
      <w:r>
        <w:t>35)</w:t>
      </w:r>
      <w:r w:rsidR="00533C36">
        <w:t>.</w:t>
      </w:r>
    </w:p>
    <w:p w:rsidR="00DA3E93" w:rsidRPr="006B61E7" w:rsidRDefault="00DA3E93" w:rsidP="00DA3E93">
      <w:pPr>
        <w:rPr>
          <w:u w:val="single"/>
        </w:rPr>
      </w:pPr>
      <w:r>
        <w:tab/>
      </w:r>
      <w:r w:rsidR="00533C36" w:rsidRPr="00DD5891">
        <w:rPr>
          <w:b/>
          <w:u w:val="single"/>
        </w:rPr>
        <w:t>Eight Ways Movement Enhances the Training P</w:t>
      </w:r>
      <w:r w:rsidRPr="00DD5891">
        <w:rPr>
          <w:b/>
          <w:u w:val="single"/>
        </w:rPr>
        <w:t>rocess</w:t>
      </w:r>
      <w:r w:rsidRPr="006B61E7">
        <w:rPr>
          <w:u w:val="single"/>
        </w:rPr>
        <w:t>: (pages 37-42)</w:t>
      </w:r>
    </w:p>
    <w:p w:rsidR="00DA3E93" w:rsidRDefault="00D64820" w:rsidP="00533C36">
      <w:pPr>
        <w:pStyle w:val="ListParagraph"/>
        <w:numPr>
          <w:ilvl w:val="0"/>
          <w:numId w:val="1"/>
        </w:numPr>
      </w:pPr>
      <w:r>
        <w:t>Movement Creates Pathways for I</w:t>
      </w:r>
      <w:r w:rsidR="00DA3E93">
        <w:t>mplici</w:t>
      </w:r>
      <w:r>
        <w:t>t L</w:t>
      </w:r>
      <w:r w:rsidR="00DA3E93">
        <w:t>earning</w:t>
      </w:r>
    </w:p>
    <w:p w:rsidR="00DA3E93" w:rsidRDefault="00D64820" w:rsidP="00DA3E93">
      <w:pPr>
        <w:pStyle w:val="ListParagraph"/>
        <w:numPr>
          <w:ilvl w:val="0"/>
          <w:numId w:val="1"/>
        </w:numPr>
      </w:pPr>
      <w:r>
        <w:t xml:space="preserve">Movement Refocuses Attention and </w:t>
      </w:r>
      <w:r w:rsidR="00344A7C">
        <w:t xml:space="preserve">Provides a Break From </w:t>
      </w:r>
      <w:r>
        <w:t>L</w:t>
      </w:r>
      <w:r w:rsidR="00DA3E93">
        <w:t>earning</w:t>
      </w:r>
    </w:p>
    <w:p w:rsidR="00D64820" w:rsidRDefault="00D64820" w:rsidP="00594C28">
      <w:pPr>
        <w:pStyle w:val="ListParagraph"/>
        <w:numPr>
          <w:ilvl w:val="0"/>
          <w:numId w:val="1"/>
        </w:numPr>
      </w:pPr>
      <w:r>
        <w:t>Movement Creates M</w:t>
      </w:r>
      <w:r w:rsidR="00DA3E93">
        <w:t xml:space="preserve">otivation </w:t>
      </w:r>
      <w:r>
        <w:t>to Learn</w:t>
      </w:r>
    </w:p>
    <w:p w:rsidR="00DA3E93" w:rsidRDefault="00D64820" w:rsidP="00594C28">
      <w:pPr>
        <w:pStyle w:val="ListParagraph"/>
        <w:numPr>
          <w:ilvl w:val="0"/>
          <w:numId w:val="1"/>
        </w:numPr>
      </w:pPr>
      <w:r>
        <w:t>Movement Improves the Learning S</w:t>
      </w:r>
      <w:r w:rsidR="00DA3E93">
        <w:t>tate</w:t>
      </w:r>
    </w:p>
    <w:p w:rsidR="00DA3E93" w:rsidRDefault="00D64820" w:rsidP="00DA3E93">
      <w:pPr>
        <w:pStyle w:val="ListParagraph"/>
        <w:numPr>
          <w:ilvl w:val="0"/>
          <w:numId w:val="1"/>
        </w:numPr>
      </w:pPr>
      <w:r>
        <w:t>Movement Differentiates T</w:t>
      </w:r>
      <w:r w:rsidR="00DA3E93">
        <w:t>raining</w:t>
      </w:r>
      <w:r>
        <w:t xml:space="preserve"> (Instruction)</w:t>
      </w:r>
    </w:p>
    <w:p w:rsidR="00DA3E93" w:rsidRDefault="00D64820" w:rsidP="00DA3E93">
      <w:pPr>
        <w:pStyle w:val="ListParagraph"/>
        <w:numPr>
          <w:ilvl w:val="0"/>
          <w:numId w:val="1"/>
        </w:numPr>
      </w:pPr>
      <w:r>
        <w:t>Movement Engages the S</w:t>
      </w:r>
      <w:r w:rsidR="00DA3E93">
        <w:t>enses</w:t>
      </w:r>
    </w:p>
    <w:p w:rsidR="00DA3E93" w:rsidRDefault="00D64820" w:rsidP="00DA3E93">
      <w:pPr>
        <w:pStyle w:val="ListParagraph"/>
        <w:numPr>
          <w:ilvl w:val="0"/>
          <w:numId w:val="1"/>
        </w:numPr>
      </w:pPr>
      <w:r>
        <w:t>Movement R</w:t>
      </w:r>
      <w:r w:rsidR="00DA3E93">
        <w:t>educes</w:t>
      </w:r>
      <w:r>
        <w:t xml:space="preserve"> S</w:t>
      </w:r>
      <w:r w:rsidR="00DA3E93">
        <w:t xml:space="preserve">tress </w:t>
      </w:r>
    </w:p>
    <w:p w:rsidR="00DA3E93" w:rsidRDefault="00D64820" w:rsidP="00DA3E93">
      <w:pPr>
        <w:pStyle w:val="ListParagraph"/>
        <w:numPr>
          <w:ilvl w:val="0"/>
          <w:numId w:val="1"/>
        </w:numPr>
      </w:pPr>
      <w:r>
        <w:t>Movement Enhances Episodic Learning and M</w:t>
      </w:r>
      <w:r w:rsidR="00DA3E93">
        <w:t>emory</w:t>
      </w:r>
    </w:p>
    <w:p w:rsidR="00DA3E93" w:rsidRPr="006B61E7" w:rsidRDefault="00DA3E93" w:rsidP="00DA3E93">
      <w:pPr>
        <w:ind w:left="720"/>
        <w:rPr>
          <w:u w:val="single"/>
        </w:rPr>
      </w:pPr>
      <w:r w:rsidRPr="00DD5891">
        <w:rPr>
          <w:b/>
          <w:u w:val="single"/>
        </w:rPr>
        <w:t>F</w:t>
      </w:r>
      <w:r w:rsidR="00D64820" w:rsidRPr="00DD5891">
        <w:rPr>
          <w:b/>
          <w:u w:val="single"/>
        </w:rPr>
        <w:t>our Purposes of Movement in T</w:t>
      </w:r>
      <w:r w:rsidRPr="00DD5891">
        <w:rPr>
          <w:b/>
          <w:u w:val="single"/>
        </w:rPr>
        <w:t xml:space="preserve">raining </w:t>
      </w:r>
      <w:r w:rsidRPr="00DD5891">
        <w:rPr>
          <w:u w:val="single"/>
        </w:rPr>
        <w:t>(</w:t>
      </w:r>
      <w:r w:rsidRPr="006B61E7">
        <w:rPr>
          <w:u w:val="single"/>
        </w:rPr>
        <w:t>pages 45-48)</w:t>
      </w:r>
    </w:p>
    <w:p w:rsidR="00DA3E93" w:rsidRDefault="00DA3E93" w:rsidP="00DA3E93">
      <w:pPr>
        <w:pStyle w:val="ListParagraph"/>
        <w:numPr>
          <w:ilvl w:val="0"/>
          <w:numId w:val="2"/>
        </w:numPr>
      </w:pPr>
      <w:proofErr w:type="spellStart"/>
      <w:r>
        <w:t>Renergize</w:t>
      </w:r>
      <w:proofErr w:type="spellEnd"/>
      <w:r>
        <w:t xml:space="preserve"> the brain and body</w:t>
      </w:r>
    </w:p>
    <w:p w:rsidR="00344A7C" w:rsidRDefault="00344A7C" w:rsidP="006B61E7">
      <w:pPr>
        <w:pStyle w:val="ListParagraph"/>
        <w:numPr>
          <w:ilvl w:val="0"/>
          <w:numId w:val="2"/>
        </w:numPr>
      </w:pPr>
      <w:r>
        <w:t>Team Building</w:t>
      </w:r>
    </w:p>
    <w:p w:rsidR="006B61E7" w:rsidRDefault="00344A7C" w:rsidP="006B61E7">
      <w:pPr>
        <w:pStyle w:val="ListParagraph"/>
        <w:numPr>
          <w:ilvl w:val="0"/>
          <w:numId w:val="2"/>
        </w:numPr>
      </w:pPr>
      <w:r>
        <w:t>Review and R</w:t>
      </w:r>
      <w:r w:rsidR="006B61E7">
        <w:t>etention</w:t>
      </w:r>
    </w:p>
    <w:p w:rsidR="006B61E7" w:rsidRDefault="006B61E7" w:rsidP="006B61E7">
      <w:pPr>
        <w:pStyle w:val="ListParagraph"/>
        <w:numPr>
          <w:ilvl w:val="0"/>
          <w:numId w:val="2"/>
        </w:numPr>
      </w:pPr>
      <w:r>
        <w:t>Effective Training</w:t>
      </w:r>
    </w:p>
    <w:p w:rsidR="00344A7C" w:rsidRPr="00DD5891" w:rsidRDefault="00DD5891" w:rsidP="00344A7C">
      <w:pPr>
        <w:rPr>
          <w:b/>
        </w:rPr>
      </w:pPr>
      <w:bookmarkStart w:id="0" w:name="_GoBack"/>
      <w:bookmarkEnd w:id="0"/>
      <w:r>
        <w:rPr>
          <w:noProof/>
        </w:rPr>
        <w:drawing>
          <wp:anchor distT="0" distB="0" distL="114300" distR="114300" simplePos="0" relativeHeight="251659264" behindDoc="0" locked="0" layoutInCell="1" allowOverlap="1">
            <wp:simplePos x="0" y="0"/>
            <wp:positionH relativeFrom="margin">
              <wp:posOffset>4413738</wp:posOffset>
            </wp:positionH>
            <wp:positionV relativeFrom="paragraph">
              <wp:posOffset>-412263</wp:posOffset>
            </wp:positionV>
            <wp:extent cx="1983057" cy="2831267"/>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1735" cy="285793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44A7C" w:rsidRPr="00DD5891">
        <w:rPr>
          <w:b/>
        </w:rPr>
        <w:t>Lengel</w:t>
      </w:r>
      <w:proofErr w:type="spellEnd"/>
      <w:r w:rsidR="00344A7C" w:rsidRPr="00DD5891">
        <w:rPr>
          <w:b/>
        </w:rPr>
        <w:t xml:space="preserve">, Traci &amp; </w:t>
      </w:r>
      <w:proofErr w:type="spellStart"/>
      <w:r w:rsidR="00344A7C" w:rsidRPr="00DD5891">
        <w:rPr>
          <w:b/>
        </w:rPr>
        <w:t>Kuczala</w:t>
      </w:r>
      <w:proofErr w:type="spellEnd"/>
      <w:r w:rsidR="00344A7C" w:rsidRPr="00DD5891">
        <w:rPr>
          <w:b/>
        </w:rPr>
        <w:t xml:space="preserve">, Mike. </w:t>
      </w:r>
      <w:r w:rsidR="00344A7C" w:rsidRPr="00DD5891">
        <w:rPr>
          <w:b/>
          <w:i/>
        </w:rPr>
        <w:t xml:space="preserve">The Kinesthetic Classroom: Teaching and Learning </w:t>
      </w:r>
      <w:proofErr w:type="gramStart"/>
      <w:r w:rsidR="00344A7C" w:rsidRPr="00DD5891">
        <w:rPr>
          <w:b/>
          <w:i/>
        </w:rPr>
        <w:t>Through</w:t>
      </w:r>
      <w:proofErr w:type="gramEnd"/>
      <w:r w:rsidR="00344A7C" w:rsidRPr="00DD5891">
        <w:rPr>
          <w:b/>
          <w:i/>
        </w:rPr>
        <w:t xml:space="preserve"> Movement.</w:t>
      </w:r>
      <w:r w:rsidR="00344A7C" w:rsidRPr="00DD5891">
        <w:rPr>
          <w:b/>
        </w:rPr>
        <w:t xml:space="preserve"> Thousand Oaks, CA: Corwin, 2009. Print. </w:t>
      </w:r>
    </w:p>
    <w:p w:rsidR="00344A7C" w:rsidRDefault="00DD5891" w:rsidP="00215B07">
      <w:pPr>
        <w:pStyle w:val="ListParagraph"/>
        <w:numPr>
          <w:ilvl w:val="0"/>
          <w:numId w:val="3"/>
        </w:numPr>
      </w:pPr>
      <w:r>
        <w:t xml:space="preserve"> </w:t>
      </w:r>
      <w:r w:rsidR="00344A7C">
        <w:t>“Movement improves communication, builds relationships, and strengthens critical thinking skills</w:t>
      </w:r>
      <w:r w:rsidR="00215B07">
        <w:t xml:space="preserve">” (page 46) </w:t>
      </w:r>
    </w:p>
    <w:p w:rsidR="00215B07" w:rsidRDefault="00215B07" w:rsidP="00215B07">
      <w:pPr>
        <w:pStyle w:val="ListParagraph"/>
        <w:numPr>
          <w:ilvl w:val="0"/>
          <w:numId w:val="3"/>
        </w:numPr>
      </w:pPr>
      <w:r>
        <w:t xml:space="preserve">“Every successful business relies on collaborative and cooperative teams. One of the benefits of movement-oriented activities is that certain key baseline emotional needs </w:t>
      </w:r>
      <w:proofErr w:type="gramStart"/>
      <w:r>
        <w:t>are met</w:t>
      </w:r>
      <w:proofErr w:type="gramEnd"/>
      <w:r>
        <w:t xml:space="preserve"> through participation. If this need is not met, the part of the brain involved in higher level critical thinking skills strategies shuts down and team dynamics suffer” (page 46).</w:t>
      </w:r>
    </w:p>
    <w:p w:rsidR="00215B07" w:rsidRDefault="00215B07" w:rsidP="003D1735"/>
    <w:p w:rsidR="00215B07" w:rsidRPr="00DD5891" w:rsidRDefault="00215B07" w:rsidP="003D1735">
      <w:pPr>
        <w:rPr>
          <w:b/>
        </w:rPr>
      </w:pPr>
      <w:r w:rsidRPr="00DD5891">
        <w:rPr>
          <w:b/>
          <w:noProof/>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281305</wp:posOffset>
            </wp:positionV>
            <wp:extent cx="1863725" cy="2679065"/>
            <wp:effectExtent l="0" t="0" r="317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725" cy="2679065"/>
                    </a:xfrm>
                    <a:prstGeom prst="rect">
                      <a:avLst/>
                    </a:prstGeom>
                  </pic:spPr>
                </pic:pic>
              </a:graphicData>
            </a:graphic>
            <wp14:sizeRelH relativeFrom="margin">
              <wp14:pctWidth>0</wp14:pctWidth>
            </wp14:sizeRelH>
            <wp14:sizeRelV relativeFrom="margin">
              <wp14:pctHeight>0</wp14:pctHeight>
            </wp14:sizeRelV>
          </wp:anchor>
        </w:drawing>
      </w:r>
      <w:r w:rsidR="003D1735" w:rsidRPr="00DD5891">
        <w:rPr>
          <w:b/>
        </w:rPr>
        <w:t xml:space="preserve">Nash, Ron. </w:t>
      </w:r>
      <w:r w:rsidR="003D1735" w:rsidRPr="00DD5891">
        <w:rPr>
          <w:b/>
          <w:i/>
        </w:rPr>
        <w:t xml:space="preserve">From Seatwork to </w:t>
      </w:r>
      <w:proofErr w:type="spellStart"/>
      <w:r w:rsidR="003D1735" w:rsidRPr="00DD5891">
        <w:rPr>
          <w:b/>
          <w:i/>
        </w:rPr>
        <w:t>Feetwork</w:t>
      </w:r>
      <w:proofErr w:type="spellEnd"/>
      <w:r w:rsidR="003D1735" w:rsidRPr="00DD5891">
        <w:rPr>
          <w:b/>
          <w:i/>
        </w:rPr>
        <w:t>.</w:t>
      </w:r>
      <w:r w:rsidRPr="00DD5891">
        <w:rPr>
          <w:b/>
        </w:rPr>
        <w:t xml:space="preserve"> Thousand Oaks, CA: Corwin, 2012. Print. </w:t>
      </w:r>
    </w:p>
    <w:p w:rsidR="00215B07" w:rsidRDefault="00215B07" w:rsidP="003D1735"/>
    <w:p w:rsidR="003D1735" w:rsidRDefault="003D1735" w:rsidP="00215B07">
      <w:pPr>
        <w:pStyle w:val="ListParagraph"/>
        <w:numPr>
          <w:ilvl w:val="0"/>
          <w:numId w:val="4"/>
        </w:numPr>
      </w:pPr>
      <w:r>
        <w:t xml:space="preserve">According to </w:t>
      </w:r>
      <w:proofErr w:type="spellStart"/>
      <w:r>
        <w:t>Prensky</w:t>
      </w:r>
      <w:proofErr w:type="spellEnd"/>
      <w:r>
        <w:t xml:space="preserve"> (2010), “What today’s kids do have a short attention span for are our old ways of learning” (2).</w:t>
      </w:r>
    </w:p>
    <w:p w:rsidR="003D1735" w:rsidRDefault="003D1735" w:rsidP="00215B07">
      <w:pPr>
        <w:pStyle w:val="ListParagraph"/>
        <w:numPr>
          <w:ilvl w:val="0"/>
          <w:numId w:val="4"/>
        </w:numPr>
      </w:pPr>
      <w:r>
        <w:t>Hannaford (2005) “Movement is not only essential for nerve net development and learning, but also for adequate heart and lung development to support brain function” (158)</w:t>
      </w:r>
    </w:p>
    <w:p w:rsidR="003D1735" w:rsidRDefault="003D1735" w:rsidP="00215B07">
      <w:pPr>
        <w:pStyle w:val="ListParagraph"/>
        <w:numPr>
          <w:ilvl w:val="0"/>
          <w:numId w:val="4"/>
        </w:numPr>
      </w:pPr>
      <w:proofErr w:type="spellStart"/>
      <w:r>
        <w:t>Ratey</w:t>
      </w:r>
      <w:proofErr w:type="spellEnd"/>
      <w:r>
        <w:t xml:space="preserve"> (2008) “Exercise provides an unparalleled stimulus, creating an environment in which the brain is ready, willing, and able to learn” (10)</w:t>
      </w:r>
    </w:p>
    <w:p w:rsidR="003D1735" w:rsidRDefault="003D1735" w:rsidP="00215B07">
      <w:pPr>
        <w:pStyle w:val="ListParagraph"/>
        <w:numPr>
          <w:ilvl w:val="0"/>
          <w:numId w:val="4"/>
        </w:numPr>
      </w:pPr>
      <w:r>
        <w:t>James (2007). “As more and more students are diagnosed with ADHD, the tendency of schools consumed with improving end of year test performance to increase the amount of seatwork is actually ‘boosting symptoms’ of ADHD” (93)</w:t>
      </w:r>
    </w:p>
    <w:p w:rsidR="003D1735" w:rsidRDefault="003D1735" w:rsidP="00215B07">
      <w:pPr>
        <w:pStyle w:val="ListParagraph"/>
        <w:numPr>
          <w:ilvl w:val="0"/>
          <w:numId w:val="4"/>
        </w:numPr>
      </w:pPr>
      <w:r>
        <w:t>Jensen (2005) affirms that movement and learning are connected: “Evidence from imaging sources, anatomical studies, and clinical data shows that moderate exercise enhances cognitive processing” 67)</w:t>
      </w:r>
    </w:p>
    <w:p w:rsidR="00DD5891" w:rsidRDefault="00DD5891" w:rsidP="003D1735"/>
    <w:p w:rsidR="003D1735" w:rsidRPr="00DD5891" w:rsidRDefault="003D1735" w:rsidP="003D1735">
      <w:pPr>
        <w:rPr>
          <w:b/>
        </w:rPr>
      </w:pPr>
      <w:proofErr w:type="spellStart"/>
      <w:r w:rsidRPr="00DD5891">
        <w:rPr>
          <w:b/>
        </w:rPr>
        <w:t>Shoecraft</w:t>
      </w:r>
      <w:proofErr w:type="spellEnd"/>
      <w:r w:rsidRPr="00DD5891">
        <w:rPr>
          <w:b/>
        </w:rPr>
        <w:t xml:space="preserve">, Stacey. </w:t>
      </w:r>
      <w:r w:rsidRPr="00DD5891">
        <w:rPr>
          <w:b/>
          <w:i/>
        </w:rPr>
        <w:t>Teaching Through Movement</w:t>
      </w:r>
      <w:r w:rsidR="00DD5891" w:rsidRPr="00DD5891">
        <w:rPr>
          <w:b/>
        </w:rPr>
        <w:t xml:space="preserve">. </w:t>
      </w:r>
      <w:r w:rsidRPr="00DD5891">
        <w:rPr>
          <w:b/>
        </w:rPr>
        <w:t>2015</w:t>
      </w:r>
      <w:r w:rsidR="00DD5891" w:rsidRPr="00DD5891">
        <w:rPr>
          <w:b/>
        </w:rPr>
        <w:t>. Print.</w:t>
      </w:r>
    </w:p>
    <w:p w:rsidR="003D1735" w:rsidRDefault="00DD5891" w:rsidP="00DD5891">
      <w:pPr>
        <w:pStyle w:val="ListParagraph"/>
        <w:numPr>
          <w:ilvl w:val="0"/>
          <w:numId w:val="5"/>
        </w:numPr>
      </w:pPr>
      <w:r>
        <w:rPr>
          <w:noProof/>
        </w:rPr>
        <w:drawing>
          <wp:anchor distT="0" distB="0" distL="114300" distR="114300" simplePos="0" relativeHeight="251661312" behindDoc="0" locked="0" layoutInCell="1" allowOverlap="1">
            <wp:simplePos x="0" y="0"/>
            <wp:positionH relativeFrom="margin">
              <wp:posOffset>4258945</wp:posOffset>
            </wp:positionH>
            <wp:positionV relativeFrom="paragraph">
              <wp:posOffset>8890</wp:posOffset>
            </wp:positionV>
            <wp:extent cx="2131060" cy="31623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1060" cy="3162300"/>
                    </a:xfrm>
                    <a:prstGeom prst="rect">
                      <a:avLst/>
                    </a:prstGeom>
                  </pic:spPr>
                </pic:pic>
              </a:graphicData>
            </a:graphic>
            <wp14:sizeRelH relativeFrom="margin">
              <wp14:pctWidth>0</wp14:pctWidth>
            </wp14:sizeRelH>
            <wp14:sizeRelV relativeFrom="margin">
              <wp14:pctHeight>0</wp14:pctHeight>
            </wp14:sizeRelV>
          </wp:anchor>
        </w:drawing>
      </w:r>
      <w:r w:rsidR="003D1735">
        <w:t>“Evidence proves referrals in schools decline when there is regular movement in the classroom. Exercise automatically releases a chemical in the brain called serotonin” (page 19).</w:t>
      </w:r>
    </w:p>
    <w:p w:rsidR="003D1735" w:rsidRDefault="003D1735" w:rsidP="00DD5891">
      <w:pPr>
        <w:pStyle w:val="ListParagraph"/>
        <w:numPr>
          <w:ilvl w:val="0"/>
          <w:numId w:val="5"/>
        </w:numPr>
      </w:pPr>
      <w:r>
        <w:t xml:space="preserve">“A short term result is the ability to focus for the next 2-3 hours, as well as improving long term memory” (19).  </w:t>
      </w:r>
    </w:p>
    <w:sectPr w:rsidR="003D1735" w:rsidSect="00DD5891">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667FB"/>
    <w:multiLevelType w:val="hybridMultilevel"/>
    <w:tmpl w:val="CDA23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266E6"/>
    <w:multiLevelType w:val="hybridMultilevel"/>
    <w:tmpl w:val="9D7076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A5DA7"/>
    <w:multiLevelType w:val="hybridMultilevel"/>
    <w:tmpl w:val="309424E8"/>
    <w:lvl w:ilvl="0" w:tplc="AB2059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F6257A"/>
    <w:multiLevelType w:val="hybridMultilevel"/>
    <w:tmpl w:val="6ED8E9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128BE"/>
    <w:multiLevelType w:val="hybridMultilevel"/>
    <w:tmpl w:val="1220CA2C"/>
    <w:lvl w:ilvl="0" w:tplc="993AAB8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35"/>
    <w:rsid w:val="0019164C"/>
    <w:rsid w:val="00215B07"/>
    <w:rsid w:val="00344A7C"/>
    <w:rsid w:val="003C0E26"/>
    <w:rsid w:val="003D1735"/>
    <w:rsid w:val="00500161"/>
    <w:rsid w:val="00533C36"/>
    <w:rsid w:val="00676EE9"/>
    <w:rsid w:val="006B61E7"/>
    <w:rsid w:val="00B33218"/>
    <w:rsid w:val="00D64820"/>
    <w:rsid w:val="00DA3E93"/>
    <w:rsid w:val="00DD5891"/>
    <w:rsid w:val="00EE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EAA9"/>
  <w15:chartTrackingRefBased/>
  <w15:docId w15:val="{AD68210B-89C0-4BAF-B172-43FF4D6E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HUSD</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Kristen</dc:creator>
  <cp:keywords/>
  <dc:description/>
  <cp:lastModifiedBy>Alexander, Kristen</cp:lastModifiedBy>
  <cp:revision>2</cp:revision>
  <dcterms:created xsi:type="dcterms:W3CDTF">2017-12-03T02:22:00Z</dcterms:created>
  <dcterms:modified xsi:type="dcterms:W3CDTF">2017-12-03T02:22:00Z</dcterms:modified>
</cp:coreProperties>
</file>