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20"/>
        <w:jc w:val="center"/>
      </w:pPr>
      <w:r>
        <w:rPr>
          <w:rFonts w:ascii="Aptos Display" w:hAnsi="Aptos Display"/>
          <w:b/>
          <w:color w:val="17365D"/>
          <w:sz w:val="40"/>
        </w:rPr>
        <w:t>Calendrier de traitement par PRP et prolothérapie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8280"/>
      </w:tblGrid>
      <w:tr>
        <w:trPr>
          <w:cantSplit/>
        </w:trPr>
        <w:tc>
          <w:tcPr>
            <w:tcW w:type="dxa" w:w="216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7 JOURS AVANT</w:t>
            </w:r>
          </w:p>
        </w:tc>
        <w:tc>
          <w:tcPr>
            <w:tcW w:type="dxa" w:w="828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Essayez d’alléger votre horaire pour la journée qui suit le traitement. Prévoyez qu’une personne puisse vous reconduire à la maison.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7 JOURS AVANT</w:t>
            </w:r>
          </w:p>
        </w:tc>
        <w:tc>
          <w:tcPr>
            <w:tcW w:type="dxa" w:w="828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334155"/>
                <w:sz w:val="18"/>
              </w:rPr>
              <w:t>Ne prenez pas d’anti-inflammatoires (Aleve, Advil, aspirine, Celebrex, diclofénac, ibuprofène, naproxène ou Voltaren). LE TYLENOL EST PERMIS !</w:t>
            </w:r>
          </w:p>
        </w:tc>
      </w:tr>
      <w:tr>
        <w:trPr>
          <w:cantSplit/>
        </w:trPr>
        <w:tc>
          <w:tcPr>
            <w:tcW w:type="dxa" w:w="216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7 JOURS AVANT</w:t>
            </w:r>
          </w:p>
        </w:tc>
        <w:tc>
          <w:tcPr>
            <w:tcW w:type="dxa" w:w="828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Procurez-vous les analgésiques qui vous ont été prescrits.</w:t>
            </w:r>
          </w:p>
        </w:tc>
      </w:tr>
      <w:tr>
        <w:trPr>
          <w:cantSplit/>
        </w:trPr>
        <w:tc>
          <w:tcPr>
            <w:tcW w:type="dxa" w:w="2160"/>
            <w:shd w:fill="E7F3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TENDONS OU LIGAMENTS</w:t>
            </w:r>
          </w:p>
        </w:tc>
        <w:tc>
          <w:tcPr>
            <w:tcW w:type="dxa" w:w="8280"/>
            <w:shd w:fill="E7F3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Presque tout le monde aura besoin de plusieurs doses de codéine ou de Percocet.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ARTICULATIONS</w:t>
            </w:r>
          </w:p>
        </w:tc>
        <w:tc>
          <w:tcPr>
            <w:tcW w:type="dxa" w:w="828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Presque personne n’aura besoin d’analgésique, et certaines personnes se sentiront même mieux très rapidement.</w:t>
            </w:r>
          </w:p>
        </w:tc>
      </w:tr>
      <w:tr>
        <w:trPr>
          <w:cantSplit/>
        </w:trPr>
        <w:tc>
          <w:tcPr>
            <w:tcW w:type="dxa" w:w="216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1 HEURE AVANT</w:t>
            </w:r>
          </w:p>
        </w:tc>
        <w:tc>
          <w:tcPr>
            <w:tcW w:type="dxa" w:w="828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80" w:line="240" w:lineRule="auto"/>
              <w:jc w:val="left"/>
            </w:pPr>
            <w:r/>
            <w:r>
              <w:rPr>
                <w:rFonts w:ascii="Aptos" w:hAnsi="Aptos"/>
                <w:b/>
                <w:color w:val="334155"/>
                <w:sz w:val="18"/>
              </w:rPr>
              <w:t xml:space="preserve">TENDONS OU LIGAMENTS : </w:t>
            </w:r>
          </w:p>
          <w:p>
            <w:pPr>
              <w:widowControl/>
              <w:spacing w:before="0" w:after="80" w:line="240" w:lineRule="auto"/>
              <w:jc w:val="left"/>
            </w:pPr>
            <w:r>
              <w:rPr>
                <w:rFonts w:ascii="Aptos" w:hAnsi="Aptos"/>
                <w:b w:val="0"/>
                <w:color w:val="334155"/>
                <w:sz w:val="18"/>
              </w:rPr>
              <w:t>Si quelqu’un vous reconduit à la maison, prenez un analgésique. Sinon, attendez d’être rendu(e) à la maison.</w:t>
            </w:r>
          </w:p>
          <w:p>
            <w:pPr>
              <w:widowControl/>
              <w:spacing w:before="0" w:after="80" w:line="240" w:lineRule="auto"/>
              <w:jc w:val="left"/>
            </w:pPr>
            <w:r>
              <w:rPr>
                <w:rFonts w:ascii="Aptos" w:hAnsi="Aptos"/>
                <w:b/>
                <w:color w:val="334155"/>
                <w:sz w:val="18"/>
              </w:rPr>
              <w:t xml:space="preserve">ARTICULATIONS : </w:t>
            </w:r>
          </w:p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color w:val="334155"/>
                <w:sz w:val="18"/>
              </w:rPr>
              <w:t>Presque personne n’a besoin d’analgésique.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PREMIÈRES 24 HEURES APRÈS</w:t>
            </w:r>
          </w:p>
        </w:tc>
        <w:tc>
          <w:tcPr>
            <w:tcW w:type="dxa" w:w="828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Prenez un analgésique qui n’est pas un anti-inflammatoire, comme Tylenol, codéine, T3 ou Percocet.</w:t>
            </w:r>
          </w:p>
        </w:tc>
      </w:tr>
      <w:tr>
        <w:trPr>
          <w:cantSplit/>
        </w:trPr>
        <w:tc>
          <w:tcPr>
            <w:tcW w:type="dxa" w:w="216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PREMIÈRES 24 HEURES APRÈS</w:t>
            </w:r>
          </w:p>
        </w:tc>
        <w:tc>
          <w:tcPr>
            <w:tcW w:type="dxa" w:w="828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Appliquez de la glace si vous le souhaitez, ou de la chaleur si vous préférez : 10 minutes d’application, puis 20 minutes de pause.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PREMIÈRES 24 HEURES APRÈS</w:t>
            </w:r>
          </w:p>
        </w:tc>
        <w:tc>
          <w:tcPr>
            <w:tcW w:type="dxa" w:w="828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Vous pouvez prendre une douche, mais évitez l’immersion dans l’eau, notamment dans un bain, une piscine ou un spa.</w:t>
            </w:r>
          </w:p>
        </w:tc>
      </w:tr>
      <w:tr>
        <w:trPr>
          <w:cantSplit/>
        </w:trPr>
        <w:tc>
          <w:tcPr>
            <w:tcW w:type="dxa" w:w="216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PREMIERS 3 JOURS APRÈS</w:t>
            </w:r>
          </w:p>
        </w:tc>
        <w:tc>
          <w:tcPr>
            <w:tcW w:type="dxa" w:w="828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Surveillez la douleur, la chaleur et l’enflure. Si quelque chose vous inquiète, appelez-nous.</w:t>
            </w:r>
          </w:p>
        </w:tc>
      </w:tr>
      <w:tr>
        <w:trPr>
          <w:cantSplit/>
        </w:trPr>
        <w:tc>
          <w:tcPr>
            <w:tcW w:type="dxa" w:w="2160"/>
            <w:shd w:fill="E7F3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TENDONS OU LIGAMENTS</w:t>
            </w:r>
          </w:p>
        </w:tc>
        <w:tc>
          <w:tcPr>
            <w:tcW w:type="dxa" w:w="8280"/>
            <w:shd w:fill="E7F3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Chez la plupart des personnes, la douleur s’intensifie pendant 24 heures, puis diminue graduellement par la suite.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ARTICULATIONS</w:t>
            </w:r>
          </w:p>
        </w:tc>
        <w:tc>
          <w:tcPr>
            <w:tcW w:type="dxa" w:w="828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Chez la plupart des personnes, la douleur n’augmente que légèrement pendant 24 heures, mais plusieurs se sentent tout à fait bien.</w:t>
            </w:r>
          </w:p>
        </w:tc>
      </w:tr>
      <w:tr>
        <w:trPr>
          <w:cantSplit/>
        </w:trPr>
        <w:tc>
          <w:tcPr>
            <w:tcW w:type="dxa" w:w="216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PREMIERS 7 JOURS APRÈS</w:t>
            </w:r>
          </w:p>
        </w:tc>
        <w:tc>
          <w:tcPr>
            <w:tcW w:type="dxa" w:w="8280"/>
            <w:shd w:fill="EAF3F8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Le mouvement favorise le renforcement, mais n’en faites pas trop.</w:t>
            </w:r>
          </w:p>
        </w:tc>
      </w:tr>
      <w:tr>
        <w:trPr>
          <w:cantSplit/>
        </w:trPr>
        <w:tc>
          <w:tcPr>
            <w:tcW w:type="dxa" w:w="2160"/>
            <w:shd w:fill="E7F3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TENDONS OU LIGAMENTS</w:t>
            </w:r>
          </w:p>
        </w:tc>
        <w:tc>
          <w:tcPr>
            <w:tcW w:type="dxa" w:w="8280"/>
            <w:shd w:fill="E7F3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8"/>
              </w:rPr>
              <w:t>Immobilisez la zone pendant 1 heure. Ensuite, faites des étirements très doux pendant 3 à 5 jours.</w:t>
            </w:r>
          </w:p>
        </w:tc>
      </w:tr>
      <w:tr>
        <w:trPr>
          <w:cantSplit/>
        </w:trPr>
        <w:tc>
          <w:tcPr>
            <w:tcW w:type="dxa" w:w="216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247A81"/>
                <w:sz w:val="16"/>
              </w:rPr>
              <w:t>ARTICULATIONS</w:t>
            </w:r>
          </w:p>
        </w:tc>
        <w:tc>
          <w:tcPr>
            <w:tcW w:type="dxa" w:w="8280"/>
            <w:shd w:fill="FFFFFF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80" w:line="240" w:lineRule="auto"/>
              <w:jc w:val="left"/>
            </w:pPr>
            <w:r/>
            <w:r>
              <w:rPr>
                <w:rFonts w:ascii="Aptos" w:hAnsi="Aptos"/>
                <w:b/>
                <w:color w:val="334155"/>
                <w:sz w:val="18"/>
              </w:rPr>
              <w:t xml:space="preserve">INTERDIT : </w:t>
            </w:r>
          </w:p>
          <w:p>
            <w:pPr>
              <w:widowControl/>
              <w:spacing w:before="0" w:after="80" w:line="240" w:lineRule="auto"/>
              <w:jc w:val="left"/>
            </w:pPr>
            <w:r>
              <w:rPr>
                <w:rFonts w:ascii="Aptos" w:hAnsi="Aptos"/>
                <w:b w:val="0"/>
                <w:color w:val="334155"/>
                <w:sz w:val="18"/>
              </w:rPr>
              <w:t>aucun mouvement impliquant des chocs ou des rebonds pendant 7 jours. Ne courez pas, ne sautez pas et ne participez pas à des entraînements de type « boot camp ».</w:t>
            </w:r>
          </w:p>
          <w:p>
            <w:pPr>
              <w:widowControl/>
              <w:spacing w:before="0" w:after="80" w:line="240" w:lineRule="auto"/>
              <w:jc w:val="left"/>
            </w:pPr>
            <w:r>
              <w:rPr>
                <w:rFonts w:ascii="Aptos" w:hAnsi="Aptos"/>
                <w:b/>
                <w:color w:val="334155"/>
                <w:sz w:val="18"/>
              </w:rPr>
              <w:t xml:space="preserve">PERMIS : </w:t>
            </w:r>
          </w:p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color w:val="334155"/>
                <w:sz w:val="18"/>
              </w:rPr>
              <w:t>vélo stationnaire, vélo elliptique et natation. Veuillez réduire l’intensité de 50 %.</w:t>
            </w:r>
          </w:p>
        </w:tc>
      </w:tr>
      <w:tr>
        <w:trPr>
          <w:cantSplit/>
        </w:trPr>
        <w:tc>
          <w:tcPr>
            <w:tcW w:type="dxa" w:w="10440"/>
            <w:gridSpan w:val="2"/>
            <w:shd w:fill="FCECEE"/>
            <w:tcBorders>
              <w:top w:val="single" w:sz="5" w:color="D2DCE5"/>
              <w:bottom w:val="single" w:sz="5" w:color="D2DCE5"/>
              <w:left w:val="single" w:sz="5" w:color="D2DCE5"/>
              <w:right w:val="single" w:sz="5" w:color="D2DCE5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widowControl/>
              <w:spacing w:before="0" w:after="80" w:line="240" w:lineRule="auto"/>
              <w:jc w:val="left"/>
            </w:pPr>
            <w:r/>
            <w:r>
              <w:rPr>
                <w:rFonts w:ascii="Aptos" w:hAnsi="Aptos"/>
                <w:b w:val="0"/>
                <w:color w:val="334155"/>
                <w:sz w:val="19"/>
              </w:rPr>
              <w:t>Une infection peut survenir, mais cela est rare. Surveillez toute chaleur, rougeur ou enflure qui vous semble anormale.</w:t>
            </w:r>
          </w:p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color w:val="334155"/>
                <w:sz w:val="19"/>
              </w:rPr>
              <w:t>Si cela se produit, vous devez consulter un médecin dans les 24 heures. Consultez notre clinique, votre médecin, une clinique d’urgence ou l’urgence.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de traitement par PRP et prolothérapie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