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0A9BF" w14:textId="5BD77D1D" w:rsidR="004D7E20" w:rsidRDefault="004D7E20" w:rsidP="004D7E20">
      <w:pPr>
        <w:pStyle w:val="Title"/>
      </w:pPr>
      <w:r>
        <w:t>Reading List o</w:t>
      </w:r>
      <w:r w:rsidR="0008084A">
        <w:t>n alignment</w:t>
      </w:r>
      <w:r w:rsidR="00B442D6">
        <w:t xml:space="preserve"> to Practice Planning Consistent with </w:t>
      </w:r>
      <w:r w:rsidR="002162E3">
        <w:t xml:space="preserve">the </w:t>
      </w:r>
      <w:r w:rsidR="00B442D6">
        <w:t>Human Rights</w:t>
      </w:r>
      <w:r w:rsidR="002162E3">
        <w:t xml:space="preserve"> Code</w:t>
      </w:r>
      <w:r w:rsidR="00360808">
        <w:t xml:space="preserve"> and UN Declaration of Human Rights</w:t>
      </w:r>
    </w:p>
    <w:bookmarkStart w:id="0" w:name="_Toc62673592" w:displacedByCustomXml="next"/>
    <w:bookmarkStart w:id="1" w:name="_Toc62661989" w:displacedByCustomXml="next"/>
    <w:bookmarkStart w:id="2" w:name="_Toc62202834" w:displacedByCustomXml="next"/>
    <w:bookmarkStart w:id="3" w:name="_Toc62204287" w:displacedByCustomXml="next"/>
    <w:sdt>
      <w:sdtPr>
        <w:rPr>
          <w:rFonts w:eastAsiaTheme="minorHAnsi"/>
          <w:b w:val="0"/>
          <w:bCs w:val="0"/>
          <w:caps w:val="0"/>
          <w:sz w:val="22"/>
          <w:szCs w:val="22"/>
        </w:rPr>
        <w:id w:val="1848984437"/>
        <w:docPartObj>
          <w:docPartGallery w:val="Table of Contents"/>
          <w:docPartUnique/>
        </w:docPartObj>
      </w:sdtPr>
      <w:sdtEndPr>
        <w:rPr>
          <w:noProof/>
        </w:rPr>
      </w:sdtEndPr>
      <w:sdtContent>
        <w:p w14:paraId="289572C3" w14:textId="2C1184A9" w:rsidR="002124E7" w:rsidRPr="00984221" w:rsidRDefault="002124E7" w:rsidP="000F684E">
          <w:pPr>
            <w:pStyle w:val="Heading1"/>
          </w:pPr>
          <w:r w:rsidRPr="00984221">
            <w:t>Contents</w:t>
          </w:r>
          <w:bookmarkEnd w:id="3"/>
          <w:bookmarkEnd w:id="2"/>
          <w:bookmarkEnd w:id="1"/>
          <w:bookmarkEnd w:id="0"/>
        </w:p>
        <w:p w14:paraId="4CC22FC5" w14:textId="2B875CE3" w:rsidR="008F0BB8" w:rsidRDefault="002124E7">
          <w:pPr>
            <w:pStyle w:val="TOC1"/>
            <w:tabs>
              <w:tab w:val="right" w:leader="dot" w:pos="9926"/>
            </w:tabs>
            <w:rPr>
              <w:rFonts w:eastAsiaTheme="minorEastAsia"/>
              <w:noProof/>
              <w:lang w:eastAsia="en-CA"/>
            </w:rPr>
          </w:pPr>
          <w:r>
            <w:fldChar w:fldCharType="begin"/>
          </w:r>
          <w:r>
            <w:instrText xml:space="preserve"> TOC \o "1-3" \h \z \u </w:instrText>
          </w:r>
          <w:r>
            <w:fldChar w:fldCharType="separate"/>
          </w:r>
          <w:hyperlink w:anchor="_Toc62673592" w:history="1">
            <w:r w:rsidR="008F0BB8" w:rsidRPr="0064423A">
              <w:rPr>
                <w:rStyle w:val="Hyperlink"/>
                <w:noProof/>
              </w:rPr>
              <w:t>Contents</w:t>
            </w:r>
            <w:r w:rsidR="008F0BB8">
              <w:rPr>
                <w:noProof/>
                <w:webHidden/>
              </w:rPr>
              <w:tab/>
            </w:r>
            <w:r w:rsidR="008F0BB8">
              <w:rPr>
                <w:noProof/>
                <w:webHidden/>
              </w:rPr>
              <w:fldChar w:fldCharType="begin"/>
            </w:r>
            <w:r w:rsidR="008F0BB8">
              <w:rPr>
                <w:noProof/>
                <w:webHidden/>
              </w:rPr>
              <w:instrText xml:space="preserve"> PAGEREF _Toc62673592 \h </w:instrText>
            </w:r>
            <w:r w:rsidR="008F0BB8">
              <w:rPr>
                <w:noProof/>
                <w:webHidden/>
              </w:rPr>
            </w:r>
            <w:r w:rsidR="008F0BB8">
              <w:rPr>
                <w:noProof/>
                <w:webHidden/>
              </w:rPr>
              <w:fldChar w:fldCharType="separate"/>
            </w:r>
            <w:r w:rsidR="008F0BB8">
              <w:rPr>
                <w:noProof/>
                <w:webHidden/>
              </w:rPr>
              <w:t>1</w:t>
            </w:r>
            <w:r w:rsidR="008F0BB8">
              <w:rPr>
                <w:noProof/>
                <w:webHidden/>
              </w:rPr>
              <w:fldChar w:fldCharType="end"/>
            </w:r>
          </w:hyperlink>
        </w:p>
        <w:p w14:paraId="50AF6FEF" w14:textId="435B3327" w:rsidR="008F0BB8" w:rsidRDefault="008F0BB8">
          <w:pPr>
            <w:pStyle w:val="TOC2"/>
            <w:tabs>
              <w:tab w:val="right" w:leader="dot" w:pos="9926"/>
            </w:tabs>
            <w:rPr>
              <w:rFonts w:eastAsiaTheme="minorEastAsia"/>
              <w:noProof/>
              <w:lang w:eastAsia="en-CA"/>
            </w:rPr>
          </w:pPr>
          <w:hyperlink w:anchor="_Toc62673593" w:history="1">
            <w:r w:rsidRPr="0064423A">
              <w:rPr>
                <w:rStyle w:val="Hyperlink"/>
                <w:noProof/>
              </w:rPr>
              <w:t>Law</w:t>
            </w:r>
            <w:r>
              <w:rPr>
                <w:noProof/>
                <w:webHidden/>
              </w:rPr>
              <w:tab/>
            </w:r>
            <w:r>
              <w:rPr>
                <w:noProof/>
                <w:webHidden/>
              </w:rPr>
              <w:fldChar w:fldCharType="begin"/>
            </w:r>
            <w:r>
              <w:rPr>
                <w:noProof/>
                <w:webHidden/>
              </w:rPr>
              <w:instrText xml:space="preserve"> PAGEREF _Toc62673593 \h </w:instrText>
            </w:r>
            <w:r>
              <w:rPr>
                <w:noProof/>
                <w:webHidden/>
              </w:rPr>
            </w:r>
            <w:r>
              <w:rPr>
                <w:noProof/>
                <w:webHidden/>
              </w:rPr>
              <w:fldChar w:fldCharType="separate"/>
            </w:r>
            <w:r>
              <w:rPr>
                <w:noProof/>
                <w:webHidden/>
              </w:rPr>
              <w:t>2</w:t>
            </w:r>
            <w:r>
              <w:rPr>
                <w:noProof/>
                <w:webHidden/>
              </w:rPr>
              <w:fldChar w:fldCharType="end"/>
            </w:r>
          </w:hyperlink>
        </w:p>
        <w:p w14:paraId="7565F5B8" w14:textId="1EF9D07D" w:rsidR="008F0BB8" w:rsidRDefault="008F0BB8">
          <w:pPr>
            <w:pStyle w:val="TOC3"/>
            <w:tabs>
              <w:tab w:val="right" w:leader="dot" w:pos="9926"/>
            </w:tabs>
            <w:rPr>
              <w:rFonts w:eastAsiaTheme="minorEastAsia"/>
              <w:noProof/>
              <w:lang w:eastAsia="en-CA"/>
            </w:rPr>
          </w:pPr>
          <w:hyperlink w:anchor="_Toc62673594" w:history="1">
            <w:r w:rsidRPr="0064423A">
              <w:rPr>
                <w:rStyle w:val="Hyperlink"/>
                <w:noProof/>
              </w:rPr>
              <w:t>Ontario Human Rights Code</w:t>
            </w:r>
            <w:r>
              <w:rPr>
                <w:noProof/>
                <w:webHidden/>
              </w:rPr>
              <w:tab/>
            </w:r>
            <w:r>
              <w:rPr>
                <w:noProof/>
                <w:webHidden/>
              </w:rPr>
              <w:fldChar w:fldCharType="begin"/>
            </w:r>
            <w:r>
              <w:rPr>
                <w:noProof/>
                <w:webHidden/>
              </w:rPr>
              <w:instrText xml:space="preserve"> PAGEREF _Toc62673594 \h </w:instrText>
            </w:r>
            <w:r>
              <w:rPr>
                <w:noProof/>
                <w:webHidden/>
              </w:rPr>
            </w:r>
            <w:r>
              <w:rPr>
                <w:noProof/>
                <w:webHidden/>
              </w:rPr>
              <w:fldChar w:fldCharType="separate"/>
            </w:r>
            <w:r>
              <w:rPr>
                <w:noProof/>
                <w:webHidden/>
              </w:rPr>
              <w:t>2</w:t>
            </w:r>
            <w:r>
              <w:rPr>
                <w:noProof/>
                <w:webHidden/>
              </w:rPr>
              <w:fldChar w:fldCharType="end"/>
            </w:r>
          </w:hyperlink>
        </w:p>
        <w:p w14:paraId="63908223" w14:textId="75E1AFB3" w:rsidR="008F0BB8" w:rsidRDefault="008F0BB8">
          <w:pPr>
            <w:pStyle w:val="TOC3"/>
            <w:tabs>
              <w:tab w:val="right" w:leader="dot" w:pos="9926"/>
            </w:tabs>
            <w:rPr>
              <w:rFonts w:eastAsiaTheme="minorEastAsia"/>
              <w:noProof/>
              <w:lang w:eastAsia="en-CA"/>
            </w:rPr>
          </w:pPr>
          <w:hyperlink w:anchor="_Toc62673595" w:history="1">
            <w:r w:rsidRPr="0064423A">
              <w:rPr>
                <w:rStyle w:val="Hyperlink"/>
                <w:noProof/>
              </w:rPr>
              <w:t>Policy on Human Rights and Rental Housing</w:t>
            </w:r>
            <w:r>
              <w:rPr>
                <w:noProof/>
                <w:webHidden/>
              </w:rPr>
              <w:tab/>
            </w:r>
            <w:r>
              <w:rPr>
                <w:noProof/>
                <w:webHidden/>
              </w:rPr>
              <w:fldChar w:fldCharType="begin"/>
            </w:r>
            <w:r>
              <w:rPr>
                <w:noProof/>
                <w:webHidden/>
              </w:rPr>
              <w:instrText xml:space="preserve"> PAGEREF _Toc62673595 \h </w:instrText>
            </w:r>
            <w:r>
              <w:rPr>
                <w:noProof/>
                <w:webHidden/>
              </w:rPr>
            </w:r>
            <w:r>
              <w:rPr>
                <w:noProof/>
                <w:webHidden/>
              </w:rPr>
              <w:fldChar w:fldCharType="separate"/>
            </w:r>
            <w:r>
              <w:rPr>
                <w:noProof/>
                <w:webHidden/>
              </w:rPr>
              <w:t>2</w:t>
            </w:r>
            <w:r>
              <w:rPr>
                <w:noProof/>
                <w:webHidden/>
              </w:rPr>
              <w:fldChar w:fldCharType="end"/>
            </w:r>
          </w:hyperlink>
        </w:p>
        <w:p w14:paraId="39DD60F1" w14:textId="6A7734CB" w:rsidR="008F0BB8" w:rsidRDefault="008F0BB8">
          <w:pPr>
            <w:pStyle w:val="TOC3"/>
            <w:tabs>
              <w:tab w:val="right" w:leader="dot" w:pos="9926"/>
            </w:tabs>
            <w:rPr>
              <w:rFonts w:eastAsiaTheme="minorEastAsia"/>
              <w:noProof/>
              <w:lang w:eastAsia="en-CA"/>
            </w:rPr>
          </w:pPr>
          <w:hyperlink w:anchor="_Toc62673596" w:history="1">
            <w:r w:rsidRPr="0064423A">
              <w:rPr>
                <w:rStyle w:val="Hyperlink"/>
                <w:noProof/>
              </w:rPr>
              <w:t>Planning and Human Rights: Legal Cases and Resources</w:t>
            </w:r>
            <w:r>
              <w:rPr>
                <w:noProof/>
                <w:webHidden/>
              </w:rPr>
              <w:tab/>
            </w:r>
            <w:r>
              <w:rPr>
                <w:noProof/>
                <w:webHidden/>
              </w:rPr>
              <w:fldChar w:fldCharType="begin"/>
            </w:r>
            <w:r>
              <w:rPr>
                <w:noProof/>
                <w:webHidden/>
              </w:rPr>
              <w:instrText xml:space="preserve"> PAGEREF _Toc62673596 \h </w:instrText>
            </w:r>
            <w:r>
              <w:rPr>
                <w:noProof/>
                <w:webHidden/>
              </w:rPr>
            </w:r>
            <w:r>
              <w:rPr>
                <w:noProof/>
                <w:webHidden/>
              </w:rPr>
              <w:fldChar w:fldCharType="separate"/>
            </w:r>
            <w:r>
              <w:rPr>
                <w:noProof/>
                <w:webHidden/>
              </w:rPr>
              <w:t>3</w:t>
            </w:r>
            <w:r>
              <w:rPr>
                <w:noProof/>
                <w:webHidden/>
              </w:rPr>
              <w:fldChar w:fldCharType="end"/>
            </w:r>
          </w:hyperlink>
        </w:p>
        <w:p w14:paraId="7CDCCA6C" w14:textId="2499CD77" w:rsidR="008F0BB8" w:rsidRDefault="008F0BB8">
          <w:pPr>
            <w:pStyle w:val="TOC3"/>
            <w:tabs>
              <w:tab w:val="right" w:leader="dot" w:pos="9926"/>
            </w:tabs>
            <w:rPr>
              <w:rFonts w:eastAsiaTheme="minorEastAsia"/>
              <w:noProof/>
              <w:lang w:eastAsia="en-CA"/>
            </w:rPr>
          </w:pPr>
          <w:hyperlink w:anchor="_Toc62673597" w:history="1">
            <w:r w:rsidRPr="0064423A">
              <w:rPr>
                <w:rStyle w:val="Hyperlink"/>
                <w:noProof/>
              </w:rPr>
              <w:t>Zoning Out Discrimination: Working Towards Housing Equality in Ontario</w:t>
            </w:r>
            <w:r>
              <w:rPr>
                <w:noProof/>
                <w:webHidden/>
              </w:rPr>
              <w:tab/>
            </w:r>
            <w:r>
              <w:rPr>
                <w:noProof/>
                <w:webHidden/>
              </w:rPr>
              <w:fldChar w:fldCharType="begin"/>
            </w:r>
            <w:r>
              <w:rPr>
                <w:noProof/>
                <w:webHidden/>
              </w:rPr>
              <w:instrText xml:space="preserve"> PAGEREF _Toc62673597 \h </w:instrText>
            </w:r>
            <w:r>
              <w:rPr>
                <w:noProof/>
                <w:webHidden/>
              </w:rPr>
            </w:r>
            <w:r>
              <w:rPr>
                <w:noProof/>
                <w:webHidden/>
              </w:rPr>
              <w:fldChar w:fldCharType="separate"/>
            </w:r>
            <w:r>
              <w:rPr>
                <w:noProof/>
                <w:webHidden/>
              </w:rPr>
              <w:t>3</w:t>
            </w:r>
            <w:r>
              <w:rPr>
                <w:noProof/>
                <w:webHidden/>
              </w:rPr>
              <w:fldChar w:fldCharType="end"/>
            </w:r>
          </w:hyperlink>
        </w:p>
        <w:p w14:paraId="3D4E9F60" w14:textId="038FB7D2" w:rsidR="008F0BB8" w:rsidRDefault="008F0BB8">
          <w:pPr>
            <w:pStyle w:val="TOC3"/>
            <w:tabs>
              <w:tab w:val="right" w:leader="dot" w:pos="9926"/>
            </w:tabs>
            <w:rPr>
              <w:rFonts w:eastAsiaTheme="minorEastAsia"/>
              <w:noProof/>
              <w:lang w:eastAsia="en-CA"/>
            </w:rPr>
          </w:pPr>
          <w:hyperlink w:anchor="_Toc62673598" w:history="1">
            <w:r w:rsidRPr="0064423A">
              <w:rPr>
                <w:rStyle w:val="Hyperlink"/>
                <w:noProof/>
              </w:rPr>
              <w:t>Planning Act</w:t>
            </w:r>
            <w:r>
              <w:rPr>
                <w:noProof/>
                <w:webHidden/>
              </w:rPr>
              <w:tab/>
            </w:r>
            <w:r>
              <w:rPr>
                <w:noProof/>
                <w:webHidden/>
              </w:rPr>
              <w:fldChar w:fldCharType="begin"/>
            </w:r>
            <w:r>
              <w:rPr>
                <w:noProof/>
                <w:webHidden/>
              </w:rPr>
              <w:instrText xml:space="preserve"> PAGEREF _Toc62673598 \h </w:instrText>
            </w:r>
            <w:r>
              <w:rPr>
                <w:noProof/>
                <w:webHidden/>
              </w:rPr>
            </w:r>
            <w:r>
              <w:rPr>
                <w:noProof/>
                <w:webHidden/>
              </w:rPr>
              <w:fldChar w:fldCharType="separate"/>
            </w:r>
            <w:r>
              <w:rPr>
                <w:noProof/>
                <w:webHidden/>
              </w:rPr>
              <w:t>3</w:t>
            </w:r>
            <w:r>
              <w:rPr>
                <w:noProof/>
                <w:webHidden/>
              </w:rPr>
              <w:fldChar w:fldCharType="end"/>
            </w:r>
          </w:hyperlink>
        </w:p>
        <w:p w14:paraId="0C44EF62" w14:textId="7D35311B" w:rsidR="008F0BB8" w:rsidRDefault="008F0BB8">
          <w:pPr>
            <w:pStyle w:val="TOC3"/>
            <w:tabs>
              <w:tab w:val="right" w:leader="dot" w:pos="9926"/>
            </w:tabs>
            <w:rPr>
              <w:rFonts w:eastAsiaTheme="minorEastAsia"/>
              <w:noProof/>
              <w:lang w:eastAsia="en-CA"/>
            </w:rPr>
          </w:pPr>
          <w:hyperlink w:anchor="_Toc62673599" w:history="1">
            <w:r w:rsidRPr="0064423A">
              <w:rPr>
                <w:rStyle w:val="Hyperlink"/>
                <w:noProof/>
              </w:rPr>
              <w:t>The Provincial Policy Statement</w:t>
            </w:r>
            <w:r>
              <w:rPr>
                <w:noProof/>
                <w:webHidden/>
              </w:rPr>
              <w:tab/>
            </w:r>
            <w:r>
              <w:rPr>
                <w:noProof/>
                <w:webHidden/>
              </w:rPr>
              <w:fldChar w:fldCharType="begin"/>
            </w:r>
            <w:r>
              <w:rPr>
                <w:noProof/>
                <w:webHidden/>
              </w:rPr>
              <w:instrText xml:space="preserve"> PAGEREF _Toc62673599 \h </w:instrText>
            </w:r>
            <w:r>
              <w:rPr>
                <w:noProof/>
                <w:webHidden/>
              </w:rPr>
            </w:r>
            <w:r>
              <w:rPr>
                <w:noProof/>
                <w:webHidden/>
              </w:rPr>
              <w:fldChar w:fldCharType="separate"/>
            </w:r>
            <w:r>
              <w:rPr>
                <w:noProof/>
                <w:webHidden/>
              </w:rPr>
              <w:t>4</w:t>
            </w:r>
            <w:r>
              <w:rPr>
                <w:noProof/>
                <w:webHidden/>
              </w:rPr>
              <w:fldChar w:fldCharType="end"/>
            </w:r>
          </w:hyperlink>
        </w:p>
        <w:p w14:paraId="4BA03D58" w14:textId="243FEA60" w:rsidR="008F0BB8" w:rsidRDefault="008F0BB8">
          <w:pPr>
            <w:pStyle w:val="TOC3"/>
            <w:tabs>
              <w:tab w:val="right" w:leader="dot" w:pos="9926"/>
            </w:tabs>
            <w:rPr>
              <w:rFonts w:eastAsiaTheme="minorEastAsia"/>
              <w:noProof/>
              <w:lang w:eastAsia="en-CA"/>
            </w:rPr>
          </w:pPr>
          <w:hyperlink w:anchor="_Toc62673600" w:history="1">
            <w:r w:rsidRPr="0064423A">
              <w:rPr>
                <w:rStyle w:val="Hyperlink"/>
                <w:noProof/>
              </w:rPr>
              <w:t>A Place to Grow: Growth Plan for the Greater Golden Horseshoe</w:t>
            </w:r>
            <w:r>
              <w:rPr>
                <w:noProof/>
                <w:webHidden/>
              </w:rPr>
              <w:tab/>
            </w:r>
            <w:r>
              <w:rPr>
                <w:noProof/>
                <w:webHidden/>
              </w:rPr>
              <w:fldChar w:fldCharType="begin"/>
            </w:r>
            <w:r>
              <w:rPr>
                <w:noProof/>
                <w:webHidden/>
              </w:rPr>
              <w:instrText xml:space="preserve"> PAGEREF _Toc62673600 \h </w:instrText>
            </w:r>
            <w:r>
              <w:rPr>
                <w:noProof/>
                <w:webHidden/>
              </w:rPr>
            </w:r>
            <w:r>
              <w:rPr>
                <w:noProof/>
                <w:webHidden/>
              </w:rPr>
              <w:fldChar w:fldCharType="separate"/>
            </w:r>
            <w:r>
              <w:rPr>
                <w:noProof/>
                <w:webHidden/>
              </w:rPr>
              <w:t>4</w:t>
            </w:r>
            <w:r>
              <w:rPr>
                <w:noProof/>
                <w:webHidden/>
              </w:rPr>
              <w:fldChar w:fldCharType="end"/>
            </w:r>
          </w:hyperlink>
        </w:p>
        <w:p w14:paraId="5D5E4264" w14:textId="559D56B6" w:rsidR="008F0BB8" w:rsidRDefault="008F0BB8">
          <w:pPr>
            <w:pStyle w:val="TOC2"/>
            <w:tabs>
              <w:tab w:val="right" w:leader="dot" w:pos="9926"/>
            </w:tabs>
            <w:rPr>
              <w:rFonts w:eastAsiaTheme="minorEastAsia"/>
              <w:noProof/>
              <w:lang w:eastAsia="en-CA"/>
            </w:rPr>
          </w:pPr>
          <w:hyperlink w:anchor="_Toc62673601" w:history="1">
            <w:r w:rsidRPr="0064423A">
              <w:rPr>
                <w:rStyle w:val="Hyperlink"/>
                <w:noProof/>
              </w:rPr>
              <w:t>United Nations</w:t>
            </w:r>
            <w:r>
              <w:rPr>
                <w:noProof/>
                <w:webHidden/>
              </w:rPr>
              <w:tab/>
            </w:r>
            <w:r>
              <w:rPr>
                <w:noProof/>
                <w:webHidden/>
              </w:rPr>
              <w:fldChar w:fldCharType="begin"/>
            </w:r>
            <w:r>
              <w:rPr>
                <w:noProof/>
                <w:webHidden/>
              </w:rPr>
              <w:instrText xml:space="preserve"> PAGEREF _Toc62673601 \h </w:instrText>
            </w:r>
            <w:r>
              <w:rPr>
                <w:noProof/>
                <w:webHidden/>
              </w:rPr>
            </w:r>
            <w:r>
              <w:rPr>
                <w:noProof/>
                <w:webHidden/>
              </w:rPr>
              <w:fldChar w:fldCharType="separate"/>
            </w:r>
            <w:r>
              <w:rPr>
                <w:noProof/>
                <w:webHidden/>
              </w:rPr>
              <w:t>5</w:t>
            </w:r>
            <w:r>
              <w:rPr>
                <w:noProof/>
                <w:webHidden/>
              </w:rPr>
              <w:fldChar w:fldCharType="end"/>
            </w:r>
          </w:hyperlink>
        </w:p>
        <w:p w14:paraId="0425E5FA" w14:textId="07C5C066" w:rsidR="008F0BB8" w:rsidRDefault="008F0BB8">
          <w:pPr>
            <w:pStyle w:val="TOC2"/>
            <w:tabs>
              <w:tab w:val="right" w:leader="dot" w:pos="9926"/>
            </w:tabs>
            <w:rPr>
              <w:rFonts w:eastAsiaTheme="minorEastAsia"/>
              <w:noProof/>
              <w:lang w:eastAsia="en-CA"/>
            </w:rPr>
          </w:pPr>
          <w:hyperlink w:anchor="_Toc62673602" w:history="1">
            <w:r w:rsidRPr="0064423A">
              <w:rPr>
                <w:rStyle w:val="Hyperlink"/>
                <w:noProof/>
              </w:rPr>
              <w:t>Ontario Provincial Planning Institute</w:t>
            </w:r>
            <w:r>
              <w:rPr>
                <w:noProof/>
                <w:webHidden/>
              </w:rPr>
              <w:tab/>
            </w:r>
            <w:r>
              <w:rPr>
                <w:noProof/>
                <w:webHidden/>
              </w:rPr>
              <w:fldChar w:fldCharType="begin"/>
            </w:r>
            <w:r>
              <w:rPr>
                <w:noProof/>
                <w:webHidden/>
              </w:rPr>
              <w:instrText xml:space="preserve"> PAGEREF _Toc62673602 \h </w:instrText>
            </w:r>
            <w:r>
              <w:rPr>
                <w:noProof/>
                <w:webHidden/>
              </w:rPr>
            </w:r>
            <w:r>
              <w:rPr>
                <w:noProof/>
                <w:webHidden/>
              </w:rPr>
              <w:fldChar w:fldCharType="separate"/>
            </w:r>
            <w:r>
              <w:rPr>
                <w:noProof/>
                <w:webHidden/>
              </w:rPr>
              <w:t>6</w:t>
            </w:r>
            <w:r>
              <w:rPr>
                <w:noProof/>
                <w:webHidden/>
              </w:rPr>
              <w:fldChar w:fldCharType="end"/>
            </w:r>
          </w:hyperlink>
        </w:p>
        <w:p w14:paraId="3CF44DA9" w14:textId="6B3C0B00" w:rsidR="008F0BB8" w:rsidRDefault="008F0BB8">
          <w:pPr>
            <w:pStyle w:val="TOC3"/>
            <w:tabs>
              <w:tab w:val="right" w:leader="dot" w:pos="9926"/>
            </w:tabs>
            <w:rPr>
              <w:rFonts w:eastAsiaTheme="minorEastAsia"/>
              <w:noProof/>
              <w:lang w:eastAsia="en-CA"/>
            </w:rPr>
          </w:pPr>
          <w:hyperlink w:anchor="_Toc62673603" w:history="1">
            <w:r w:rsidRPr="0064423A">
              <w:rPr>
                <w:rStyle w:val="Hyperlink"/>
                <w:noProof/>
              </w:rPr>
              <w:t>Anti-Black Racism in Planning Task Force: Terms of Reference</w:t>
            </w:r>
            <w:r>
              <w:rPr>
                <w:noProof/>
                <w:webHidden/>
              </w:rPr>
              <w:tab/>
            </w:r>
            <w:r>
              <w:rPr>
                <w:noProof/>
                <w:webHidden/>
              </w:rPr>
              <w:fldChar w:fldCharType="begin"/>
            </w:r>
            <w:r>
              <w:rPr>
                <w:noProof/>
                <w:webHidden/>
              </w:rPr>
              <w:instrText xml:space="preserve"> PAGEREF _Toc62673603 \h </w:instrText>
            </w:r>
            <w:r>
              <w:rPr>
                <w:noProof/>
                <w:webHidden/>
              </w:rPr>
            </w:r>
            <w:r>
              <w:rPr>
                <w:noProof/>
                <w:webHidden/>
              </w:rPr>
              <w:fldChar w:fldCharType="separate"/>
            </w:r>
            <w:r>
              <w:rPr>
                <w:noProof/>
                <w:webHidden/>
              </w:rPr>
              <w:t>6</w:t>
            </w:r>
            <w:r>
              <w:rPr>
                <w:noProof/>
                <w:webHidden/>
              </w:rPr>
              <w:fldChar w:fldCharType="end"/>
            </w:r>
          </w:hyperlink>
        </w:p>
        <w:p w14:paraId="03541BD3" w14:textId="57D80547" w:rsidR="008F0BB8" w:rsidRDefault="008F0BB8">
          <w:pPr>
            <w:pStyle w:val="TOC3"/>
            <w:tabs>
              <w:tab w:val="right" w:leader="dot" w:pos="9926"/>
            </w:tabs>
            <w:rPr>
              <w:rFonts w:eastAsiaTheme="minorEastAsia"/>
              <w:noProof/>
              <w:lang w:eastAsia="en-CA"/>
            </w:rPr>
          </w:pPr>
          <w:hyperlink w:anchor="_Toc62673604" w:history="1">
            <w:r w:rsidRPr="0064423A">
              <w:rPr>
                <w:rStyle w:val="Hyperlink"/>
                <w:noProof/>
              </w:rPr>
              <w:t>Zoning for Inclusion: Human Rights and the Public Interest</w:t>
            </w:r>
            <w:r>
              <w:rPr>
                <w:noProof/>
                <w:webHidden/>
              </w:rPr>
              <w:tab/>
            </w:r>
            <w:r>
              <w:rPr>
                <w:noProof/>
                <w:webHidden/>
              </w:rPr>
              <w:fldChar w:fldCharType="begin"/>
            </w:r>
            <w:r>
              <w:rPr>
                <w:noProof/>
                <w:webHidden/>
              </w:rPr>
              <w:instrText xml:space="preserve"> PAGEREF _Toc62673604 \h </w:instrText>
            </w:r>
            <w:r>
              <w:rPr>
                <w:noProof/>
                <w:webHidden/>
              </w:rPr>
            </w:r>
            <w:r>
              <w:rPr>
                <w:noProof/>
                <w:webHidden/>
              </w:rPr>
              <w:fldChar w:fldCharType="separate"/>
            </w:r>
            <w:r>
              <w:rPr>
                <w:noProof/>
                <w:webHidden/>
              </w:rPr>
              <w:t>7</w:t>
            </w:r>
            <w:r>
              <w:rPr>
                <w:noProof/>
                <w:webHidden/>
              </w:rPr>
              <w:fldChar w:fldCharType="end"/>
            </w:r>
          </w:hyperlink>
        </w:p>
        <w:p w14:paraId="1B80A370" w14:textId="4CBC0F72" w:rsidR="002124E7" w:rsidRPr="004D7E20" w:rsidRDefault="002124E7" w:rsidP="004D7E20">
          <w:r>
            <w:rPr>
              <w:b/>
              <w:bCs/>
              <w:noProof/>
            </w:rPr>
            <w:fldChar w:fldCharType="end"/>
          </w:r>
        </w:p>
      </w:sdtContent>
    </w:sdt>
    <w:p w14:paraId="76E48B4F" w14:textId="444D2E92" w:rsidR="004463C5" w:rsidRDefault="004463C5">
      <w:r>
        <w:t>This is an incomplete annotated reading list of key documents.</w:t>
      </w:r>
    </w:p>
    <w:p w14:paraId="600071DA" w14:textId="0C1C97BB" w:rsidR="004463C5" w:rsidRDefault="004463C5">
      <w:r>
        <w:br w:type="page"/>
      </w:r>
    </w:p>
    <w:p w14:paraId="4999F24C" w14:textId="4C4B73F7" w:rsidR="004D7E20" w:rsidRDefault="004D7E20" w:rsidP="005621AE">
      <w:pPr>
        <w:pStyle w:val="Heading2"/>
        <w:tabs>
          <w:tab w:val="left" w:pos="3393"/>
        </w:tabs>
      </w:pPr>
      <w:bookmarkStart w:id="4" w:name="_Toc62673593"/>
      <w:r>
        <w:lastRenderedPageBreak/>
        <w:t>Law</w:t>
      </w:r>
      <w:bookmarkEnd w:id="4"/>
      <w:r w:rsidR="005621AE">
        <w:tab/>
      </w:r>
    </w:p>
    <w:p w14:paraId="59E35E9B" w14:textId="19A90DF0" w:rsidR="001E1D9C" w:rsidRDefault="005F3EA6" w:rsidP="001E1D9C">
      <w:pPr>
        <w:pStyle w:val="Heading3"/>
      </w:pPr>
      <w:hyperlink r:id="rId8" w:history="1">
        <w:bookmarkStart w:id="5" w:name="_Toc62673594"/>
        <w:r w:rsidR="00725AAB">
          <w:rPr>
            <w:rStyle w:val="Hyperlink"/>
          </w:rPr>
          <w:t>Ontario H</w:t>
        </w:r>
        <w:r w:rsidR="001E1D9C">
          <w:rPr>
            <w:rStyle w:val="Hyperlink"/>
          </w:rPr>
          <w:t>uman Rights Code</w:t>
        </w:r>
        <w:bookmarkEnd w:id="5"/>
      </w:hyperlink>
    </w:p>
    <w:p w14:paraId="3D6E43A5" w14:textId="76B00601" w:rsidR="001E1D9C" w:rsidRDefault="001E1D9C" w:rsidP="001E1D9C">
      <w:r>
        <w:rPr>
          <w:b/>
          <w:bCs/>
        </w:rPr>
        <w:t xml:space="preserve">Author: </w:t>
      </w:r>
      <w:r>
        <w:t>Ontario Human Rights Commission</w:t>
      </w:r>
      <w:r>
        <w:br/>
      </w:r>
      <w:r w:rsidRPr="00A21A6F">
        <w:rPr>
          <w:b/>
          <w:bCs/>
        </w:rPr>
        <w:t>Published:</w:t>
      </w:r>
      <w:r>
        <w:t xml:space="preserve"> Consolidation Period: from January 8, 2021</w:t>
      </w:r>
    </w:p>
    <w:p w14:paraId="2991ACFB" w14:textId="7B9AD6E9" w:rsidR="001E1D9C" w:rsidRDefault="001E1D9C" w:rsidP="00676DEF">
      <w:pPr>
        <w:rPr>
          <w:i/>
          <w:iCs/>
        </w:rPr>
      </w:pPr>
      <w:r>
        <w:t xml:space="preserve">Below is a clipping from the website which pulls out the protected </w:t>
      </w:r>
      <w:r w:rsidRPr="001E1D9C">
        <w:rPr>
          <w:i/>
          <w:iCs/>
        </w:rPr>
        <w:t>grounds</w:t>
      </w:r>
      <w:r>
        <w:t xml:space="preserve"> and protected </w:t>
      </w:r>
      <w:r w:rsidRPr="001E1D9C">
        <w:rPr>
          <w:i/>
          <w:iCs/>
        </w:rPr>
        <w:t>social area</w:t>
      </w:r>
      <w:r>
        <w:rPr>
          <w:i/>
          <w:iCs/>
        </w:rPr>
        <w:t xml:space="preserve">. </w:t>
      </w:r>
      <w:r w:rsidRPr="007D5CBD">
        <w:t xml:space="preserve">Clipping retrieved from </w:t>
      </w:r>
      <w:hyperlink r:id="rId9" w:history="1">
        <w:r w:rsidRPr="007D5CBD">
          <w:rPr>
            <w:rStyle w:val="Hyperlink"/>
          </w:rPr>
          <w:t>(ohrc.on.ca)</w:t>
        </w:r>
      </w:hyperlink>
      <w:r w:rsidRPr="007D5CBD">
        <w:t xml:space="preserve"> (also</w:t>
      </w:r>
      <w:r>
        <w:t xml:space="preserve"> includes additional </w:t>
      </w:r>
      <w:r w:rsidR="007D5CBD">
        <w:t>readings</w:t>
      </w:r>
      <w:r>
        <w:t>)</w:t>
      </w:r>
    </w:p>
    <w:p w14:paraId="1A010538" w14:textId="4310F78D" w:rsidR="001E1D9C" w:rsidRPr="001E1D9C" w:rsidRDefault="001E1D9C" w:rsidP="00676DEF">
      <w:r w:rsidRPr="001E1D9C">
        <w:rPr>
          <w:noProof/>
        </w:rPr>
        <w:drawing>
          <wp:inline distT="0" distB="0" distL="0" distR="0" wp14:anchorId="7CF5BF59" wp14:editId="01A2C2C6">
            <wp:extent cx="4475041" cy="3140765"/>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3035" cy="3146375"/>
                    </a:xfrm>
                    <a:prstGeom prst="rect">
                      <a:avLst/>
                    </a:prstGeom>
                  </pic:spPr>
                </pic:pic>
              </a:graphicData>
            </a:graphic>
          </wp:inline>
        </w:drawing>
      </w:r>
    </w:p>
    <w:p w14:paraId="1BCAF456" w14:textId="65CB2567" w:rsidR="001E1D9C" w:rsidRDefault="005F3EA6" w:rsidP="001E1D9C">
      <w:pPr>
        <w:pStyle w:val="Heading3"/>
        <w:rPr>
          <w:bCs/>
        </w:rPr>
      </w:pPr>
      <w:hyperlink r:id="rId11" w:history="1">
        <w:bookmarkStart w:id="6" w:name="_Toc62673595"/>
        <w:r w:rsidR="001E1D9C">
          <w:rPr>
            <w:rStyle w:val="Hyperlink"/>
          </w:rPr>
          <w:t>Policy on Human Rights and Rental Housing</w:t>
        </w:r>
        <w:bookmarkEnd w:id="6"/>
      </w:hyperlink>
    </w:p>
    <w:p w14:paraId="5E3C7C37" w14:textId="208A4E14" w:rsidR="00676DEF" w:rsidRDefault="00676DEF" w:rsidP="00676DEF">
      <w:r w:rsidRPr="004D7E20">
        <w:rPr>
          <w:b/>
          <w:bCs/>
        </w:rPr>
        <w:t>Author:</w:t>
      </w:r>
      <w:r w:rsidRPr="004D7E20">
        <w:t xml:space="preserve"> </w:t>
      </w:r>
      <w:r>
        <w:t>Ontario Human Rights Commission</w:t>
      </w:r>
      <w:r w:rsidR="001E1D9C">
        <w:br/>
      </w:r>
      <w:r w:rsidRPr="00676DEF">
        <w:rPr>
          <w:b/>
          <w:bCs/>
        </w:rPr>
        <w:t>Published:</w:t>
      </w:r>
      <w:r>
        <w:t xml:space="preserve"> Approved by the Ontario Human rights Commission 2009</w:t>
      </w:r>
    </w:p>
    <w:p w14:paraId="51763341" w14:textId="77777777" w:rsidR="00676DEF" w:rsidRDefault="00676DEF" w:rsidP="00676DEF">
      <w:pPr>
        <w:rPr>
          <w:rFonts w:ascii="Calibri" w:hAnsi="Calibri" w:cs="Calibri"/>
          <w:i/>
          <w:iCs/>
          <w:lang w:val="en-US"/>
        </w:rPr>
      </w:pPr>
      <w:r>
        <w:t xml:space="preserve">Document describing Canada’s agreement to the </w:t>
      </w:r>
      <w:r w:rsidRPr="00676DEF">
        <w:t>International Covenant on Civil and Political Rights and the International Covenant on Economic, Social and Cultural Rights</w:t>
      </w:r>
      <w:r>
        <w:t xml:space="preserve"> (covenants that give legal force to the </w:t>
      </w:r>
      <w:r w:rsidRPr="00676DEF">
        <w:t>Universal Declaration of Human Rights</w:t>
      </w:r>
      <w:r>
        <w:t>. Includes multiple examples of specific cases of discriminatory planning practices, as well as statements including the following:</w:t>
      </w:r>
    </w:p>
    <w:p w14:paraId="3E992652" w14:textId="77777777" w:rsidR="00676DEF" w:rsidRDefault="00676DEF" w:rsidP="00676DEF">
      <w:pPr>
        <w:rPr>
          <w:rFonts w:ascii="Calibri" w:hAnsi="Calibri" w:cs="Calibri"/>
          <w:i/>
          <w:iCs/>
          <w:lang w:val="en-US"/>
        </w:rPr>
      </w:pPr>
      <w:r>
        <w:rPr>
          <w:rFonts w:ascii="Calibri" w:hAnsi="Calibri" w:cs="Calibri"/>
          <w:i/>
          <w:iCs/>
          <w:lang w:val="en-US"/>
        </w:rPr>
        <w:t>“Also, when planning policies or practices are directed towards, or disproportionately affect, Code-protected populations, they may be seen to violate the Code.”</w:t>
      </w:r>
    </w:p>
    <w:p w14:paraId="145FEC3C" w14:textId="77777777" w:rsidR="00676DEF" w:rsidRDefault="00676DEF" w:rsidP="00676DEF">
      <w:pPr>
        <w:rPr>
          <w:rFonts w:ascii="Calibri" w:hAnsi="Calibri" w:cs="Calibri"/>
          <w:i/>
          <w:iCs/>
          <w:lang w:val="en-US"/>
        </w:rPr>
      </w:pPr>
      <w:r>
        <w:rPr>
          <w:rFonts w:ascii="Calibri" w:hAnsi="Calibri" w:cs="Calibri"/>
          <w:i/>
          <w:iCs/>
          <w:lang w:val="en-US"/>
        </w:rPr>
        <w:t>“</w:t>
      </w:r>
      <w:r w:rsidRPr="00513DF2">
        <w:rPr>
          <w:rFonts w:ascii="Calibri" w:hAnsi="Calibri" w:cs="Calibri"/>
          <w:i/>
          <w:iCs/>
          <w:lang w:val="en-US"/>
        </w:rPr>
        <w:t>City Councils, councilors, neighbourhood associations, developers, decision-makers such as the Ontario Municipal Board, and individuals all have a responsibility to refrain from discrimination against people identified by Code grounds based on NIMBYism, and to make sure policies and practices do not give rise to differential treatment.</w:t>
      </w:r>
    </w:p>
    <w:p w14:paraId="3EF68879" w14:textId="3EEF6CB8" w:rsidR="004463C5" w:rsidRDefault="00676DEF" w:rsidP="00676DEF">
      <w:pPr>
        <w:rPr>
          <w:rFonts w:ascii="Calibri" w:hAnsi="Calibri" w:cs="Calibri"/>
          <w:i/>
          <w:iCs/>
          <w:lang w:val="en-US"/>
        </w:rPr>
      </w:pPr>
      <w:r w:rsidRPr="00513DF2">
        <w:rPr>
          <w:rFonts w:ascii="Calibri" w:hAnsi="Calibri" w:cs="Calibri"/>
          <w:i/>
          <w:iCs/>
          <w:lang w:val="en-US"/>
        </w:rPr>
        <w:t xml:space="preserve">Even though these organizations and individuals may not provide housing directly, they still have an obligation not to contribute to indirect discrimination in the context of </w:t>
      </w:r>
      <w:proofErr w:type="gramStart"/>
      <w:r w:rsidRPr="00513DF2">
        <w:rPr>
          <w:rFonts w:ascii="Calibri" w:hAnsi="Calibri" w:cs="Calibri"/>
          <w:i/>
          <w:iCs/>
          <w:lang w:val="en-US"/>
        </w:rPr>
        <w:t>housing</w:t>
      </w:r>
      <w:proofErr w:type="gramEnd"/>
      <w:r>
        <w:rPr>
          <w:rFonts w:ascii="Calibri" w:hAnsi="Calibri" w:cs="Calibri"/>
          <w:i/>
          <w:iCs/>
          <w:lang w:val="en-US"/>
        </w:rPr>
        <w:t>”</w:t>
      </w:r>
    </w:p>
    <w:p w14:paraId="022AAF35" w14:textId="77777777" w:rsidR="004463C5" w:rsidRDefault="004463C5">
      <w:pPr>
        <w:rPr>
          <w:rFonts w:ascii="Calibri" w:hAnsi="Calibri" w:cs="Calibri"/>
          <w:i/>
          <w:iCs/>
          <w:lang w:val="en-US"/>
        </w:rPr>
      </w:pPr>
      <w:r>
        <w:rPr>
          <w:rFonts w:ascii="Calibri" w:hAnsi="Calibri" w:cs="Calibri"/>
          <w:i/>
          <w:iCs/>
          <w:lang w:val="en-US"/>
        </w:rPr>
        <w:br w:type="page"/>
      </w:r>
    </w:p>
    <w:p w14:paraId="7FC8778E" w14:textId="3D66BD1B" w:rsidR="001E1D9C" w:rsidRDefault="005F3EA6" w:rsidP="001E1D9C">
      <w:pPr>
        <w:pStyle w:val="Heading3"/>
      </w:pPr>
      <w:hyperlink r:id="rId12" w:history="1">
        <w:bookmarkStart w:id="7" w:name="_Toc62673596"/>
        <w:r w:rsidR="001E1D9C" w:rsidRPr="00676DEF">
          <w:rPr>
            <w:rStyle w:val="Hyperlink"/>
          </w:rPr>
          <w:t>Planning and Human Rights: Legal Cases and Resources</w:t>
        </w:r>
        <w:bookmarkEnd w:id="7"/>
      </w:hyperlink>
    </w:p>
    <w:p w14:paraId="6B78C576" w14:textId="319A839C" w:rsidR="00676DEF" w:rsidRPr="001E1D9C" w:rsidRDefault="00676DEF" w:rsidP="00676DEF">
      <w:r w:rsidRPr="001E1D9C">
        <w:rPr>
          <w:b/>
          <w:bCs/>
        </w:rPr>
        <w:t>Author:</w:t>
      </w:r>
      <w:r>
        <w:t xml:space="preserve"> Ontario Human Rights Commission</w:t>
      </w:r>
      <w:r w:rsidR="001E1D9C">
        <w:br/>
      </w:r>
      <w:r w:rsidRPr="00676DEF">
        <w:rPr>
          <w:b/>
          <w:bCs/>
        </w:rPr>
        <w:t>Published:</w:t>
      </w:r>
      <w:r w:rsidR="001E1D9C">
        <w:rPr>
          <w:b/>
          <w:bCs/>
        </w:rPr>
        <w:t xml:space="preserve"> </w:t>
      </w:r>
      <w:r w:rsidR="001E1D9C">
        <w:t>No date</w:t>
      </w:r>
    </w:p>
    <w:p w14:paraId="1CD5575D" w14:textId="4214D200" w:rsidR="00676DEF" w:rsidRPr="00676DEF" w:rsidRDefault="00676DEF" w:rsidP="00676DEF">
      <w:r>
        <w:t>A reading list of human rights and planning intersections, prepared by the Ontario Human Rights Commission. Includes the PPS, Municipal Councillor’s Guide, legal cases, reports, tip sheets and other material.</w:t>
      </w:r>
    </w:p>
    <w:p w14:paraId="0BC50DEB" w14:textId="297182BC" w:rsidR="001E1D9C" w:rsidRDefault="005F3EA6" w:rsidP="001E1D9C">
      <w:pPr>
        <w:pStyle w:val="Heading3"/>
        <w:rPr>
          <w:bCs/>
        </w:rPr>
      </w:pPr>
      <w:hyperlink r:id="rId13" w:history="1">
        <w:bookmarkStart w:id="8" w:name="_Toc62673597"/>
        <w:r w:rsidR="001E1D9C">
          <w:rPr>
            <w:rStyle w:val="Hyperlink"/>
          </w:rPr>
          <w:t>Zoning Out Discrimination: Working Towards Housing Equality in Ontario</w:t>
        </w:r>
        <w:bookmarkEnd w:id="8"/>
      </w:hyperlink>
    </w:p>
    <w:p w14:paraId="0D70D501" w14:textId="7316DB8C" w:rsidR="00513DF2" w:rsidRDefault="004D7E20" w:rsidP="00513DF2">
      <w:r w:rsidRPr="004D7E20">
        <w:rPr>
          <w:b/>
          <w:bCs/>
        </w:rPr>
        <w:t>Author:</w:t>
      </w:r>
      <w:r w:rsidRPr="004D7E20">
        <w:t xml:space="preserve"> </w:t>
      </w:r>
      <w:hyperlink r:id="rId14" w:history="1">
        <w:r w:rsidRPr="00513DF2">
          <w:rPr>
            <w:rStyle w:val="Hyperlink"/>
          </w:rPr>
          <w:t xml:space="preserve">Jessica Simone </w:t>
        </w:r>
        <w:proofErr w:type="spellStart"/>
        <w:r w:rsidRPr="00513DF2">
          <w:rPr>
            <w:rStyle w:val="Hyperlink"/>
          </w:rPr>
          <w:t>Roher</w:t>
        </w:r>
        <w:proofErr w:type="spellEnd"/>
      </w:hyperlink>
      <w:r>
        <w:t xml:space="preserve">, </w:t>
      </w:r>
      <w:r w:rsidR="00513DF2">
        <w:t>lawyer</w:t>
      </w:r>
      <w:r w:rsidR="001E1D9C">
        <w:br/>
      </w:r>
      <w:r w:rsidR="00513DF2" w:rsidRPr="001E1D9C">
        <w:rPr>
          <w:b/>
          <w:bCs/>
        </w:rPr>
        <w:t>Published:</w:t>
      </w:r>
      <w:r w:rsidR="00513DF2">
        <w:t xml:space="preserve"> </w:t>
      </w:r>
      <w:r w:rsidR="001E1D9C">
        <w:t xml:space="preserve"> </w:t>
      </w:r>
      <w:r w:rsidR="005621AE">
        <w:t xml:space="preserve">Journal of Law and Social Policy, </w:t>
      </w:r>
      <w:r w:rsidR="001E1D9C">
        <w:t>2016</w:t>
      </w:r>
    </w:p>
    <w:p w14:paraId="26863382" w14:textId="6C29A2E1" w:rsidR="00F2699B" w:rsidRDefault="005621AE">
      <w:r>
        <w:t>D</w:t>
      </w:r>
      <w:r w:rsidR="00513DF2">
        <w:t>escribes</w:t>
      </w:r>
      <w:r w:rsidR="005342B9">
        <w:t xml:space="preserve">, </w:t>
      </w:r>
      <w:proofErr w:type="gramStart"/>
      <w:r w:rsidR="005342B9">
        <w:t>through the use of</w:t>
      </w:r>
      <w:proofErr w:type="gramEnd"/>
      <w:r w:rsidR="005342B9">
        <w:t xml:space="preserve"> case law,</w:t>
      </w:r>
      <w:r w:rsidR="00513DF2">
        <w:t xml:space="preserve"> the three levels of human rights discrimination, and how the culture of planning (systemic discrimination) applies discriminatory practices to produce and implement discriminatory zoning bylaws (indirect discrimination) which then result in direct discrimination (houselessness of people protected by the Ontario Human Rights Code).</w:t>
      </w:r>
      <w:r w:rsidR="00802D50">
        <w:t xml:space="preserve"> Understanding </w:t>
      </w:r>
      <w:r w:rsidR="00CD11DE">
        <w:t>discrimination</w:t>
      </w:r>
      <w:r w:rsidR="00802D50">
        <w:t xml:space="preserve"> as it functions in these three levels (systemic, indirect, and direct), are critical to </w:t>
      </w:r>
      <w:r w:rsidR="00CD11DE">
        <w:t>identify and shifting discriminatory practices.</w:t>
      </w:r>
    </w:p>
    <w:p w14:paraId="363FFDB4" w14:textId="02B13C8B" w:rsidR="00570EE9" w:rsidRDefault="005F3EA6" w:rsidP="00570EE9">
      <w:pPr>
        <w:pStyle w:val="Heading3"/>
      </w:pPr>
      <w:hyperlink r:id="rId15" w:history="1">
        <w:bookmarkStart w:id="9" w:name="_Toc62673598"/>
        <w:r w:rsidR="00A12268" w:rsidRPr="00570EE9">
          <w:rPr>
            <w:rStyle w:val="Hyperlink"/>
          </w:rPr>
          <w:t>Planning Act</w:t>
        </w:r>
        <w:bookmarkEnd w:id="9"/>
      </w:hyperlink>
    </w:p>
    <w:p w14:paraId="71BEE7CC" w14:textId="644BB304" w:rsidR="00570EE9" w:rsidRDefault="00570EE9" w:rsidP="00570EE9">
      <w:r>
        <w:t>Author: Government of Ontario</w:t>
      </w:r>
      <w:r>
        <w:br/>
        <w:t xml:space="preserve">Published: e-laws </w:t>
      </w:r>
      <w:r w:rsidRPr="00570EE9">
        <w:t>currency</w:t>
      </w:r>
      <w:r>
        <w:t xml:space="preserve"> date, December 8, 2020</w:t>
      </w:r>
    </w:p>
    <w:p w14:paraId="2895F015" w14:textId="4871AA14" w:rsidR="00A12268" w:rsidRDefault="004E3899">
      <w:r>
        <w:rPr>
          <w:noProof/>
        </w:rPr>
        <mc:AlternateContent>
          <mc:Choice Requires="wpi">
            <w:drawing>
              <wp:anchor distT="0" distB="0" distL="114300" distR="114300" simplePos="0" relativeHeight="251658240" behindDoc="0" locked="0" layoutInCell="1" allowOverlap="1" wp14:anchorId="660A9855" wp14:editId="4518947C">
                <wp:simplePos x="0" y="0"/>
                <wp:positionH relativeFrom="column">
                  <wp:posOffset>243205</wp:posOffset>
                </wp:positionH>
                <wp:positionV relativeFrom="paragraph">
                  <wp:posOffset>2593975</wp:posOffset>
                </wp:positionV>
                <wp:extent cx="2365375" cy="64135"/>
                <wp:effectExtent l="95250" t="133350" r="111125" b="164465"/>
                <wp:wrapNone/>
                <wp:docPr id="15" name="Ink 15"/>
                <wp:cNvGraphicFramePr/>
                <a:graphic xmlns:a="http://schemas.openxmlformats.org/drawingml/2006/main">
                  <a:graphicData uri="http://schemas.microsoft.com/office/word/2010/wordprocessingInk">
                    <w14:contentPart bwMode="auto" r:id="rId16">
                      <w14:nvContentPartPr>
                        <w14:cNvContentPartPr/>
                      </w14:nvContentPartPr>
                      <w14:xfrm>
                        <a:off x="0" y="0"/>
                        <a:ext cx="2365375" cy="64135"/>
                      </w14:xfrm>
                    </w14:contentPart>
                  </a:graphicData>
                </a:graphic>
                <wp14:sizeRelH relativeFrom="margin">
                  <wp14:pctWidth>0</wp14:pctWidth>
                </wp14:sizeRelH>
                <wp14:sizeRelV relativeFrom="margin">
                  <wp14:pctHeight>0</wp14:pctHeight>
                </wp14:sizeRelV>
              </wp:anchor>
            </w:drawing>
          </mc:Choice>
          <mc:Fallback>
            <w:pict>
              <v:shapetype w14:anchorId="709F86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4.9pt;margin-top:195.95pt;width:194.7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">
                <v:imagedata r:id="rId17" o:title=""/>
              </v:shape>
            </w:pict>
          </mc:Fallback>
        </mc:AlternateContent>
      </w:r>
      <w:r>
        <w:rPr>
          <w:noProof/>
        </w:rPr>
        <mc:AlternateContent>
          <mc:Choice Requires="wpi">
            <w:drawing>
              <wp:anchor distT="0" distB="0" distL="114300" distR="114300" simplePos="0" relativeHeight="251656192" behindDoc="0" locked="0" layoutInCell="1" allowOverlap="1" wp14:anchorId="159BE0DE" wp14:editId="42E7023E">
                <wp:simplePos x="0" y="0"/>
                <wp:positionH relativeFrom="column">
                  <wp:posOffset>184150</wp:posOffset>
                </wp:positionH>
                <wp:positionV relativeFrom="paragraph">
                  <wp:posOffset>1892935</wp:posOffset>
                </wp:positionV>
                <wp:extent cx="3192780" cy="78105"/>
                <wp:effectExtent l="95250" t="152400" r="102870" b="169545"/>
                <wp:wrapNone/>
                <wp:docPr id="14" name="Ink 14"/>
                <wp:cNvGraphicFramePr/>
                <a:graphic xmlns:a="http://schemas.openxmlformats.org/drawingml/2006/main">
                  <a:graphicData uri="http://schemas.microsoft.com/office/word/2010/wordprocessingInk">
                    <w14:contentPart bwMode="auto" r:id="rId18">
                      <w14:nvContentPartPr>
                        <w14:cNvContentPartPr/>
                      </w14:nvContentPartPr>
                      <w14:xfrm>
                        <a:off x="0" y="0"/>
                        <a:ext cx="3192780" cy="78105"/>
                      </w14:xfrm>
                    </w14:contentPart>
                  </a:graphicData>
                </a:graphic>
                <wp14:sizeRelH relativeFrom="margin">
                  <wp14:pctWidth>0</wp14:pctWidth>
                </wp14:sizeRelH>
                <wp14:sizeRelV relativeFrom="margin">
                  <wp14:pctHeight>0</wp14:pctHeight>
                </wp14:sizeRelV>
              </wp:anchor>
            </w:drawing>
          </mc:Choice>
          <mc:Fallback>
            <w:pict>
              <v:shape w14:anchorId="34665228" id="Ink 14" o:spid="_x0000_s1026" type="#_x0000_t75" style="position:absolute;margin-left:10.25pt;margin-top:140.65pt;width:259.85pt;height:2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">
                <v:imagedata r:id="rId19" o:title=""/>
              </v:shape>
            </w:pict>
          </mc:Fallback>
        </mc:AlternateContent>
      </w:r>
      <w:r>
        <w:rPr>
          <w:noProof/>
        </w:rPr>
        <mc:AlternateContent>
          <mc:Choice Requires="wpi">
            <w:drawing>
              <wp:anchor distT="0" distB="0" distL="114300" distR="114300" simplePos="0" relativeHeight="251660288" behindDoc="0" locked="0" layoutInCell="1" allowOverlap="1" wp14:anchorId="1B3BA36C" wp14:editId="4949CC80">
                <wp:simplePos x="0" y="0"/>
                <wp:positionH relativeFrom="column">
                  <wp:posOffset>266700</wp:posOffset>
                </wp:positionH>
                <wp:positionV relativeFrom="paragraph">
                  <wp:posOffset>1731010</wp:posOffset>
                </wp:positionV>
                <wp:extent cx="3122930" cy="114300"/>
                <wp:effectExtent l="95250" t="152400" r="115570" b="152400"/>
                <wp:wrapNone/>
                <wp:docPr id="16" name="Ink 16"/>
                <wp:cNvGraphicFramePr/>
                <a:graphic xmlns:a="http://schemas.openxmlformats.org/drawingml/2006/main">
                  <a:graphicData uri="http://schemas.microsoft.com/office/word/2010/wordprocessingInk">
                    <w14:contentPart bwMode="auto" r:id="rId20">
                      <w14:nvContentPartPr>
                        <w14:cNvContentPartPr/>
                      </w14:nvContentPartPr>
                      <w14:xfrm>
                        <a:off x="0" y="0"/>
                        <a:ext cx="3122930" cy="114300"/>
                      </w14:xfrm>
                    </w14:contentPart>
                  </a:graphicData>
                </a:graphic>
                <wp14:sizeRelH relativeFrom="margin">
                  <wp14:pctWidth>0</wp14:pctWidth>
                </wp14:sizeRelH>
                <wp14:sizeRelV relativeFrom="margin">
                  <wp14:pctHeight>0</wp14:pctHeight>
                </wp14:sizeRelV>
              </wp:anchor>
            </w:drawing>
          </mc:Choice>
          <mc:Fallback>
            <w:pict>
              <v:shape w14:anchorId="4F319975" id="Ink 16" o:spid="_x0000_s1026" type="#_x0000_t75" style="position:absolute;margin-left:16.75pt;margin-top:127.9pt;width:254.3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">
                <v:imagedata r:id="rId21" o:title=""/>
              </v:shape>
            </w:pict>
          </mc:Fallback>
        </mc:AlternateContent>
      </w:r>
      <w:r w:rsidR="00A12268" w:rsidRPr="00A12268">
        <w:rPr>
          <w:noProof/>
        </w:rPr>
        <w:drawing>
          <wp:inline distT="0" distB="0" distL="0" distR="0" wp14:anchorId="054BD220" wp14:editId="7D39E974">
            <wp:extent cx="4117473" cy="337052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41492" cy="3390182"/>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4675"/>
      </w:tblGrid>
      <w:tr w:rsidR="00F2699B" w14:paraId="1A8C3A51" w14:textId="77777777" w:rsidTr="00F2699B">
        <w:tc>
          <w:tcPr>
            <w:tcW w:w="4675" w:type="dxa"/>
          </w:tcPr>
          <w:p w14:paraId="6D3EDA29" w14:textId="64EE16DB" w:rsidR="00F2699B" w:rsidRDefault="00F2699B">
            <w:r w:rsidRPr="002E296D">
              <w:rPr>
                <w:noProof/>
              </w:rPr>
              <w:drawing>
                <wp:inline distT="0" distB="0" distL="0" distR="0" wp14:anchorId="2C0901F1" wp14:editId="62D6FD84">
                  <wp:extent cx="2693964" cy="1307365"/>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93964" cy="1307365"/>
                          </a:xfrm>
                          <a:prstGeom prst="rect">
                            <a:avLst/>
                          </a:prstGeom>
                        </pic:spPr>
                      </pic:pic>
                    </a:graphicData>
                  </a:graphic>
                </wp:inline>
              </w:drawing>
            </w:r>
          </w:p>
        </w:tc>
        <w:tc>
          <w:tcPr>
            <w:tcW w:w="4675" w:type="dxa"/>
          </w:tcPr>
          <w:p w14:paraId="1F444EB5" w14:textId="4D996930" w:rsidR="00F2699B" w:rsidRDefault="00F2699B">
            <w:r w:rsidRPr="00F2699B">
              <w:rPr>
                <w:noProof/>
              </w:rPr>
              <w:drawing>
                <wp:inline distT="0" distB="0" distL="0" distR="0" wp14:anchorId="11652950" wp14:editId="7D2575D7">
                  <wp:extent cx="2417198" cy="1208599"/>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7198" cy="1208599"/>
                          </a:xfrm>
                          <a:prstGeom prst="rect">
                            <a:avLst/>
                          </a:prstGeom>
                        </pic:spPr>
                      </pic:pic>
                    </a:graphicData>
                  </a:graphic>
                </wp:inline>
              </w:drawing>
            </w:r>
          </w:p>
        </w:tc>
      </w:tr>
    </w:tbl>
    <w:p w14:paraId="79B53BB2" w14:textId="7B2B815D" w:rsidR="001E1D9C" w:rsidRDefault="005F3EA6" w:rsidP="001E1D9C">
      <w:pPr>
        <w:pStyle w:val="Heading3"/>
        <w:rPr>
          <w:bCs/>
        </w:rPr>
      </w:pPr>
      <w:hyperlink r:id="rId25" w:history="1">
        <w:bookmarkStart w:id="10" w:name="_Toc62673599"/>
        <w:r w:rsidR="001E1D9C" w:rsidRPr="001E1D9C">
          <w:rPr>
            <w:rStyle w:val="Hyperlink"/>
          </w:rPr>
          <w:t>The Provincial Policy Statement</w:t>
        </w:r>
        <w:bookmarkEnd w:id="10"/>
        <w:r w:rsidR="001E1D9C" w:rsidRPr="001E1D9C">
          <w:rPr>
            <w:rStyle w:val="Hyperlink"/>
          </w:rPr>
          <w:t xml:space="preserve"> </w:t>
        </w:r>
      </w:hyperlink>
    </w:p>
    <w:p w14:paraId="38C01C51" w14:textId="191403B2" w:rsidR="001E1D9C" w:rsidRDefault="001E1D9C" w:rsidP="001E1D9C">
      <w:r w:rsidRPr="004D7E20">
        <w:rPr>
          <w:b/>
          <w:bCs/>
        </w:rPr>
        <w:t>Author:</w:t>
      </w:r>
      <w:r w:rsidRPr="004D7E20">
        <w:t xml:space="preserve"> </w:t>
      </w:r>
      <w:r>
        <w:t>Government of Ontario</w:t>
      </w:r>
      <w:r>
        <w:br/>
      </w:r>
      <w:r w:rsidRPr="001E1D9C">
        <w:rPr>
          <w:b/>
          <w:bCs/>
        </w:rPr>
        <w:t>Published:</w:t>
      </w:r>
      <w:r>
        <w:t xml:space="preserve">  2020</w:t>
      </w:r>
    </w:p>
    <w:p w14:paraId="2D160B9F" w14:textId="0A908EBB" w:rsidR="00513DF2" w:rsidRDefault="001E1D9C">
      <w:r>
        <w:t>“</w:t>
      </w:r>
      <w:r w:rsidRPr="001E1D9C">
        <w:t xml:space="preserve">The Provincial Policy Statement provides policy direction on matters of provincial interest related to land use planning and development. As a key part of Ontario’s policy-led planning system, the Provincial Policy Statement sets the policy foundation for regulating the development and use of land. It also supports the provincial goal to enhance the quality of life for </w:t>
      </w:r>
      <w:r w:rsidRPr="001E1D9C">
        <w:rPr>
          <w:b/>
          <w:bCs/>
        </w:rPr>
        <w:t>all</w:t>
      </w:r>
      <w:r w:rsidRPr="001E1D9C">
        <w:t xml:space="preserve"> Ontarians.</w:t>
      </w:r>
      <w:r>
        <w:t>” emphasis added.</w:t>
      </w:r>
      <w:r w:rsidR="00664358">
        <w:t xml:space="preserve"> Clipping including statement 4.4 is included below.</w:t>
      </w:r>
    </w:p>
    <w:p w14:paraId="626D7DCF" w14:textId="2F7704C5" w:rsidR="00664358" w:rsidRDefault="00664358">
      <w:r w:rsidRPr="00664358">
        <w:rPr>
          <w:noProof/>
        </w:rPr>
        <w:drawing>
          <wp:inline distT="0" distB="0" distL="0" distR="0" wp14:anchorId="60BD486A" wp14:editId="588FFE45">
            <wp:extent cx="4794496" cy="209560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94496" cy="2095608"/>
                    </a:xfrm>
                    <a:prstGeom prst="rect">
                      <a:avLst/>
                    </a:prstGeom>
                  </pic:spPr>
                </pic:pic>
              </a:graphicData>
            </a:graphic>
          </wp:inline>
        </w:drawing>
      </w:r>
    </w:p>
    <w:p w14:paraId="10A86BCA" w14:textId="791C4C15" w:rsidR="00A12268" w:rsidRDefault="005F3EA6" w:rsidP="00A12268">
      <w:pPr>
        <w:pStyle w:val="Heading3"/>
        <w:rPr>
          <w:bCs/>
        </w:rPr>
      </w:pPr>
      <w:hyperlink r:id="rId27" w:history="1">
        <w:bookmarkStart w:id="11" w:name="_Toc62673600"/>
        <w:r w:rsidR="00A12268">
          <w:rPr>
            <w:rStyle w:val="Hyperlink"/>
          </w:rPr>
          <w:t>A Place to Grow: Growth Plan for the Greater Golden Horseshoe</w:t>
        </w:r>
        <w:bookmarkEnd w:id="11"/>
      </w:hyperlink>
    </w:p>
    <w:p w14:paraId="283BCFC5" w14:textId="5385D91F" w:rsidR="00A12268" w:rsidRDefault="00A12268" w:rsidP="00A12268">
      <w:r w:rsidRPr="004D7E20">
        <w:rPr>
          <w:b/>
          <w:bCs/>
        </w:rPr>
        <w:t>Author:</w:t>
      </w:r>
      <w:r w:rsidRPr="004D7E20">
        <w:t xml:space="preserve"> </w:t>
      </w:r>
      <w:r>
        <w:t>Government of Ontario</w:t>
      </w:r>
      <w:r>
        <w:br/>
      </w:r>
      <w:r w:rsidRPr="001E1D9C">
        <w:rPr>
          <w:b/>
          <w:bCs/>
        </w:rPr>
        <w:t>Published:</w:t>
      </w:r>
      <w:r>
        <w:t xml:space="preserve">  2020</w:t>
      </w:r>
    </w:p>
    <w:p w14:paraId="50E74F01" w14:textId="179C8445" w:rsidR="001804FA" w:rsidRDefault="00A12268" w:rsidP="00A12268">
      <w:r w:rsidRPr="00A12268">
        <w:rPr>
          <w:noProof/>
        </w:rPr>
        <w:drawing>
          <wp:inline distT="0" distB="0" distL="0" distR="0" wp14:anchorId="26B9EA83" wp14:editId="4566624E">
            <wp:extent cx="4210266" cy="11494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10266" cy="1149409"/>
                    </a:xfrm>
                    <a:prstGeom prst="rect">
                      <a:avLst/>
                    </a:prstGeom>
                  </pic:spPr>
                </pic:pic>
              </a:graphicData>
            </a:graphic>
          </wp:inline>
        </w:drawing>
      </w:r>
    </w:p>
    <w:p w14:paraId="6A8B1B50" w14:textId="77777777" w:rsidR="001804FA" w:rsidRDefault="001804FA">
      <w:r>
        <w:br w:type="page"/>
      </w:r>
    </w:p>
    <w:p w14:paraId="5BF48A60" w14:textId="77777777" w:rsidR="002B1285" w:rsidRDefault="002B1285" w:rsidP="002912AD">
      <w:pPr>
        <w:pStyle w:val="Heading2"/>
      </w:pPr>
      <w:bookmarkStart w:id="12" w:name="_Toc62673601"/>
      <w:r>
        <w:lastRenderedPageBreak/>
        <w:t>United Nations</w:t>
      </w:r>
      <w:bookmarkEnd w:id="12"/>
    </w:p>
    <w:p w14:paraId="663C7B53" w14:textId="47B2F409" w:rsidR="002B1285" w:rsidRDefault="002B1285" w:rsidP="002B1285">
      <w:pPr>
        <w:rPr>
          <w:rFonts w:ascii="Nirmala UI" w:hAnsi="Nirmala UI" w:cs="Nirmala UI"/>
          <w:color w:val="000000"/>
          <w:sz w:val="20"/>
          <w:szCs w:val="20"/>
        </w:rPr>
      </w:pPr>
      <w:r w:rsidRPr="002B1285">
        <w:rPr>
          <w:rFonts w:ascii="Nirmala UI" w:hAnsi="Nirmala UI" w:cs="Nirmala UI"/>
          <w:color w:val="000000"/>
          <w:sz w:val="20"/>
          <w:szCs w:val="20"/>
        </w:rPr>
        <w:t xml:space="preserve">Some key files </w:t>
      </w:r>
      <w:r>
        <w:rPr>
          <w:rFonts w:ascii="Nirmala UI" w:hAnsi="Nirmala UI" w:cs="Nirmala UI"/>
          <w:color w:val="000000"/>
          <w:sz w:val="20"/>
          <w:szCs w:val="20"/>
        </w:rPr>
        <w:t>below:</w:t>
      </w:r>
    </w:p>
    <w:p w14:paraId="39540C79" w14:textId="77777777" w:rsidR="002B1285" w:rsidRDefault="002B1285" w:rsidP="002B1285">
      <w:pPr>
        <w:pStyle w:val="ListParagraph"/>
        <w:numPr>
          <w:ilvl w:val="0"/>
          <w:numId w:val="3"/>
        </w:numPr>
        <w:spacing w:after="0" w:line="240" w:lineRule="auto"/>
        <w:contextualSpacing w:val="0"/>
        <w:rPr>
          <w:rFonts w:ascii="Nirmala UI" w:hAnsi="Nirmala UI" w:cs="Nirmala UI"/>
          <w:color w:val="000000"/>
          <w:sz w:val="20"/>
          <w:szCs w:val="20"/>
        </w:rPr>
      </w:pPr>
      <w:hyperlink r:id="rId29" w:history="1">
        <w:r>
          <w:rPr>
            <w:rStyle w:val="Hyperlink"/>
            <w:rFonts w:ascii="Nirmala UI" w:hAnsi="Nirmala UI" w:cs="Nirmala UI"/>
            <w:sz w:val="20"/>
            <w:szCs w:val="20"/>
          </w:rPr>
          <w:t xml:space="preserve">2019 – UN – UN System-Wide Strategy on Sustainable Urban Development – prepared by the </w:t>
        </w:r>
        <w:proofErr w:type="gramStart"/>
        <w:r>
          <w:rPr>
            <w:rStyle w:val="Hyperlink"/>
            <w:rFonts w:ascii="Nirmala UI" w:hAnsi="Nirmala UI" w:cs="Nirmala UI"/>
            <w:sz w:val="20"/>
            <w:szCs w:val="20"/>
          </w:rPr>
          <w:t>High Level</w:t>
        </w:r>
        <w:proofErr w:type="gramEnd"/>
        <w:r>
          <w:rPr>
            <w:rStyle w:val="Hyperlink"/>
            <w:rFonts w:ascii="Nirmala UI" w:hAnsi="Nirmala UI" w:cs="Nirmala UI"/>
            <w:sz w:val="20"/>
            <w:szCs w:val="20"/>
          </w:rPr>
          <w:t xml:space="preserve"> Committee on Programmes under the leadership of the UN-Habitat</w:t>
        </w:r>
      </w:hyperlink>
    </w:p>
    <w:p w14:paraId="686F5852" w14:textId="77777777" w:rsidR="002B1285" w:rsidRDefault="002B1285" w:rsidP="002B1285">
      <w:pPr>
        <w:pStyle w:val="ListParagraph"/>
        <w:numPr>
          <w:ilvl w:val="0"/>
          <w:numId w:val="3"/>
        </w:numPr>
        <w:spacing w:after="0" w:line="240" w:lineRule="auto"/>
        <w:contextualSpacing w:val="0"/>
        <w:rPr>
          <w:rFonts w:ascii="Nirmala UI" w:hAnsi="Nirmala UI" w:cs="Nirmala UI"/>
          <w:color w:val="000000"/>
          <w:sz w:val="20"/>
          <w:szCs w:val="20"/>
        </w:rPr>
      </w:pPr>
      <w:hyperlink r:id="rId30" w:history="1">
        <w:r>
          <w:rPr>
            <w:rStyle w:val="Hyperlink"/>
            <w:rFonts w:ascii="Nirmala UI" w:hAnsi="Nirmala UI" w:cs="Nirmala UI"/>
            <w:sz w:val="20"/>
            <w:szCs w:val="20"/>
          </w:rPr>
          <w:t>2018 – UN – Report of the Special Rapporteur on Adequate Housing as a Component of the Right to an Adequate Standard of Living, and on the Right to Non-Discrimination in this Context</w:t>
        </w:r>
      </w:hyperlink>
      <w:r>
        <w:rPr>
          <w:rFonts w:ascii="Nirmala UI" w:hAnsi="Nirmala UI" w:cs="Nirmala UI"/>
          <w:color w:val="000000"/>
          <w:sz w:val="20"/>
          <w:szCs w:val="20"/>
        </w:rPr>
        <w:t xml:space="preserve"> - written by Leilani Farha. Leilani was the UN Rapporteur on Affordable Housing. She’s an </w:t>
      </w:r>
      <w:proofErr w:type="spellStart"/>
      <w:r>
        <w:rPr>
          <w:rFonts w:ascii="Nirmala UI" w:hAnsi="Nirmala UI" w:cs="Nirmala UI"/>
          <w:color w:val="000000"/>
          <w:sz w:val="20"/>
          <w:szCs w:val="20"/>
        </w:rPr>
        <w:t>Ottawan</w:t>
      </w:r>
      <w:proofErr w:type="spellEnd"/>
      <w:r>
        <w:rPr>
          <w:rFonts w:ascii="Nirmala UI" w:hAnsi="Nirmala UI" w:cs="Nirmala UI"/>
          <w:color w:val="000000"/>
          <w:sz w:val="20"/>
          <w:szCs w:val="20"/>
        </w:rPr>
        <w:t>, the founder, and lead of The Shift, an organization coordinating with multiple levels and bodies of governments to integrate a human rights approach into the housing systems.</w:t>
      </w:r>
    </w:p>
    <w:p w14:paraId="129C1DE1" w14:textId="77777777" w:rsidR="002B1285" w:rsidRDefault="002B1285" w:rsidP="002B1285">
      <w:pPr>
        <w:pStyle w:val="ListParagraph"/>
        <w:numPr>
          <w:ilvl w:val="0"/>
          <w:numId w:val="3"/>
        </w:numPr>
        <w:spacing w:after="0" w:line="240" w:lineRule="auto"/>
        <w:contextualSpacing w:val="0"/>
        <w:rPr>
          <w:rFonts w:ascii="Nirmala UI" w:hAnsi="Nirmala UI" w:cs="Nirmala UI"/>
          <w:color w:val="000000"/>
          <w:sz w:val="20"/>
          <w:szCs w:val="20"/>
        </w:rPr>
      </w:pPr>
      <w:hyperlink r:id="rId31" w:history="1">
        <w:r>
          <w:rPr>
            <w:rStyle w:val="Hyperlink"/>
            <w:rFonts w:ascii="Nirmala UI" w:hAnsi="Nirmala UI" w:cs="Nirmala UI"/>
            <w:sz w:val="20"/>
            <w:szCs w:val="20"/>
          </w:rPr>
          <w:t>2018 – UN ESCO – Creating Inclusive and Equitable Cities – International Coalition of Inclusive and Sustainable Cities, Canadian Commission for UNESCO</w:t>
        </w:r>
      </w:hyperlink>
    </w:p>
    <w:p w14:paraId="0A32FD49" w14:textId="77777777" w:rsidR="002B1285" w:rsidRDefault="002B1285" w:rsidP="002B1285">
      <w:pPr>
        <w:pStyle w:val="ListParagraph"/>
        <w:numPr>
          <w:ilvl w:val="0"/>
          <w:numId w:val="3"/>
        </w:numPr>
        <w:spacing w:after="0" w:line="240" w:lineRule="auto"/>
        <w:contextualSpacing w:val="0"/>
        <w:rPr>
          <w:rFonts w:ascii="Nirmala UI" w:hAnsi="Nirmala UI" w:cs="Nirmala UI"/>
          <w:color w:val="000000"/>
          <w:sz w:val="20"/>
          <w:szCs w:val="20"/>
        </w:rPr>
      </w:pPr>
      <w:hyperlink r:id="rId32" w:history="1">
        <w:r>
          <w:rPr>
            <w:rStyle w:val="Hyperlink"/>
            <w:rFonts w:ascii="Nirmala UI" w:hAnsi="Nirmala UI" w:cs="Nirmala UI"/>
            <w:sz w:val="20"/>
            <w:szCs w:val="20"/>
          </w:rPr>
          <w:t>2016 – UN – The Right to the City and Cities for All</w:t>
        </w:r>
      </w:hyperlink>
    </w:p>
    <w:p w14:paraId="612B8401" w14:textId="77777777" w:rsidR="002B1285" w:rsidRDefault="002B1285" w:rsidP="002B1285">
      <w:pPr>
        <w:pStyle w:val="ListParagraph"/>
        <w:numPr>
          <w:ilvl w:val="0"/>
          <w:numId w:val="3"/>
        </w:numPr>
        <w:spacing w:after="0" w:line="240" w:lineRule="auto"/>
        <w:contextualSpacing w:val="0"/>
        <w:rPr>
          <w:rStyle w:val="Hyperlink"/>
          <w:rFonts w:ascii="Calibri" w:hAnsi="Calibri" w:cs="Calibri"/>
        </w:rPr>
      </w:pPr>
      <w:hyperlink r:id="rId33" w:history="1">
        <w:r>
          <w:rPr>
            <w:rStyle w:val="Hyperlink"/>
            <w:rFonts w:ascii="Nirmala UI" w:hAnsi="Nirmala UI" w:cs="Nirmala UI"/>
            <w:sz w:val="20"/>
            <w:szCs w:val="20"/>
          </w:rPr>
          <w:t>2015 – UN – Social Development Goals</w:t>
        </w:r>
      </w:hyperlink>
    </w:p>
    <w:p w14:paraId="5D73F3D4" w14:textId="77777777" w:rsidR="002B1285" w:rsidRDefault="002B1285" w:rsidP="002B1285">
      <w:pPr>
        <w:pStyle w:val="ListParagraph"/>
        <w:numPr>
          <w:ilvl w:val="0"/>
          <w:numId w:val="3"/>
        </w:numPr>
        <w:spacing w:after="0" w:line="240" w:lineRule="auto"/>
        <w:contextualSpacing w:val="0"/>
        <w:rPr>
          <w:color w:val="000000"/>
        </w:rPr>
      </w:pPr>
      <w:hyperlink r:id="rId34" w:history="1">
        <w:r>
          <w:rPr>
            <w:rStyle w:val="Hyperlink"/>
            <w:rFonts w:ascii="Nirmala UI" w:hAnsi="Nirmala UI" w:cs="Nirmala UI"/>
            <w:sz w:val="20"/>
            <w:szCs w:val="20"/>
          </w:rPr>
          <w:t>2015 – UN Decade for People of African Descent</w:t>
        </w:r>
      </w:hyperlink>
    </w:p>
    <w:p w14:paraId="60959C3F" w14:textId="1F42FEC8" w:rsidR="002B1285" w:rsidRDefault="002B1285" w:rsidP="002B1285">
      <w:pPr>
        <w:pStyle w:val="ListParagraph"/>
        <w:numPr>
          <w:ilvl w:val="0"/>
          <w:numId w:val="3"/>
        </w:numPr>
        <w:spacing w:after="0" w:line="240" w:lineRule="auto"/>
        <w:contextualSpacing w:val="0"/>
        <w:rPr>
          <w:rFonts w:ascii="Nirmala UI" w:hAnsi="Nirmala UI" w:cs="Nirmala UI"/>
          <w:color w:val="000000"/>
          <w:sz w:val="20"/>
          <w:szCs w:val="20"/>
        </w:rPr>
      </w:pPr>
      <w:hyperlink r:id="rId35" w:history="1">
        <w:r>
          <w:rPr>
            <w:rStyle w:val="Hyperlink"/>
            <w:rFonts w:ascii="Nirmala UI" w:hAnsi="Nirmala UI" w:cs="Nirmala UI"/>
            <w:sz w:val="20"/>
            <w:szCs w:val="20"/>
          </w:rPr>
          <w:t>2009 – UN Habitat – Fact Sheet No. 21, The Human Right to Adequate Housing</w:t>
        </w:r>
      </w:hyperlink>
    </w:p>
    <w:p w14:paraId="68350F0D" w14:textId="0DECDED2" w:rsidR="007B7FE1" w:rsidRDefault="00DC522E" w:rsidP="002B1285">
      <w:pPr>
        <w:pStyle w:val="ListParagraph"/>
        <w:numPr>
          <w:ilvl w:val="0"/>
          <w:numId w:val="3"/>
        </w:numPr>
        <w:spacing w:after="0" w:line="240" w:lineRule="auto"/>
        <w:contextualSpacing w:val="0"/>
        <w:rPr>
          <w:rFonts w:ascii="Nirmala UI" w:hAnsi="Nirmala UI" w:cs="Nirmala UI"/>
          <w:color w:val="000000"/>
          <w:sz w:val="20"/>
          <w:szCs w:val="20"/>
        </w:rPr>
      </w:pPr>
      <w:hyperlink r:id="rId36" w:history="1">
        <w:r w:rsidR="007B7FE1" w:rsidRPr="00DC522E">
          <w:rPr>
            <w:rStyle w:val="Hyperlink"/>
            <w:rFonts w:ascii="Nirmala UI" w:hAnsi="Nirmala UI" w:cs="Nirmala UI"/>
            <w:sz w:val="20"/>
            <w:szCs w:val="20"/>
          </w:rPr>
          <w:t xml:space="preserve">2007 </w:t>
        </w:r>
        <w:r w:rsidRPr="00DC522E">
          <w:rPr>
            <w:rStyle w:val="Hyperlink"/>
            <w:rFonts w:ascii="Nirmala UI" w:hAnsi="Nirmala UI" w:cs="Nirmala UI"/>
            <w:sz w:val="20"/>
            <w:szCs w:val="20"/>
          </w:rPr>
          <w:t>–</w:t>
        </w:r>
        <w:r w:rsidR="007B7FE1" w:rsidRPr="00DC522E">
          <w:rPr>
            <w:rStyle w:val="Hyperlink"/>
            <w:rFonts w:ascii="Nirmala UI" w:hAnsi="Nirmala UI" w:cs="Nirmala UI"/>
            <w:sz w:val="20"/>
            <w:szCs w:val="20"/>
          </w:rPr>
          <w:t xml:space="preserve"> UN</w:t>
        </w:r>
        <w:r w:rsidRPr="00DC522E">
          <w:rPr>
            <w:rStyle w:val="Hyperlink"/>
            <w:rFonts w:ascii="Nirmala UI" w:hAnsi="Nirmala UI" w:cs="Nirmala UI"/>
            <w:sz w:val="20"/>
            <w:szCs w:val="20"/>
          </w:rPr>
          <w:t xml:space="preserve"> Department of Economic and Social Affairs – United Nations Declaration on the Rights of Indigenous Peoples</w:t>
        </w:r>
      </w:hyperlink>
    </w:p>
    <w:p w14:paraId="66980F9A" w14:textId="77777777" w:rsidR="002B1285" w:rsidRDefault="002B1285" w:rsidP="002B1285">
      <w:pPr>
        <w:pStyle w:val="ListParagraph"/>
        <w:numPr>
          <w:ilvl w:val="0"/>
          <w:numId w:val="3"/>
        </w:numPr>
        <w:spacing w:after="0" w:line="240" w:lineRule="auto"/>
        <w:contextualSpacing w:val="0"/>
        <w:rPr>
          <w:rFonts w:ascii="Nirmala UI" w:hAnsi="Nirmala UI" w:cs="Nirmala UI"/>
          <w:color w:val="000000"/>
          <w:sz w:val="20"/>
          <w:szCs w:val="20"/>
        </w:rPr>
      </w:pPr>
      <w:hyperlink r:id="rId37" w:history="1">
        <w:r>
          <w:rPr>
            <w:rStyle w:val="Hyperlink"/>
            <w:rFonts w:ascii="Nirmala UI" w:hAnsi="Nirmala UI" w:cs="Nirmala UI"/>
            <w:sz w:val="20"/>
            <w:szCs w:val="20"/>
          </w:rPr>
          <w:t>2007 – UN Habitat – V1 – Inclusive and Sustainable Urban Planning: A Guide for Municipalities: An Introduction to Urban Strategic Planning</w:t>
        </w:r>
      </w:hyperlink>
    </w:p>
    <w:p w14:paraId="729B644E" w14:textId="77777777" w:rsidR="002B1285" w:rsidRDefault="002B1285" w:rsidP="002B1285">
      <w:pPr>
        <w:pStyle w:val="ListParagraph"/>
        <w:numPr>
          <w:ilvl w:val="0"/>
          <w:numId w:val="3"/>
        </w:numPr>
        <w:spacing w:after="0" w:line="240" w:lineRule="auto"/>
        <w:contextualSpacing w:val="0"/>
        <w:rPr>
          <w:rStyle w:val="Hyperlink"/>
          <w:rFonts w:ascii="Calibri" w:hAnsi="Calibri" w:cs="Calibri"/>
        </w:rPr>
      </w:pPr>
      <w:hyperlink r:id="rId38" w:history="1">
        <w:r>
          <w:rPr>
            <w:rStyle w:val="Hyperlink"/>
            <w:rFonts w:ascii="Nirmala UI" w:hAnsi="Nirmala UI" w:cs="Nirmala UI"/>
            <w:sz w:val="20"/>
            <w:szCs w:val="20"/>
          </w:rPr>
          <w:t>2007 – UN Habitat – V2 – Inclusive and Sustainable Urban Planning: A Guide for Municipalities: Urban Situation Analysis</w:t>
        </w:r>
      </w:hyperlink>
    </w:p>
    <w:p w14:paraId="4E63EA9D" w14:textId="77777777" w:rsidR="002B1285" w:rsidRDefault="002B1285" w:rsidP="002B1285">
      <w:pPr>
        <w:pStyle w:val="ListParagraph"/>
        <w:numPr>
          <w:ilvl w:val="0"/>
          <w:numId w:val="3"/>
        </w:numPr>
        <w:spacing w:after="0" w:line="240" w:lineRule="auto"/>
        <w:contextualSpacing w:val="0"/>
        <w:rPr>
          <w:rStyle w:val="Hyperlink"/>
          <w:rFonts w:ascii="Nirmala UI" w:hAnsi="Nirmala UI" w:cs="Nirmala UI"/>
          <w:sz w:val="20"/>
          <w:szCs w:val="20"/>
        </w:rPr>
      </w:pPr>
      <w:hyperlink r:id="rId39" w:history="1">
        <w:r>
          <w:rPr>
            <w:rStyle w:val="Hyperlink"/>
            <w:rFonts w:ascii="Nirmala UI" w:hAnsi="Nirmala UI" w:cs="Nirmala UI"/>
            <w:sz w:val="20"/>
            <w:szCs w:val="20"/>
          </w:rPr>
          <w:t>2007 – UN Habitat – V3 – Inclusive and Sustainable Urban Planning: A Guide for Municipalities: Urban Development Planning</w:t>
        </w:r>
      </w:hyperlink>
    </w:p>
    <w:p w14:paraId="6A2C60A0" w14:textId="77777777" w:rsidR="002B1285" w:rsidRDefault="002B1285" w:rsidP="002B1285">
      <w:pPr>
        <w:pStyle w:val="ListParagraph"/>
        <w:numPr>
          <w:ilvl w:val="0"/>
          <w:numId w:val="3"/>
        </w:numPr>
        <w:spacing w:after="0" w:line="240" w:lineRule="auto"/>
        <w:contextualSpacing w:val="0"/>
        <w:rPr>
          <w:rStyle w:val="Hyperlink"/>
          <w:rFonts w:ascii="Nirmala UI" w:hAnsi="Nirmala UI" w:cs="Nirmala UI"/>
          <w:sz w:val="20"/>
          <w:szCs w:val="20"/>
        </w:rPr>
      </w:pPr>
      <w:hyperlink r:id="rId40" w:history="1">
        <w:r>
          <w:rPr>
            <w:rStyle w:val="Hyperlink"/>
            <w:rFonts w:ascii="Nirmala UI" w:hAnsi="Nirmala UI" w:cs="Nirmala UI"/>
            <w:sz w:val="20"/>
            <w:szCs w:val="20"/>
          </w:rPr>
          <w:t>2007 – UN Habitat – V4 – Inclusive and Sustainable Urban Planning: A Guide for Municipalities: Sustainable Action Planning</w:t>
        </w:r>
      </w:hyperlink>
    </w:p>
    <w:p w14:paraId="21ECD5C1" w14:textId="77777777" w:rsidR="00403C37" w:rsidRDefault="00403C37">
      <w:pPr>
        <w:rPr>
          <w:b/>
          <w:bCs/>
          <w:color w:val="7F7F7F" w:themeColor="text1" w:themeTint="80"/>
          <w:sz w:val="28"/>
          <w:szCs w:val="28"/>
        </w:rPr>
      </w:pPr>
      <w:r>
        <w:br w:type="page"/>
      </w:r>
    </w:p>
    <w:p w14:paraId="3D17FEB4" w14:textId="34C919BA" w:rsidR="00E03A6F" w:rsidRDefault="00E03A6F" w:rsidP="002912AD">
      <w:pPr>
        <w:pStyle w:val="Heading2"/>
      </w:pPr>
      <w:bookmarkStart w:id="13" w:name="_Toc62673602"/>
      <w:r>
        <w:lastRenderedPageBreak/>
        <w:t xml:space="preserve">Ontario </w:t>
      </w:r>
      <w:r w:rsidRPr="002912AD">
        <w:t>Provincial</w:t>
      </w:r>
      <w:r>
        <w:t xml:space="preserve"> Planning Institute</w:t>
      </w:r>
      <w:bookmarkEnd w:id="13"/>
    </w:p>
    <w:p w14:paraId="76361112" w14:textId="5793CF4F" w:rsidR="00E03A6F" w:rsidRDefault="005F3EA6" w:rsidP="00E03A6F">
      <w:pPr>
        <w:pStyle w:val="Heading3"/>
        <w:rPr>
          <w:bCs/>
        </w:rPr>
      </w:pPr>
      <w:hyperlink r:id="rId41" w:history="1">
        <w:bookmarkStart w:id="14" w:name="_Toc62673603"/>
        <w:r w:rsidR="00E03A6F" w:rsidRPr="00E03A6F">
          <w:rPr>
            <w:rStyle w:val="Hyperlink"/>
          </w:rPr>
          <w:t>Anti-Black Racism in Planning Task Force: Terms of Reference</w:t>
        </w:r>
        <w:bookmarkEnd w:id="14"/>
      </w:hyperlink>
    </w:p>
    <w:p w14:paraId="1339E5E3" w14:textId="2983DC50" w:rsidR="00E03A6F" w:rsidRDefault="00E03A6F" w:rsidP="00E03A6F">
      <w:r w:rsidRPr="004D7E20">
        <w:rPr>
          <w:b/>
          <w:bCs/>
        </w:rPr>
        <w:t>Author:</w:t>
      </w:r>
      <w:r w:rsidRPr="004D7E20">
        <w:t xml:space="preserve"> </w:t>
      </w:r>
      <w:r>
        <w:t>Government of Ontario</w:t>
      </w:r>
      <w:r>
        <w:br/>
      </w:r>
      <w:r w:rsidRPr="001E1D9C">
        <w:rPr>
          <w:b/>
          <w:bCs/>
        </w:rPr>
        <w:t>Published:</w:t>
      </w:r>
      <w:r>
        <w:t xml:space="preserve">  2020</w:t>
      </w:r>
    </w:p>
    <w:p w14:paraId="42A7B1D1" w14:textId="240C5E14" w:rsidR="006E6057" w:rsidRDefault="006E6057" w:rsidP="00E03A6F">
      <w:r>
        <w:t>In 2020, OPPI launched a Task Force to confront systemic* anti-Black racism within the practices of Registered Professional Planners and the planning practice in general. *Systemic, as understood through a human rights lens is the culture and practices of people that actively or unknowingly allow for the marginalization of persons protected by the Ontario Human Rights Code.</w:t>
      </w:r>
    </w:p>
    <w:p w14:paraId="05E78F32" w14:textId="0EA8A9EE" w:rsidR="006E6057" w:rsidRDefault="006E6057" w:rsidP="00E03A6F">
      <w:r>
        <w:t>“</w:t>
      </w:r>
      <w:r w:rsidRPr="006E6057">
        <w:rPr>
          <w:i/>
          <w:iCs/>
        </w:rPr>
        <w:t xml:space="preserve">Planners are charged with the responsibility of crafting, designing, and creating the diverse places and spaces we live in, influencing the social, physical, and economic construct of our built and natural environment. One of the core principles of our professional planning practice is to plan for “the public interest.” While planners talk about equity, diversity, and social justice in theory and practice, the reality is that the dominating colonial, Eurocentric planning system is historically structured on the preservation of privileges and entitlements for white people over Black, Indigenous, and other racialized peoples and from which unconscious biases have evolved. As a profession, planning has failed to address how discriminatory systemic actions and decisions negatively impact the Black community and marginalized groups, and how the consequences of these actions and decisions impact society as a </w:t>
      </w:r>
      <w:proofErr w:type="gramStart"/>
      <w:r w:rsidRPr="006E6057">
        <w:rPr>
          <w:i/>
          <w:iCs/>
        </w:rPr>
        <w:t>whole</w:t>
      </w:r>
      <w:proofErr w:type="gram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236"/>
      </w:tblGrid>
      <w:tr w:rsidR="006E6057" w14:paraId="262AB8DB" w14:textId="77777777" w:rsidTr="006E6057">
        <w:tc>
          <w:tcPr>
            <w:tcW w:w="4855" w:type="dxa"/>
          </w:tcPr>
          <w:p w14:paraId="71C164C5" w14:textId="3C5936E5" w:rsidR="006E6057" w:rsidRDefault="006E6057" w:rsidP="00E03A6F">
            <w:r w:rsidRPr="006E6057">
              <w:rPr>
                <w:noProof/>
              </w:rPr>
              <w:drawing>
                <wp:inline distT="0" distB="0" distL="0" distR="0" wp14:anchorId="459BBE8A" wp14:editId="7EA6CE80">
                  <wp:extent cx="2622628" cy="323618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28302" cy="3243181"/>
                          </a:xfrm>
                          <a:prstGeom prst="rect">
                            <a:avLst/>
                          </a:prstGeom>
                        </pic:spPr>
                      </pic:pic>
                    </a:graphicData>
                  </a:graphic>
                </wp:inline>
              </w:drawing>
            </w:r>
          </w:p>
        </w:tc>
        <w:tc>
          <w:tcPr>
            <w:tcW w:w="4236" w:type="dxa"/>
          </w:tcPr>
          <w:p w14:paraId="6833C8FD" w14:textId="77777777" w:rsidR="006E6057" w:rsidRDefault="006E6057" w:rsidP="00E03A6F">
            <w:r w:rsidRPr="006E6057">
              <w:rPr>
                <w:noProof/>
              </w:rPr>
              <w:drawing>
                <wp:inline distT="0" distB="0" distL="0" distR="0" wp14:anchorId="07E919AE" wp14:editId="148AE07C">
                  <wp:extent cx="2540131" cy="12446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40131" cy="1244664"/>
                          </a:xfrm>
                          <a:prstGeom prst="rect">
                            <a:avLst/>
                          </a:prstGeom>
                        </pic:spPr>
                      </pic:pic>
                    </a:graphicData>
                  </a:graphic>
                </wp:inline>
              </w:drawing>
            </w:r>
          </w:p>
          <w:p w14:paraId="2343D4AD" w14:textId="25B284ED" w:rsidR="006E6057" w:rsidRDefault="006E6057" w:rsidP="00E03A6F">
            <w:r w:rsidRPr="006E6057">
              <w:rPr>
                <w:noProof/>
              </w:rPr>
              <w:drawing>
                <wp:inline distT="0" distB="0" distL="0" distR="0" wp14:anchorId="4CA24AF8" wp14:editId="0922E1E4">
                  <wp:extent cx="2552831" cy="11430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52831" cy="1143059"/>
                          </a:xfrm>
                          <a:prstGeom prst="rect">
                            <a:avLst/>
                          </a:prstGeom>
                        </pic:spPr>
                      </pic:pic>
                    </a:graphicData>
                  </a:graphic>
                </wp:inline>
              </w:drawing>
            </w:r>
          </w:p>
        </w:tc>
      </w:tr>
    </w:tbl>
    <w:p w14:paraId="778BD584" w14:textId="77777777" w:rsidR="006E6057" w:rsidRDefault="006E6057" w:rsidP="00E03A6F"/>
    <w:p w14:paraId="7B96F1B5" w14:textId="62C4D3B7" w:rsidR="006E6057" w:rsidRDefault="006E6057" w:rsidP="00E03A6F">
      <w:r w:rsidRPr="006E6057">
        <w:rPr>
          <w:noProof/>
        </w:rPr>
        <w:drawing>
          <wp:inline distT="0" distB="0" distL="0" distR="0" wp14:anchorId="02E0C581" wp14:editId="040584D0">
            <wp:extent cx="5804198" cy="38102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804198" cy="381020"/>
                    </a:xfrm>
                    <a:prstGeom prst="rect">
                      <a:avLst/>
                    </a:prstGeom>
                  </pic:spPr>
                </pic:pic>
              </a:graphicData>
            </a:graphic>
          </wp:inline>
        </w:drawing>
      </w:r>
    </w:p>
    <w:p w14:paraId="33FAEE23" w14:textId="6EB611C3" w:rsidR="00A10E1F" w:rsidRDefault="006E6057" w:rsidP="00E03A6F">
      <w:r w:rsidRPr="006E6057">
        <w:rPr>
          <w:noProof/>
        </w:rPr>
        <w:drawing>
          <wp:inline distT="0" distB="0" distL="0" distR="0" wp14:anchorId="5F176860" wp14:editId="35942052">
            <wp:extent cx="5943600" cy="6629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662940"/>
                    </a:xfrm>
                    <a:prstGeom prst="rect">
                      <a:avLst/>
                    </a:prstGeom>
                  </pic:spPr>
                </pic:pic>
              </a:graphicData>
            </a:graphic>
          </wp:inline>
        </w:drawing>
      </w:r>
    </w:p>
    <w:p w14:paraId="59D4557B" w14:textId="77777777" w:rsidR="00A10E1F" w:rsidRDefault="00A10E1F">
      <w:r>
        <w:br w:type="page"/>
      </w:r>
    </w:p>
    <w:p w14:paraId="67630A7C" w14:textId="35895905" w:rsidR="006E6057" w:rsidRDefault="001335FA" w:rsidP="00E03A6F">
      <w:proofErr w:type="spellStart"/>
      <w:r>
        <w:lastRenderedPageBreak/>
        <w:t>s</w:t>
      </w:r>
      <w:r w:rsidR="006E6057">
        <w:t>The</w:t>
      </w:r>
      <w:proofErr w:type="spellEnd"/>
      <w:r w:rsidR="006E6057">
        <w:t xml:space="preserve"> Task Force mandate was approved by the </w:t>
      </w:r>
      <w:hyperlink r:id="rId47" w:history="1">
        <w:r w:rsidR="006E6057" w:rsidRPr="00C213B6">
          <w:rPr>
            <w:rStyle w:val="Hyperlink"/>
          </w:rPr>
          <w:t>OPPI Council</w:t>
        </w:r>
      </w:hyperlink>
      <w:r w:rsidR="006E6057">
        <w:t xml:space="preserve">. Members of the </w:t>
      </w:r>
      <w:r w:rsidR="00D038ED">
        <w:t xml:space="preserve">OPPI Council </w:t>
      </w:r>
      <w:r w:rsidR="006E6057">
        <w:t>body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442D6" w14:paraId="386DB5FB" w14:textId="72125378" w:rsidTr="009227C2">
        <w:tc>
          <w:tcPr>
            <w:tcW w:w="2337" w:type="dxa"/>
          </w:tcPr>
          <w:p w14:paraId="7E7D47AF" w14:textId="77777777" w:rsidR="00B442D6" w:rsidRDefault="00B442D6" w:rsidP="00B442D6">
            <w:r w:rsidRPr="00B442D6">
              <w:rPr>
                <w:b/>
                <w:bCs/>
              </w:rPr>
              <w:t xml:space="preserve">Justice </w:t>
            </w:r>
            <w:proofErr w:type="spellStart"/>
            <w:r w:rsidRPr="00B442D6">
              <w:rPr>
                <w:b/>
                <w:bCs/>
              </w:rPr>
              <w:t>Giancola</w:t>
            </w:r>
            <w:proofErr w:type="spellEnd"/>
            <w:r w:rsidRPr="00B442D6">
              <w:rPr>
                <w:b/>
                <w:bCs/>
              </w:rPr>
              <w:t>, RPP</w:t>
            </w:r>
            <w:r w:rsidRPr="00B442D6">
              <w:rPr>
                <w:b/>
                <w:bCs/>
              </w:rPr>
              <w:br/>
            </w:r>
            <w:r>
              <w:t>President</w:t>
            </w:r>
          </w:p>
          <w:p w14:paraId="0FA86F10" w14:textId="77777777" w:rsidR="00B442D6" w:rsidRDefault="00B442D6" w:rsidP="00B442D6"/>
          <w:p w14:paraId="6C348A40" w14:textId="01D3E969" w:rsidR="00B442D6" w:rsidRDefault="00B442D6" w:rsidP="00B442D6">
            <w:r w:rsidRPr="00B442D6">
              <w:rPr>
                <w:b/>
                <w:bCs/>
              </w:rPr>
              <w:t>Calvin Brook, RPP</w:t>
            </w:r>
            <w:r>
              <w:br/>
              <w:t>Director</w:t>
            </w:r>
          </w:p>
          <w:p w14:paraId="640CA3F2" w14:textId="77777777" w:rsidR="00B442D6" w:rsidRDefault="00B442D6" w:rsidP="00B442D6"/>
          <w:p w14:paraId="604B641B" w14:textId="09116661" w:rsidR="00B442D6" w:rsidRDefault="00B442D6" w:rsidP="00B442D6">
            <w:r w:rsidRPr="00B442D6">
              <w:rPr>
                <w:b/>
                <w:bCs/>
              </w:rPr>
              <w:t xml:space="preserve">Kelly </w:t>
            </w:r>
            <w:proofErr w:type="spellStart"/>
            <w:r w:rsidRPr="00B442D6">
              <w:rPr>
                <w:b/>
                <w:bCs/>
              </w:rPr>
              <w:t>Weste</w:t>
            </w:r>
            <w:proofErr w:type="spellEnd"/>
            <w:r w:rsidRPr="00B442D6">
              <w:rPr>
                <w:b/>
                <w:bCs/>
              </w:rPr>
              <w:t>, RPP</w:t>
            </w:r>
            <w:r>
              <w:br/>
              <w:t>Director</w:t>
            </w:r>
          </w:p>
        </w:tc>
        <w:tc>
          <w:tcPr>
            <w:tcW w:w="2337" w:type="dxa"/>
          </w:tcPr>
          <w:p w14:paraId="4C948537" w14:textId="77777777" w:rsidR="00B442D6" w:rsidRDefault="00B442D6" w:rsidP="00B442D6">
            <w:r w:rsidRPr="00B442D6">
              <w:rPr>
                <w:b/>
                <w:bCs/>
              </w:rPr>
              <w:t>Paul Lowes, RPP</w:t>
            </w:r>
            <w:r>
              <w:br/>
              <w:t>President Elect</w:t>
            </w:r>
          </w:p>
          <w:p w14:paraId="1582ECA9" w14:textId="77777777" w:rsidR="00B442D6" w:rsidRDefault="00B442D6" w:rsidP="00B442D6"/>
          <w:p w14:paraId="581E3C18" w14:textId="264A6E8C" w:rsidR="00B442D6" w:rsidRDefault="00B442D6" w:rsidP="00B442D6">
            <w:r w:rsidRPr="00B442D6">
              <w:rPr>
                <w:b/>
                <w:bCs/>
              </w:rPr>
              <w:t>Rob Dowler, RPP</w:t>
            </w:r>
            <w:r>
              <w:br/>
              <w:t>Director</w:t>
            </w:r>
          </w:p>
          <w:p w14:paraId="0E1D8E68" w14:textId="77777777" w:rsidR="00B442D6" w:rsidRDefault="00B442D6" w:rsidP="00B442D6"/>
          <w:p w14:paraId="474C3D65" w14:textId="3FBC5EA4" w:rsidR="00B442D6" w:rsidRDefault="00B442D6" w:rsidP="00B442D6">
            <w:r w:rsidRPr="00B442D6">
              <w:rPr>
                <w:b/>
                <w:bCs/>
              </w:rPr>
              <w:t>Beverley Hillier, RPP</w:t>
            </w:r>
            <w:r>
              <w:br/>
              <w:t xml:space="preserve">Director </w:t>
            </w:r>
          </w:p>
        </w:tc>
        <w:tc>
          <w:tcPr>
            <w:tcW w:w="2338" w:type="dxa"/>
          </w:tcPr>
          <w:p w14:paraId="06D5634E" w14:textId="77777777" w:rsidR="00B442D6" w:rsidRDefault="00B442D6" w:rsidP="00B442D6">
            <w:r w:rsidRPr="00B442D6">
              <w:rPr>
                <w:b/>
                <w:bCs/>
              </w:rPr>
              <w:t xml:space="preserve">Claire </w:t>
            </w:r>
            <w:proofErr w:type="spellStart"/>
            <w:r w:rsidRPr="00B442D6">
              <w:rPr>
                <w:b/>
                <w:bCs/>
              </w:rPr>
              <w:t>Basinksi</w:t>
            </w:r>
            <w:proofErr w:type="spellEnd"/>
            <w:r w:rsidRPr="00B442D6">
              <w:rPr>
                <w:b/>
                <w:bCs/>
              </w:rPr>
              <w:t>, RPP</w:t>
            </w:r>
            <w:r>
              <w:br/>
              <w:t>Director</w:t>
            </w:r>
          </w:p>
          <w:p w14:paraId="5752E41C" w14:textId="77777777" w:rsidR="00B442D6" w:rsidRDefault="00B442D6" w:rsidP="00B442D6"/>
          <w:p w14:paraId="5F9E582D" w14:textId="17C496DC" w:rsidR="00B442D6" w:rsidRDefault="00B442D6" w:rsidP="00B442D6">
            <w:r w:rsidRPr="00B442D6">
              <w:rPr>
                <w:b/>
                <w:bCs/>
              </w:rPr>
              <w:t>Eldon Theodore, RPP</w:t>
            </w:r>
            <w:r>
              <w:br/>
              <w:t>Director</w:t>
            </w:r>
          </w:p>
          <w:p w14:paraId="582CDD0A" w14:textId="77777777" w:rsidR="00B442D6" w:rsidRDefault="00B442D6" w:rsidP="00B442D6"/>
          <w:p w14:paraId="61D80CBE" w14:textId="58A995F4" w:rsidR="00B442D6" w:rsidRDefault="00B442D6" w:rsidP="00B442D6">
            <w:r w:rsidRPr="00B442D6">
              <w:rPr>
                <w:b/>
                <w:bCs/>
              </w:rPr>
              <w:t xml:space="preserve">Colleen </w:t>
            </w:r>
            <w:proofErr w:type="spellStart"/>
            <w:r w:rsidRPr="00B442D6">
              <w:rPr>
                <w:b/>
                <w:bCs/>
              </w:rPr>
              <w:t>Sauriol</w:t>
            </w:r>
            <w:proofErr w:type="spellEnd"/>
            <w:r w:rsidRPr="00B442D6">
              <w:rPr>
                <w:b/>
                <w:bCs/>
              </w:rPr>
              <w:t>, RPP</w:t>
            </w:r>
            <w:r>
              <w:br/>
              <w:t>Director</w:t>
            </w:r>
          </w:p>
        </w:tc>
        <w:tc>
          <w:tcPr>
            <w:tcW w:w="2338" w:type="dxa"/>
          </w:tcPr>
          <w:p w14:paraId="1F578F09" w14:textId="77777777" w:rsidR="00B442D6" w:rsidRDefault="00B442D6" w:rsidP="00B442D6">
            <w:r w:rsidRPr="00B442D6">
              <w:rPr>
                <w:b/>
                <w:bCs/>
              </w:rPr>
              <w:t>Curry Clifford</w:t>
            </w:r>
            <w:r>
              <w:br/>
              <w:t>Public Interest Representative</w:t>
            </w:r>
          </w:p>
          <w:p w14:paraId="7D171ED6" w14:textId="77777777" w:rsidR="00B442D6" w:rsidRDefault="00B442D6" w:rsidP="00B442D6"/>
          <w:p w14:paraId="7B06FE63" w14:textId="77777777" w:rsidR="00B442D6" w:rsidRDefault="00B442D6" w:rsidP="00B442D6">
            <w:r w:rsidRPr="00B442D6">
              <w:rPr>
                <w:b/>
                <w:bCs/>
              </w:rPr>
              <w:t>Andria Leigh, RPP</w:t>
            </w:r>
            <w:r>
              <w:br/>
              <w:t>Director</w:t>
            </w:r>
          </w:p>
          <w:p w14:paraId="565A058A" w14:textId="77777777" w:rsidR="00B442D6" w:rsidRDefault="00B442D6" w:rsidP="00B442D6"/>
          <w:p w14:paraId="4419244B" w14:textId="42D6468C" w:rsidR="00B442D6" w:rsidRPr="00B442D6" w:rsidRDefault="00B442D6" w:rsidP="00B442D6">
            <w:pPr>
              <w:rPr>
                <w:b/>
                <w:bCs/>
              </w:rPr>
            </w:pPr>
          </w:p>
        </w:tc>
      </w:tr>
    </w:tbl>
    <w:p w14:paraId="4B1F9D42" w14:textId="2610F794" w:rsidR="001804FA" w:rsidRDefault="001804FA">
      <w:pPr>
        <w:rPr>
          <w:rFonts w:asciiTheme="majorHAnsi" w:eastAsiaTheme="majorEastAsia" w:hAnsiTheme="majorHAnsi" w:cstheme="majorBidi"/>
          <w:color w:val="000000" w:themeColor="text1"/>
          <w:sz w:val="24"/>
          <w:szCs w:val="24"/>
        </w:rPr>
      </w:pPr>
    </w:p>
    <w:p w14:paraId="5DE78E18" w14:textId="5D4C171D" w:rsidR="006E6057" w:rsidRDefault="005F3EA6" w:rsidP="006E6057">
      <w:pPr>
        <w:pStyle w:val="Heading3"/>
        <w:rPr>
          <w:bCs/>
        </w:rPr>
      </w:pPr>
      <w:hyperlink r:id="rId48" w:history="1"/>
      <w:hyperlink r:id="rId49" w:history="1">
        <w:bookmarkStart w:id="15" w:name="_Toc62673604"/>
        <w:r w:rsidR="006E6057" w:rsidRPr="00A12268">
          <w:rPr>
            <w:rStyle w:val="Hyperlink"/>
          </w:rPr>
          <w:t>Zoning for Inclusion: Human Rights and the Public Interest</w:t>
        </w:r>
        <w:bookmarkEnd w:id="15"/>
      </w:hyperlink>
    </w:p>
    <w:p w14:paraId="17431363" w14:textId="225ABC91" w:rsidR="006E6057" w:rsidRDefault="006E6057" w:rsidP="006E6057">
      <w:r>
        <w:rPr>
          <w:b/>
          <w:bCs/>
        </w:rPr>
        <w:t>Speakers</w:t>
      </w:r>
      <w:r w:rsidRPr="004D7E20">
        <w:rPr>
          <w:b/>
          <w:bCs/>
        </w:rPr>
        <w:t>:</w:t>
      </w:r>
      <w:r w:rsidRPr="004D7E20">
        <w:t xml:space="preserve"> </w:t>
      </w:r>
      <w:hyperlink r:id="rId50" w:history="1">
        <w:r w:rsidR="00A12268" w:rsidRPr="00A12268">
          <w:rPr>
            <w:rStyle w:val="Hyperlink"/>
          </w:rPr>
          <w:t xml:space="preserve">Jacquelin </w:t>
        </w:r>
        <w:proofErr w:type="spellStart"/>
        <w:r w:rsidR="00A12268" w:rsidRPr="00A12268">
          <w:rPr>
            <w:rStyle w:val="Hyperlink"/>
          </w:rPr>
          <w:t>Pegg</w:t>
        </w:r>
        <w:proofErr w:type="spellEnd"/>
      </w:hyperlink>
      <w:r w:rsidR="00A12268">
        <w:t xml:space="preserve"> (inquiry analyst, Ontario Human Rights Commission), </w:t>
      </w:r>
      <w:hyperlink r:id="rId51" w:history="1">
        <w:r w:rsidR="00A12268" w:rsidRPr="00A12268">
          <w:rPr>
            <w:rStyle w:val="Hyperlink"/>
          </w:rPr>
          <w:t xml:space="preserve">John </w:t>
        </w:r>
        <w:proofErr w:type="spellStart"/>
        <w:r w:rsidR="00A12268" w:rsidRPr="00A12268">
          <w:rPr>
            <w:rStyle w:val="Hyperlink"/>
          </w:rPr>
          <w:t>Gladki</w:t>
        </w:r>
        <w:proofErr w:type="spellEnd"/>
      </w:hyperlink>
      <w:r w:rsidR="00A12268">
        <w:t xml:space="preserve"> (President, </w:t>
      </w:r>
      <w:proofErr w:type="spellStart"/>
      <w:r w:rsidR="00A12268">
        <w:t>Gladki</w:t>
      </w:r>
      <w:proofErr w:type="spellEnd"/>
      <w:r w:rsidR="00A12268">
        <w:t xml:space="preserve"> Planning Associates)</w:t>
      </w:r>
      <w:r>
        <w:br/>
      </w:r>
      <w:r w:rsidRPr="001E1D9C">
        <w:rPr>
          <w:b/>
          <w:bCs/>
        </w:rPr>
        <w:t>Published:</w:t>
      </w:r>
      <w:r>
        <w:t xml:space="preserve">  20</w:t>
      </w:r>
      <w:r w:rsidR="00A12268">
        <w:t>15, by the Ontario Provincial Planning Institute</w:t>
      </w:r>
    </w:p>
    <w:p w14:paraId="0E00CFA9" w14:textId="27795E4E" w:rsidR="00A12268" w:rsidRDefault="00A12268" w:rsidP="006E6057">
      <w:r>
        <w:t xml:space="preserve">Session focused on the intersection of zoning, affordable housing, and human rights. Provided tips and tools for meeting the human </w:t>
      </w:r>
      <w:proofErr w:type="gramStart"/>
      <w:r>
        <w:t>rights challenges, and</w:t>
      </w:r>
      <w:proofErr w:type="gramEnd"/>
      <w:r>
        <w:t xml:space="preserve"> ensuring that planning truly serves the broader public interest.</w:t>
      </w:r>
    </w:p>
    <w:p w14:paraId="1B13B3DB" w14:textId="77777777" w:rsidR="006E6057" w:rsidRDefault="006E6057" w:rsidP="00E03A6F"/>
    <w:p w14:paraId="58757F63" w14:textId="77777777" w:rsidR="006E6057" w:rsidRDefault="006E6057" w:rsidP="00E03A6F"/>
    <w:p w14:paraId="27532DFD" w14:textId="16E0D222" w:rsidR="00E03A6F" w:rsidRDefault="00E03A6F"/>
    <w:p w14:paraId="002AB44E" w14:textId="546DE44B" w:rsidR="001804FA" w:rsidRDefault="001804FA"/>
    <w:p w14:paraId="1FC3AB75" w14:textId="77777777" w:rsidR="00664358" w:rsidRDefault="00664358"/>
    <w:p w14:paraId="31646041" w14:textId="72CD7C3F" w:rsidR="001E1D9C" w:rsidRDefault="001E1D9C"/>
    <w:p w14:paraId="50246689" w14:textId="77777777" w:rsidR="001E1D9C" w:rsidRDefault="001E1D9C">
      <w:pPr>
        <w:rPr>
          <w:rFonts w:ascii="Calibri" w:hAnsi="Calibri" w:cs="Calibri"/>
          <w:lang w:val="en-US"/>
        </w:rPr>
      </w:pPr>
    </w:p>
    <w:p w14:paraId="499E0C9C" w14:textId="4F569B15" w:rsidR="00513DF2" w:rsidRDefault="00513DF2">
      <w:pPr>
        <w:rPr>
          <w:rFonts w:ascii="Calibri" w:hAnsi="Calibri" w:cs="Calibri"/>
          <w:lang w:val="en-US"/>
        </w:rPr>
      </w:pPr>
    </w:p>
    <w:p w14:paraId="500CB248" w14:textId="77777777" w:rsidR="00513DF2" w:rsidRDefault="00513DF2"/>
    <w:sectPr w:rsidR="00513DF2" w:rsidSect="00B73954">
      <w:headerReference w:type="default" r:id="rId52"/>
      <w:footerReference w:type="default" r:id="rId5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25AEE" w14:textId="77777777" w:rsidR="005F3EA6" w:rsidRDefault="005F3EA6" w:rsidP="004D7E20">
      <w:pPr>
        <w:spacing w:after="0" w:line="240" w:lineRule="auto"/>
      </w:pPr>
      <w:r>
        <w:separator/>
      </w:r>
    </w:p>
  </w:endnote>
  <w:endnote w:type="continuationSeparator" w:id="0">
    <w:p w14:paraId="1DF1D341" w14:textId="77777777" w:rsidR="005F3EA6" w:rsidRDefault="005F3EA6" w:rsidP="004D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C13DC" w14:textId="0E266916" w:rsidR="00F95FE7" w:rsidRPr="00F95FE7" w:rsidRDefault="00F95FE7" w:rsidP="00F95FE7">
    <w:pPr>
      <w:pStyle w:val="Footer"/>
      <w:jc w:val="right"/>
    </w:pPr>
    <w:r>
      <w:t xml:space="preserve">Page </w:t>
    </w:r>
    <w:sdt>
      <w:sdtPr>
        <w:id w:val="1004861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8EB13" w14:textId="77777777" w:rsidR="005F3EA6" w:rsidRDefault="005F3EA6" w:rsidP="004D7E20">
      <w:pPr>
        <w:spacing w:after="0" w:line="240" w:lineRule="auto"/>
      </w:pPr>
      <w:r>
        <w:separator/>
      </w:r>
    </w:p>
  </w:footnote>
  <w:footnote w:type="continuationSeparator" w:id="0">
    <w:p w14:paraId="3F7AFC4B" w14:textId="77777777" w:rsidR="005F3EA6" w:rsidRDefault="005F3EA6" w:rsidP="004D7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EB367" w14:textId="01452B91" w:rsidR="004D7E20" w:rsidRDefault="00B73954">
    <w:pPr>
      <w:pStyle w:val="Header"/>
      <w:rPr>
        <w:sz w:val="20"/>
        <w:szCs w:val="20"/>
        <w:lang w:val="en-US"/>
      </w:rPr>
    </w:pPr>
    <w:r>
      <w:rPr>
        <w:sz w:val="20"/>
        <w:szCs w:val="20"/>
        <w:lang w:val="en-US"/>
      </w:rPr>
      <w:t xml:space="preserve">DRAFT </w:t>
    </w:r>
    <w:r w:rsidR="004D7E20">
      <w:rPr>
        <w:sz w:val="20"/>
        <w:szCs w:val="20"/>
        <w:lang w:val="en-US"/>
      </w:rPr>
      <w:t>Last Updated: January 2</w:t>
    </w:r>
    <w:r w:rsidR="00EA0A0A">
      <w:rPr>
        <w:sz w:val="20"/>
        <w:szCs w:val="20"/>
        <w:lang w:val="en-US"/>
      </w:rPr>
      <w:t>4</w:t>
    </w:r>
    <w:r w:rsidR="004D7E20">
      <w:rPr>
        <w:sz w:val="20"/>
        <w:szCs w:val="20"/>
        <w:lang w:val="en-US"/>
      </w:rPr>
      <w:t>, 2021</w:t>
    </w:r>
  </w:p>
  <w:p w14:paraId="242B9004" w14:textId="77777777" w:rsidR="005621AE" w:rsidRDefault="005621AE">
    <w:pPr>
      <w:pStyle w:val="Header"/>
      <w:rPr>
        <w:sz w:val="20"/>
        <w:szCs w:val="20"/>
        <w:lang w:val="en-US"/>
      </w:rPr>
    </w:pPr>
  </w:p>
  <w:p w14:paraId="6342AC71" w14:textId="77777777" w:rsidR="005621AE" w:rsidRPr="005C1D17" w:rsidRDefault="005621AE">
    <w:pPr>
      <w:pStyle w:val="Header"/>
      <w:rPr>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07045"/>
    <w:multiLevelType w:val="multilevel"/>
    <w:tmpl w:val="D316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74EEC"/>
    <w:multiLevelType w:val="hybridMultilevel"/>
    <w:tmpl w:val="A95C9EB4"/>
    <w:lvl w:ilvl="0" w:tplc="8E98F402">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8C631CA"/>
    <w:multiLevelType w:val="hybridMultilevel"/>
    <w:tmpl w:val="7C8C6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20"/>
    <w:rsid w:val="0008084A"/>
    <w:rsid w:val="0009080D"/>
    <w:rsid w:val="000F684E"/>
    <w:rsid w:val="001335FA"/>
    <w:rsid w:val="001804FA"/>
    <w:rsid w:val="001951B3"/>
    <w:rsid w:val="001E1D9C"/>
    <w:rsid w:val="002124E7"/>
    <w:rsid w:val="00216148"/>
    <w:rsid w:val="002162E3"/>
    <w:rsid w:val="00265BA1"/>
    <w:rsid w:val="00266211"/>
    <w:rsid w:val="00285326"/>
    <w:rsid w:val="002912AD"/>
    <w:rsid w:val="002B1285"/>
    <w:rsid w:val="002B4CB6"/>
    <w:rsid w:val="002E296D"/>
    <w:rsid w:val="002F2897"/>
    <w:rsid w:val="00360808"/>
    <w:rsid w:val="00364CFE"/>
    <w:rsid w:val="00403C37"/>
    <w:rsid w:val="004306E4"/>
    <w:rsid w:val="004463C5"/>
    <w:rsid w:val="0046380E"/>
    <w:rsid w:val="004742C1"/>
    <w:rsid w:val="004D7E20"/>
    <w:rsid w:val="004E3899"/>
    <w:rsid w:val="00513DF2"/>
    <w:rsid w:val="005342B9"/>
    <w:rsid w:val="005621AE"/>
    <w:rsid w:val="00570EE9"/>
    <w:rsid w:val="005C1D17"/>
    <w:rsid w:val="005F3EA6"/>
    <w:rsid w:val="0064797F"/>
    <w:rsid w:val="00664358"/>
    <w:rsid w:val="00673A42"/>
    <w:rsid w:val="00676DEF"/>
    <w:rsid w:val="006C0727"/>
    <w:rsid w:val="006C3616"/>
    <w:rsid w:val="006E6057"/>
    <w:rsid w:val="0071006B"/>
    <w:rsid w:val="007136C8"/>
    <w:rsid w:val="00725AAB"/>
    <w:rsid w:val="00796F26"/>
    <w:rsid w:val="007B7FE1"/>
    <w:rsid w:val="007D5CBD"/>
    <w:rsid w:val="00802D50"/>
    <w:rsid w:val="008132DD"/>
    <w:rsid w:val="00816AA8"/>
    <w:rsid w:val="008371AC"/>
    <w:rsid w:val="00851B4B"/>
    <w:rsid w:val="008B75C5"/>
    <w:rsid w:val="008F0BB8"/>
    <w:rsid w:val="00936F09"/>
    <w:rsid w:val="00984221"/>
    <w:rsid w:val="009A6ED2"/>
    <w:rsid w:val="009C6919"/>
    <w:rsid w:val="00A10E1F"/>
    <w:rsid w:val="00A12268"/>
    <w:rsid w:val="00A21A6F"/>
    <w:rsid w:val="00B442D6"/>
    <w:rsid w:val="00B73954"/>
    <w:rsid w:val="00B96167"/>
    <w:rsid w:val="00BB206F"/>
    <w:rsid w:val="00C213B6"/>
    <w:rsid w:val="00C40D20"/>
    <w:rsid w:val="00C95CC4"/>
    <w:rsid w:val="00CD11DE"/>
    <w:rsid w:val="00D038ED"/>
    <w:rsid w:val="00DC406E"/>
    <w:rsid w:val="00DC522E"/>
    <w:rsid w:val="00E03A6F"/>
    <w:rsid w:val="00E208C9"/>
    <w:rsid w:val="00E270F5"/>
    <w:rsid w:val="00E6025B"/>
    <w:rsid w:val="00E82CE4"/>
    <w:rsid w:val="00EA01EC"/>
    <w:rsid w:val="00EA0A0A"/>
    <w:rsid w:val="00EE6A7F"/>
    <w:rsid w:val="00EF33F3"/>
    <w:rsid w:val="00F2699B"/>
    <w:rsid w:val="00F93CCE"/>
    <w:rsid w:val="00F95FE7"/>
    <w:rsid w:val="00F97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2A672"/>
  <w15:chartTrackingRefBased/>
  <w15:docId w15:val="{8B890150-DF41-413E-8672-C946357E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67"/>
  </w:style>
  <w:style w:type="paragraph" w:styleId="Heading1">
    <w:name w:val="heading 1"/>
    <w:basedOn w:val="Normal"/>
    <w:next w:val="Normal"/>
    <w:link w:val="Heading1Char"/>
    <w:uiPriority w:val="9"/>
    <w:qFormat/>
    <w:rsid w:val="00E82CE4"/>
    <w:pPr>
      <w:spacing w:after="60" w:line="240" w:lineRule="auto"/>
      <w:outlineLvl w:val="0"/>
    </w:pPr>
    <w:rPr>
      <w:rFonts w:eastAsiaTheme="minorEastAsia"/>
      <w:b/>
      <w:bCs/>
      <w:caps/>
      <w:sz w:val="28"/>
      <w:szCs w:val="28"/>
    </w:rPr>
  </w:style>
  <w:style w:type="paragraph" w:styleId="Heading2">
    <w:name w:val="heading 2"/>
    <w:basedOn w:val="Normal"/>
    <w:next w:val="Normal"/>
    <w:link w:val="Heading2Char"/>
    <w:uiPriority w:val="9"/>
    <w:unhideWhenUsed/>
    <w:qFormat/>
    <w:rsid w:val="00676DEF"/>
    <w:pPr>
      <w:autoSpaceDE w:val="0"/>
      <w:autoSpaceDN w:val="0"/>
      <w:adjustRightInd w:val="0"/>
      <w:spacing w:before="220" w:after="0" w:line="161" w:lineRule="atLeast"/>
      <w:outlineLvl w:val="1"/>
    </w:pPr>
    <w:rPr>
      <w:b/>
      <w:bCs/>
      <w:color w:val="7F7F7F" w:themeColor="text1" w:themeTint="80"/>
      <w:sz w:val="28"/>
      <w:szCs w:val="28"/>
    </w:rPr>
  </w:style>
  <w:style w:type="paragraph" w:styleId="Heading3">
    <w:name w:val="heading 3"/>
    <w:basedOn w:val="Normal"/>
    <w:next w:val="Normal"/>
    <w:link w:val="Heading3Char"/>
    <w:uiPriority w:val="9"/>
    <w:unhideWhenUsed/>
    <w:qFormat/>
    <w:rsid w:val="005C1D17"/>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CE4"/>
    <w:rPr>
      <w:rFonts w:eastAsiaTheme="minorEastAsia"/>
      <w:b/>
      <w:bCs/>
      <w:caps/>
      <w:sz w:val="28"/>
      <w:szCs w:val="28"/>
    </w:rPr>
  </w:style>
  <w:style w:type="character" w:customStyle="1" w:styleId="Heading2Char">
    <w:name w:val="Heading 2 Char"/>
    <w:basedOn w:val="DefaultParagraphFont"/>
    <w:link w:val="Heading2"/>
    <w:uiPriority w:val="9"/>
    <w:rsid w:val="00676DEF"/>
    <w:rPr>
      <w:b/>
      <w:bCs/>
      <w:color w:val="7F7F7F" w:themeColor="text1" w:themeTint="80"/>
      <w:sz w:val="28"/>
      <w:szCs w:val="28"/>
    </w:rPr>
  </w:style>
  <w:style w:type="paragraph" w:styleId="Caption">
    <w:name w:val="caption"/>
    <w:basedOn w:val="Normal"/>
    <w:next w:val="Normal"/>
    <w:uiPriority w:val="35"/>
    <w:unhideWhenUsed/>
    <w:qFormat/>
    <w:rsid w:val="00673A4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82CE4"/>
    <w:rPr>
      <w:rFonts w:ascii="Arial" w:hAnsi="Arial"/>
      <w:b/>
      <w:caps/>
      <w:sz w:val="32"/>
      <w:szCs w:val="28"/>
    </w:rPr>
  </w:style>
  <w:style w:type="character" w:customStyle="1" w:styleId="TitleChar">
    <w:name w:val="Title Char"/>
    <w:basedOn w:val="DefaultParagraphFont"/>
    <w:link w:val="Title"/>
    <w:uiPriority w:val="10"/>
    <w:rsid w:val="00E82CE4"/>
    <w:rPr>
      <w:rFonts w:ascii="Arial" w:hAnsi="Arial"/>
      <w:b/>
      <w:caps/>
      <w:sz w:val="32"/>
      <w:szCs w:val="28"/>
    </w:rPr>
  </w:style>
  <w:style w:type="character" w:styleId="Strong">
    <w:name w:val="Strong"/>
    <w:basedOn w:val="DefaultParagraphFont"/>
    <w:uiPriority w:val="22"/>
    <w:qFormat/>
    <w:rsid w:val="00673A42"/>
    <w:rPr>
      <w:b/>
      <w:bCs/>
    </w:rPr>
  </w:style>
  <w:style w:type="paragraph" w:styleId="NoSpacing">
    <w:name w:val="No Spacing"/>
    <w:uiPriority w:val="1"/>
    <w:qFormat/>
    <w:rsid w:val="00673A42"/>
    <w:pPr>
      <w:spacing w:after="0" w:line="240" w:lineRule="auto"/>
    </w:pPr>
  </w:style>
  <w:style w:type="paragraph" w:styleId="ListParagraph">
    <w:name w:val="List Paragraph"/>
    <w:basedOn w:val="Normal"/>
    <w:uiPriority w:val="34"/>
    <w:qFormat/>
    <w:rsid w:val="00673A42"/>
    <w:pPr>
      <w:ind w:left="720"/>
      <w:contextualSpacing/>
    </w:pPr>
  </w:style>
  <w:style w:type="character" w:styleId="Hyperlink">
    <w:name w:val="Hyperlink"/>
    <w:basedOn w:val="DefaultParagraphFont"/>
    <w:uiPriority w:val="99"/>
    <w:unhideWhenUsed/>
    <w:rsid w:val="004D7E20"/>
    <w:rPr>
      <w:color w:val="0000FF"/>
      <w:u w:val="single"/>
    </w:rPr>
  </w:style>
  <w:style w:type="paragraph" w:styleId="Subtitle">
    <w:name w:val="Subtitle"/>
    <w:basedOn w:val="Normal"/>
    <w:next w:val="Normal"/>
    <w:link w:val="SubtitleChar"/>
    <w:uiPriority w:val="11"/>
    <w:qFormat/>
    <w:rsid w:val="00E82CE4"/>
    <w:pPr>
      <w:numPr>
        <w:ilvl w:val="1"/>
      </w:numPr>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E82CE4"/>
    <w:rPr>
      <w:rFonts w:ascii="Arial" w:eastAsiaTheme="minorEastAsia" w:hAnsi="Arial"/>
      <w:color w:val="5A5A5A" w:themeColor="text1" w:themeTint="A5"/>
      <w:spacing w:val="15"/>
    </w:rPr>
  </w:style>
  <w:style w:type="paragraph" w:styleId="Header">
    <w:name w:val="header"/>
    <w:basedOn w:val="Normal"/>
    <w:link w:val="HeaderChar"/>
    <w:uiPriority w:val="99"/>
    <w:unhideWhenUsed/>
    <w:rsid w:val="004D7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E20"/>
  </w:style>
  <w:style w:type="paragraph" w:styleId="Footer">
    <w:name w:val="footer"/>
    <w:basedOn w:val="Normal"/>
    <w:link w:val="FooterChar"/>
    <w:uiPriority w:val="99"/>
    <w:unhideWhenUsed/>
    <w:rsid w:val="004D7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E20"/>
  </w:style>
  <w:style w:type="paragraph" w:styleId="TOCHeading">
    <w:name w:val="TOC Heading"/>
    <w:basedOn w:val="Heading1"/>
    <w:next w:val="Normal"/>
    <w:uiPriority w:val="39"/>
    <w:unhideWhenUsed/>
    <w:qFormat/>
    <w:rsid w:val="004D7E20"/>
    <w:pPr>
      <w:keepNext/>
      <w:keepLines/>
      <w:spacing w:before="240" w:after="0" w:line="259" w:lineRule="auto"/>
      <w:outlineLvl w:val="9"/>
    </w:pPr>
    <w:rPr>
      <w:rFonts w:asciiTheme="majorHAnsi" w:eastAsiaTheme="majorEastAsia" w:hAnsiTheme="majorHAnsi" w:cstheme="majorBidi"/>
      <w:b w:val="0"/>
      <w:bCs w:val="0"/>
      <w:caps w:val="0"/>
      <w:color w:val="2F5496" w:themeColor="accent1" w:themeShade="BF"/>
      <w:sz w:val="32"/>
      <w:szCs w:val="32"/>
      <w:lang w:val="en-US"/>
    </w:rPr>
  </w:style>
  <w:style w:type="paragraph" w:styleId="TOC1">
    <w:name w:val="toc 1"/>
    <w:basedOn w:val="Normal"/>
    <w:next w:val="Normal"/>
    <w:autoRedefine/>
    <w:uiPriority w:val="39"/>
    <w:unhideWhenUsed/>
    <w:rsid w:val="004D7E20"/>
    <w:pPr>
      <w:spacing w:after="100"/>
    </w:pPr>
  </w:style>
  <w:style w:type="character" w:styleId="UnresolvedMention">
    <w:name w:val="Unresolved Mention"/>
    <w:basedOn w:val="DefaultParagraphFont"/>
    <w:uiPriority w:val="99"/>
    <w:semiHidden/>
    <w:unhideWhenUsed/>
    <w:rsid w:val="00513DF2"/>
    <w:rPr>
      <w:color w:val="605E5C"/>
      <w:shd w:val="clear" w:color="auto" w:fill="E1DFDD"/>
    </w:rPr>
  </w:style>
  <w:style w:type="character" w:customStyle="1" w:styleId="Heading3Char">
    <w:name w:val="Heading 3 Char"/>
    <w:basedOn w:val="DefaultParagraphFont"/>
    <w:link w:val="Heading3"/>
    <w:uiPriority w:val="9"/>
    <w:rsid w:val="005C1D17"/>
    <w:rPr>
      <w:rFonts w:asciiTheme="majorHAnsi" w:eastAsiaTheme="majorEastAsia" w:hAnsiTheme="majorHAnsi" w:cstheme="majorBidi"/>
      <w:b/>
      <w:color w:val="000000" w:themeColor="text1"/>
      <w:sz w:val="24"/>
      <w:szCs w:val="24"/>
    </w:rPr>
  </w:style>
  <w:style w:type="character" w:styleId="FollowedHyperlink">
    <w:name w:val="FollowedHyperlink"/>
    <w:basedOn w:val="DefaultParagraphFont"/>
    <w:uiPriority w:val="99"/>
    <w:semiHidden/>
    <w:unhideWhenUsed/>
    <w:rsid w:val="001E1D9C"/>
    <w:rPr>
      <w:color w:val="954F72" w:themeColor="followedHyperlink"/>
      <w:u w:val="single"/>
    </w:rPr>
  </w:style>
  <w:style w:type="table" w:styleId="TableGrid">
    <w:name w:val="Table Grid"/>
    <w:basedOn w:val="TableNormal"/>
    <w:uiPriority w:val="39"/>
    <w:rsid w:val="006E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124E7"/>
    <w:pPr>
      <w:spacing w:after="100"/>
      <w:ind w:left="220"/>
    </w:pPr>
  </w:style>
  <w:style w:type="paragraph" w:styleId="TOC3">
    <w:name w:val="toc 3"/>
    <w:basedOn w:val="Normal"/>
    <w:next w:val="Normal"/>
    <w:autoRedefine/>
    <w:uiPriority w:val="39"/>
    <w:unhideWhenUsed/>
    <w:rsid w:val="002124E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8604">
      <w:bodyDiv w:val="1"/>
      <w:marLeft w:val="0"/>
      <w:marRight w:val="0"/>
      <w:marTop w:val="0"/>
      <w:marBottom w:val="0"/>
      <w:divBdr>
        <w:top w:val="none" w:sz="0" w:space="0" w:color="auto"/>
        <w:left w:val="none" w:sz="0" w:space="0" w:color="auto"/>
        <w:bottom w:val="none" w:sz="0" w:space="0" w:color="auto"/>
        <w:right w:val="none" w:sz="0" w:space="0" w:color="auto"/>
      </w:divBdr>
    </w:div>
    <w:div w:id="17183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osgoode.yorku.ca/cgi/viewcontent.cgi?referer=&amp;httpsredir=1&amp;article=1223&amp;context=jlsp" TargetMode="External"/><Relationship Id="rId18" Type="http://schemas.openxmlformats.org/officeDocument/2006/relationships/customXml" Target="ink/ink2.xml"/><Relationship Id="rId26" Type="http://schemas.openxmlformats.org/officeDocument/2006/relationships/image" Target="media/image8.png"/><Relationship Id="rId39" Type="http://schemas.openxmlformats.org/officeDocument/2006/relationships/hyperlink" Target="https://issuu.com/unhabitat/docs/2664_alt" TargetMode="External"/><Relationship Id="rId21" Type="http://schemas.openxmlformats.org/officeDocument/2006/relationships/image" Target="media/image4.png"/><Relationship Id="rId34" Type="http://schemas.openxmlformats.org/officeDocument/2006/relationships/hyperlink" Target="https://www.un.org/en/observances/decade-people-african-descent" TargetMode="External"/><Relationship Id="rId42" Type="http://schemas.openxmlformats.org/officeDocument/2006/relationships/image" Target="media/image10.png"/><Relationship Id="rId47" Type="http://schemas.openxmlformats.org/officeDocument/2006/relationships/hyperlink" Target="https://ontarioplanners.ca/oppi/council" TargetMode="External"/><Relationship Id="rId50" Type="http://schemas.openxmlformats.org/officeDocument/2006/relationships/hyperlink" Target="https://ontarioplanners.ca/oppi/conferences/conference-2015/speakers/jacquelin-peg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1.xml"/><Relationship Id="rId29" Type="http://schemas.openxmlformats.org/officeDocument/2006/relationships/hyperlink" Target="https://unhabitat.org/sites/default/files/documents/2019-07/un-system-wide-strategy-on-sustainable-urban-development-1.pdf" TargetMode="External"/><Relationship Id="rId11" Type="http://schemas.openxmlformats.org/officeDocument/2006/relationships/hyperlink" Target="http://www.ohrc.on.ca/sites/default/files/attachments/Policy_on_human_rights_and_rental_housing.pdf" TargetMode="External"/><Relationship Id="rId24" Type="http://schemas.openxmlformats.org/officeDocument/2006/relationships/image" Target="media/image7.png"/><Relationship Id="rId32" Type="http://schemas.openxmlformats.org/officeDocument/2006/relationships/hyperlink" Target="http://uploads.habitat3.org/hb3/Habitat%20III%20Policy%20Paper%201.pdf" TargetMode="External"/><Relationship Id="rId37" Type="http://schemas.openxmlformats.org/officeDocument/2006/relationships/hyperlink" Target="https://issuu.com/unhabitat/docs/2662_alt" TargetMode="External"/><Relationship Id="rId40" Type="http://schemas.openxmlformats.org/officeDocument/2006/relationships/hyperlink" Target="https://issuu.com/unhabitat/docs/2665_alt" TargetMode="External"/><Relationship Id="rId45" Type="http://schemas.openxmlformats.org/officeDocument/2006/relationships/image" Target="media/image13.png"/><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hyperlink" Target="https://unesdoc.unesco.org/ark:/48223/pf0000261409" TargetMode="External"/><Relationship Id="rId44" Type="http://schemas.openxmlformats.org/officeDocument/2006/relationships/image" Target="media/image12.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rc.on.ca/en/ontario-human-rights-code" TargetMode="External"/><Relationship Id="rId14" Type="http://schemas.openxmlformats.org/officeDocument/2006/relationships/hyperlink" Target="https://www.linkedin.com/in/jessicaroher/" TargetMode="External"/><Relationship Id="rId22" Type="http://schemas.openxmlformats.org/officeDocument/2006/relationships/image" Target="media/image5.png"/><Relationship Id="rId27" Type="http://schemas.openxmlformats.org/officeDocument/2006/relationships/hyperlink" Target="https://files.ontario.ca/mmah-place-to-grow-office-consolidation-en-2020-08-28.pdf" TargetMode="External"/><Relationship Id="rId30" Type="http://schemas.openxmlformats.org/officeDocument/2006/relationships/hyperlink" Target="https://undocs.org/A/HRC/37/53" TargetMode="External"/><Relationship Id="rId35" Type="http://schemas.openxmlformats.org/officeDocument/2006/relationships/hyperlink" Target="https://www.refworld.org/docid/479477400.html" TargetMode="External"/><Relationship Id="rId43" Type="http://schemas.openxmlformats.org/officeDocument/2006/relationships/image" Target="media/image11.png"/><Relationship Id="rId48" Type="http://schemas.openxmlformats.org/officeDocument/2006/relationships/hyperlink" Target="https://ontarioplanners.ca/OPPIAssets/Documents/OPPI/ToR-Anti-Black-Racism-in-Planning-Task-Force.pdf" TargetMode="External"/><Relationship Id="rId8" Type="http://schemas.openxmlformats.org/officeDocument/2006/relationships/hyperlink" Target="https://www.ontario.ca/laws/statute/90h19" TargetMode="External"/><Relationship Id="rId51" Type="http://schemas.openxmlformats.org/officeDocument/2006/relationships/hyperlink" Target="https://ontarioplanners.ca/oppi/conferences/conference-2015/speakers/john-gladki" TargetMode="External"/><Relationship Id="rId3" Type="http://schemas.openxmlformats.org/officeDocument/2006/relationships/styles" Target="styles.xml"/><Relationship Id="rId12" Type="http://schemas.openxmlformats.org/officeDocument/2006/relationships/hyperlink" Target="http://www.ohrc.on.ca/en/planning-and-human-rights-legal-cases-and-resources" TargetMode="External"/><Relationship Id="rId17" Type="http://schemas.openxmlformats.org/officeDocument/2006/relationships/image" Target="media/image2.png"/><Relationship Id="rId25" Type="http://schemas.openxmlformats.org/officeDocument/2006/relationships/hyperlink" Target="https://files.ontario.ca/mmah-provincial-policy-statement-2020-accessible-final-en-2020-02-14.pdf" TargetMode="External"/><Relationship Id="rId33" Type="http://schemas.openxmlformats.org/officeDocument/2006/relationships/hyperlink" Target="https://www.ohchr.org/Documents/Publications/FS21_rev_1_Housing_en.pdf" TargetMode="External"/><Relationship Id="rId38" Type="http://schemas.openxmlformats.org/officeDocument/2006/relationships/hyperlink" Target="https://issuu.com/unhabitat/docs/2663_alt" TargetMode="External"/><Relationship Id="rId46" Type="http://schemas.openxmlformats.org/officeDocument/2006/relationships/image" Target="media/image14.png"/><Relationship Id="rId20" Type="http://schemas.openxmlformats.org/officeDocument/2006/relationships/customXml" Target="ink/ink3.xml"/><Relationship Id="rId41" Type="http://schemas.openxmlformats.org/officeDocument/2006/relationships/hyperlink" Target="https://ontarioplanners.ca/OPPIAssets/Documents/OPPI/ToR-Anti-Black-Racism-in-Planning-Task-Force.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ntario.ca/laws/statute/90p13"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un.org/development/desa/indigenouspeoples/declaration-on-the-rights-of-indigenous-peoples.html" TargetMode="External"/><Relationship Id="rId49" Type="http://schemas.openxmlformats.org/officeDocument/2006/relationships/hyperlink" Target="https://ontarioplanners.ca/oppi/conferences/conference-2015/program/day-2/zoning-for-inclusion-human-rights-and-the-public-interes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2T14:34:50.899"/>
    </inkml:context>
    <inkml:brush xml:id="br0">
      <inkml:brushProperty name="width" value="0.3" units="cm"/>
      <inkml:brushProperty name="height" value="0.6" units="cm"/>
      <inkml:brushProperty name="color" value="#FFACD5"/>
      <inkml:brushProperty name="tip" value="rectangle"/>
      <inkml:brushProperty name="rasterOp" value="maskPen"/>
      <inkml:brushProperty name="ignorePressure" value="1"/>
    </inkml:brush>
  </inkml:definitions>
  <inkml:trace contextRef="#ctx0" brushRef="#br0">0 168,'7'-2,"-1"-1,1 1,0 0,-1 0,1 1,14-1,44 1,-35 2,182-2,520 3,-423 11,38 1,960-14,-575 0,-384-14,-2 0,-295 14,209-8,-38-8,37-4,358-42,-470 41,-86 11,0 2,80 0,109 10,-235-2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2T14:34:48.141"/>
    </inkml:context>
    <inkml:brush xml:id="br0">
      <inkml:brushProperty name="width" value="0.3" units="cm"/>
      <inkml:brushProperty name="height" value="0.6" units="cm"/>
      <inkml:brushProperty name="color" value="#FFACD5"/>
      <inkml:brushProperty name="tip" value="rectangle"/>
      <inkml:brushProperty name="rasterOp" value="maskPen"/>
      <inkml:brushProperty name="ignorePressure" value="1"/>
    </inkml:brush>
  </inkml:definitions>
  <inkml:trace contextRef="#ctx0" brushRef="#br0">0 219,'2213'0,"-1867"-9,-66 1,-151 7,121-3,-2-25,-178 16,117-3,335 18,-358-2,-100-3,112-25,-131 21,0 3,60 5,-40 0,1198 0,-1095-11,-29 1,356 6,-334-16,-13 0,265 17,-212 4,463-2,-639-1,0-3,42-13,-13 3,-29 10,0 2,27 3,-33-1,-1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2T14:37:05.441"/>
    </inkml:context>
    <inkml:brush xml:id="br0">
      <inkml:brushProperty name="width" value="0.3" units="cm"/>
      <inkml:brushProperty name="height" value="0.6" units="cm"/>
      <inkml:brushProperty name="color" value="#FFACD5"/>
      <inkml:brushProperty name="tip" value="rectangle"/>
      <inkml:brushProperty name="rasterOp" value="maskPen"/>
      <inkml:brushProperty name="ignorePressure" value="1"/>
    </inkml:brush>
  </inkml:definitions>
  <inkml:trace contextRef="#ctx0" brushRef="#br0">0 321,'2164'0,"-1825"-13,-65 0,-148 13,118-6,-1-36,-174 21,113-2,329 26,-350-3,-99-4,110-37,-128 31,0 4,59 7,-39 1,1171-1,-1071-15,-28 1,348 9,-326-25,-13 2,258 24,-206 6,452-3,-624-3,-1-1,42-21,-13 4,-29 15,1 3,26 4,-33-1,0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78F8-51CE-4BA1-BC33-BCFA83FF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Cheryll</dc:creator>
  <cp:keywords/>
  <dc:description/>
  <cp:lastModifiedBy>Case, Cheryll</cp:lastModifiedBy>
  <cp:revision>8</cp:revision>
  <cp:lastPrinted>2021-01-22T15:47:00Z</cp:lastPrinted>
  <dcterms:created xsi:type="dcterms:W3CDTF">2021-01-27T22:51:00Z</dcterms:created>
  <dcterms:modified xsi:type="dcterms:W3CDTF">2021-01-28T01:59:00Z</dcterms:modified>
</cp:coreProperties>
</file>